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A4" w:rsidRPr="00EF22D5" w:rsidRDefault="00E517C2" w:rsidP="00E517C2">
      <w:pPr>
        <w:pStyle w:val="Standard"/>
        <w:spacing w:after="0" w:line="360" w:lineRule="auto"/>
        <w:ind w:firstLine="1134"/>
        <w:jc w:val="center"/>
        <w:rPr>
          <w:b/>
        </w:rPr>
      </w:pPr>
      <w:r w:rsidRPr="00EF22D5">
        <w:rPr>
          <w:rFonts w:ascii="Times New Roman" w:hAnsi="Times New Roman"/>
          <w:b/>
          <w:sz w:val="28"/>
          <w:szCs w:val="24"/>
        </w:rPr>
        <w:t>A EFICÁCIA DO SEQUESTRO/ARRESTO E DA INTERVENÇÃO PARA SANAR INADIMPLÊNCIA DE PRECATÓRIOS CONSIDERANDO O RESTRITO CABIMENTO E O PRINCÍPIO DA PROPORCIONALIDADE</w:t>
      </w:r>
      <w:r w:rsidR="0020558E" w:rsidRPr="00EF22D5">
        <w:rPr>
          <w:rStyle w:val="FootnoteSymbol"/>
          <w:rFonts w:ascii="Times New Roman" w:hAnsi="Times New Roman"/>
          <w:b/>
          <w:bCs/>
        </w:rPr>
        <w:footnoteReference w:id="1"/>
      </w:r>
    </w:p>
    <w:p w:rsidR="00E73FA4" w:rsidRDefault="00E73FA4">
      <w:pPr>
        <w:pStyle w:val="Standard"/>
        <w:spacing w:after="0" w:line="240" w:lineRule="auto"/>
        <w:jc w:val="right"/>
        <w:rPr>
          <w:rFonts w:ascii="Times New Roman" w:hAnsi="Times New Roman"/>
          <w:i/>
          <w:sz w:val="20"/>
          <w:szCs w:val="20"/>
        </w:rPr>
      </w:pPr>
    </w:p>
    <w:p w:rsidR="00E73FA4" w:rsidRDefault="00E73FA4">
      <w:pPr>
        <w:pStyle w:val="Standard"/>
        <w:spacing w:after="0" w:line="240" w:lineRule="auto"/>
        <w:jc w:val="right"/>
        <w:rPr>
          <w:rFonts w:ascii="Times New Roman" w:hAnsi="Times New Roman"/>
          <w:i/>
          <w:sz w:val="20"/>
          <w:szCs w:val="20"/>
        </w:rPr>
      </w:pPr>
    </w:p>
    <w:p w:rsidR="00E73FA4" w:rsidRDefault="0020558E">
      <w:pPr>
        <w:pStyle w:val="Standard"/>
        <w:spacing w:after="0" w:line="240" w:lineRule="auto"/>
        <w:jc w:val="right"/>
      </w:pPr>
      <w:r>
        <w:rPr>
          <w:rFonts w:ascii="Times New Roman" w:hAnsi="Times New Roman"/>
          <w:i/>
          <w:sz w:val="20"/>
          <w:szCs w:val="20"/>
        </w:rPr>
        <w:t>Felipe Pereira Noronha</w:t>
      </w:r>
      <w:r>
        <w:rPr>
          <w:rStyle w:val="FootnoteSymbol"/>
          <w:rFonts w:ascii="Times New Roman" w:hAnsi="Times New Roman"/>
          <w:i/>
          <w:sz w:val="20"/>
          <w:szCs w:val="20"/>
        </w:rPr>
        <w:footnoteReference w:id="2"/>
      </w:r>
    </w:p>
    <w:p w:rsidR="00E73FA4" w:rsidRDefault="00962A1B">
      <w:pPr>
        <w:pStyle w:val="Standard"/>
        <w:spacing w:after="0" w:line="240" w:lineRule="auto"/>
        <w:jc w:val="right"/>
        <w:rPr>
          <w:rFonts w:ascii="Times New Roman" w:hAnsi="Times New Roman"/>
          <w:i/>
          <w:sz w:val="20"/>
          <w:szCs w:val="20"/>
        </w:rPr>
      </w:pPr>
      <w:r>
        <w:rPr>
          <w:rFonts w:ascii="Times New Roman" w:hAnsi="Times New Roman"/>
          <w:i/>
          <w:sz w:val="20"/>
          <w:szCs w:val="20"/>
        </w:rPr>
        <w:t>Thiele Araujo Soares</w:t>
      </w:r>
      <w:r w:rsidR="0020558E">
        <w:rPr>
          <w:rStyle w:val="FootnoteSymbol"/>
          <w:rFonts w:ascii="Times New Roman" w:hAnsi="Times New Roman"/>
          <w:i/>
          <w:sz w:val="20"/>
          <w:szCs w:val="20"/>
        </w:rPr>
        <w:footnoteReference w:id="3"/>
      </w:r>
    </w:p>
    <w:p w:rsidR="001475F2" w:rsidRDefault="00804E4C">
      <w:pPr>
        <w:pStyle w:val="Standard"/>
        <w:spacing w:after="0" w:line="240" w:lineRule="auto"/>
        <w:jc w:val="right"/>
      </w:pPr>
      <w:r>
        <w:rPr>
          <w:rFonts w:ascii="Times New Roman" w:hAnsi="Times New Roman"/>
          <w:i/>
          <w:sz w:val="20"/>
          <w:szCs w:val="20"/>
        </w:rPr>
        <w:t>Chris</w:t>
      </w:r>
      <w:r w:rsidR="001475F2">
        <w:rPr>
          <w:rFonts w:ascii="Times New Roman" w:hAnsi="Times New Roman"/>
          <w:i/>
          <w:sz w:val="20"/>
          <w:szCs w:val="20"/>
        </w:rPr>
        <w:t>tian Barros Pinto</w:t>
      </w:r>
      <w:r w:rsidR="001475F2">
        <w:rPr>
          <w:rStyle w:val="Refdenotaderodap"/>
          <w:rFonts w:ascii="Times New Roman" w:hAnsi="Times New Roman"/>
          <w:i/>
          <w:sz w:val="20"/>
          <w:szCs w:val="20"/>
        </w:rPr>
        <w:footnoteReference w:id="4"/>
      </w:r>
    </w:p>
    <w:p w:rsidR="00435AAE" w:rsidRDefault="00435AAE">
      <w:pPr>
        <w:pStyle w:val="Standard"/>
        <w:spacing w:after="0" w:line="360" w:lineRule="auto"/>
        <w:jc w:val="both"/>
        <w:rPr>
          <w:rFonts w:ascii="Times New Roman" w:hAnsi="Times New Roman"/>
          <w:b/>
          <w:sz w:val="24"/>
          <w:szCs w:val="24"/>
        </w:rPr>
      </w:pPr>
    </w:p>
    <w:p w:rsidR="00E517C2" w:rsidRDefault="00E517C2" w:rsidP="001E5BF9">
      <w:pPr>
        <w:pStyle w:val="Standard"/>
        <w:spacing w:after="0" w:line="360" w:lineRule="auto"/>
        <w:jc w:val="center"/>
        <w:rPr>
          <w:rFonts w:ascii="Times New Roman" w:hAnsi="Times New Roman"/>
          <w:b/>
          <w:sz w:val="20"/>
          <w:szCs w:val="24"/>
        </w:rPr>
      </w:pPr>
      <w:r>
        <w:rPr>
          <w:rFonts w:ascii="Times New Roman" w:hAnsi="Times New Roman"/>
          <w:b/>
          <w:sz w:val="20"/>
          <w:szCs w:val="24"/>
        </w:rPr>
        <w:t>SUMÁRIO</w:t>
      </w:r>
    </w:p>
    <w:p w:rsidR="00E517C2" w:rsidRDefault="00E517C2" w:rsidP="00E517C2">
      <w:pPr>
        <w:pStyle w:val="Standard"/>
        <w:spacing w:after="0" w:line="360" w:lineRule="auto"/>
        <w:ind w:left="4536"/>
        <w:jc w:val="center"/>
        <w:rPr>
          <w:rFonts w:ascii="Times New Roman" w:hAnsi="Times New Roman"/>
          <w:b/>
          <w:sz w:val="20"/>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938"/>
        <w:gridCol w:w="419"/>
      </w:tblGrid>
      <w:tr w:rsidR="00EF22D5" w:rsidTr="00AF0B66">
        <w:trPr>
          <w:trHeight w:val="219"/>
        </w:trPr>
        <w:tc>
          <w:tcPr>
            <w:tcW w:w="704" w:type="dxa"/>
            <w:shd w:val="clear" w:color="auto" w:fill="auto"/>
          </w:tcPr>
          <w:p w:rsidR="00EF22D5" w:rsidRDefault="00EF22D5" w:rsidP="00AF0B66">
            <w:pPr>
              <w:pStyle w:val="Standard"/>
              <w:spacing w:after="0" w:line="360" w:lineRule="auto"/>
              <w:jc w:val="both"/>
              <w:rPr>
                <w:rFonts w:ascii="Times New Roman" w:hAnsi="Times New Roman"/>
                <w:b/>
                <w:sz w:val="20"/>
                <w:szCs w:val="24"/>
              </w:rPr>
            </w:pPr>
          </w:p>
        </w:tc>
        <w:tc>
          <w:tcPr>
            <w:tcW w:w="7938" w:type="dxa"/>
            <w:shd w:val="clear" w:color="auto" w:fill="auto"/>
          </w:tcPr>
          <w:p w:rsidR="00EF22D5" w:rsidRDefault="00EF22D5" w:rsidP="00EF22D5">
            <w:pPr>
              <w:pStyle w:val="Standard"/>
              <w:spacing w:after="0" w:line="360" w:lineRule="auto"/>
              <w:jc w:val="both"/>
              <w:rPr>
                <w:rFonts w:ascii="Times New Roman" w:hAnsi="Times New Roman"/>
                <w:b/>
                <w:sz w:val="20"/>
                <w:szCs w:val="24"/>
              </w:rPr>
            </w:pPr>
            <w:r>
              <w:rPr>
                <w:rFonts w:ascii="Times New Roman" w:hAnsi="Times New Roman"/>
                <w:b/>
                <w:sz w:val="20"/>
                <w:szCs w:val="24"/>
              </w:rPr>
              <w:t>INTRODUÇÃO</w:t>
            </w:r>
            <w:r w:rsidRPr="00EF22D5">
              <w:rPr>
                <w:rFonts w:ascii="Times New Roman" w:hAnsi="Times New Roman"/>
                <w:sz w:val="20"/>
                <w:szCs w:val="24"/>
              </w:rPr>
              <w:t>..................................</w:t>
            </w:r>
            <w:r w:rsidR="00962B43">
              <w:rPr>
                <w:rFonts w:ascii="Times New Roman" w:hAnsi="Times New Roman"/>
                <w:sz w:val="20"/>
                <w:szCs w:val="24"/>
              </w:rPr>
              <w:t>.........................</w:t>
            </w:r>
            <w:r w:rsidRPr="00EF22D5">
              <w:rPr>
                <w:rFonts w:ascii="Times New Roman" w:hAnsi="Times New Roman"/>
                <w:sz w:val="20"/>
                <w:szCs w:val="24"/>
              </w:rPr>
              <w:t>............................</w:t>
            </w:r>
            <w:r w:rsidR="00757EBE">
              <w:rPr>
                <w:rFonts w:ascii="Times New Roman" w:hAnsi="Times New Roman"/>
                <w:sz w:val="20"/>
                <w:szCs w:val="24"/>
              </w:rPr>
              <w:t>.............................</w:t>
            </w:r>
            <w:r w:rsidR="00C07590">
              <w:rPr>
                <w:rFonts w:ascii="Times New Roman" w:hAnsi="Times New Roman"/>
                <w:sz w:val="20"/>
                <w:szCs w:val="24"/>
              </w:rPr>
              <w:t>.</w:t>
            </w:r>
            <w:r w:rsidRPr="00EF22D5">
              <w:rPr>
                <w:rFonts w:ascii="Times New Roman" w:hAnsi="Times New Roman"/>
                <w:sz w:val="20"/>
                <w:szCs w:val="24"/>
              </w:rPr>
              <w:t>........</w:t>
            </w:r>
            <w:r w:rsidR="00757EBE">
              <w:rPr>
                <w:rFonts w:ascii="Times New Roman" w:hAnsi="Times New Roman"/>
                <w:sz w:val="20"/>
                <w:szCs w:val="24"/>
              </w:rPr>
              <w:t>.</w:t>
            </w:r>
          </w:p>
        </w:tc>
        <w:tc>
          <w:tcPr>
            <w:tcW w:w="419" w:type="dxa"/>
            <w:shd w:val="clear" w:color="auto" w:fill="auto"/>
          </w:tcPr>
          <w:p w:rsidR="00EF22D5" w:rsidRPr="00C07590" w:rsidRDefault="00757EBE" w:rsidP="00AF0B66">
            <w:pPr>
              <w:pStyle w:val="Standard"/>
              <w:spacing w:after="0" w:line="360" w:lineRule="auto"/>
              <w:jc w:val="right"/>
              <w:rPr>
                <w:rFonts w:ascii="Times New Roman" w:hAnsi="Times New Roman"/>
                <w:sz w:val="20"/>
                <w:szCs w:val="24"/>
              </w:rPr>
            </w:pPr>
            <w:r w:rsidRPr="00C07590">
              <w:rPr>
                <w:rFonts w:ascii="Times New Roman" w:hAnsi="Times New Roman"/>
                <w:sz w:val="20"/>
                <w:szCs w:val="24"/>
              </w:rPr>
              <w:t>2</w:t>
            </w:r>
          </w:p>
        </w:tc>
      </w:tr>
      <w:tr w:rsidR="00EF22D5" w:rsidTr="00AF0B66">
        <w:tc>
          <w:tcPr>
            <w:tcW w:w="704" w:type="dxa"/>
            <w:shd w:val="clear" w:color="auto" w:fill="auto"/>
          </w:tcPr>
          <w:p w:rsidR="00EF22D5" w:rsidRDefault="00C07590" w:rsidP="00AF0B66">
            <w:pPr>
              <w:pStyle w:val="Standard"/>
              <w:spacing w:after="0" w:line="360" w:lineRule="auto"/>
              <w:jc w:val="both"/>
              <w:rPr>
                <w:rFonts w:ascii="Times New Roman" w:hAnsi="Times New Roman"/>
                <w:b/>
                <w:sz w:val="20"/>
                <w:szCs w:val="24"/>
              </w:rPr>
            </w:pPr>
            <w:r>
              <w:rPr>
                <w:rFonts w:ascii="Times New Roman" w:hAnsi="Times New Roman"/>
                <w:b/>
                <w:sz w:val="20"/>
                <w:szCs w:val="24"/>
              </w:rPr>
              <w:t>1</w:t>
            </w:r>
          </w:p>
        </w:tc>
        <w:tc>
          <w:tcPr>
            <w:tcW w:w="7938" w:type="dxa"/>
            <w:shd w:val="clear" w:color="auto" w:fill="auto"/>
          </w:tcPr>
          <w:p w:rsidR="00EF22D5" w:rsidRDefault="00EF22D5" w:rsidP="00EF22D5">
            <w:pPr>
              <w:pStyle w:val="Standard"/>
              <w:spacing w:after="0" w:line="360" w:lineRule="auto"/>
              <w:jc w:val="both"/>
              <w:rPr>
                <w:rFonts w:ascii="Times New Roman" w:hAnsi="Times New Roman"/>
                <w:b/>
                <w:sz w:val="20"/>
                <w:szCs w:val="24"/>
              </w:rPr>
            </w:pPr>
            <w:r>
              <w:rPr>
                <w:rFonts w:ascii="Times New Roman" w:hAnsi="Times New Roman"/>
                <w:b/>
                <w:sz w:val="20"/>
                <w:szCs w:val="24"/>
              </w:rPr>
              <w:t>A EXECUÇÃO POR QUANTIA CERTA EM FACE DA FAZENDA PÚBLICA</w:t>
            </w:r>
            <w:r w:rsidRPr="00EF22D5">
              <w:rPr>
                <w:rFonts w:ascii="Times New Roman" w:hAnsi="Times New Roman"/>
                <w:sz w:val="20"/>
                <w:szCs w:val="24"/>
              </w:rPr>
              <w:t>.............</w:t>
            </w:r>
            <w:r w:rsidR="00C07590">
              <w:rPr>
                <w:rFonts w:ascii="Times New Roman" w:hAnsi="Times New Roman"/>
                <w:sz w:val="20"/>
                <w:szCs w:val="24"/>
              </w:rPr>
              <w:t>.........</w:t>
            </w:r>
          </w:p>
        </w:tc>
        <w:tc>
          <w:tcPr>
            <w:tcW w:w="419" w:type="dxa"/>
            <w:shd w:val="clear" w:color="auto" w:fill="auto"/>
          </w:tcPr>
          <w:p w:rsidR="00EF22D5" w:rsidRPr="00C07590" w:rsidRDefault="00C07590" w:rsidP="00AF0B66">
            <w:pPr>
              <w:pStyle w:val="Standard"/>
              <w:spacing w:after="0" w:line="360" w:lineRule="auto"/>
              <w:jc w:val="right"/>
              <w:rPr>
                <w:rFonts w:ascii="Times New Roman" w:hAnsi="Times New Roman"/>
                <w:sz w:val="20"/>
                <w:szCs w:val="24"/>
              </w:rPr>
            </w:pPr>
            <w:r w:rsidRPr="00C07590">
              <w:rPr>
                <w:rFonts w:ascii="Times New Roman" w:hAnsi="Times New Roman"/>
                <w:sz w:val="20"/>
                <w:szCs w:val="24"/>
              </w:rPr>
              <w:t>2</w:t>
            </w:r>
          </w:p>
        </w:tc>
      </w:tr>
      <w:tr w:rsidR="006E03BA" w:rsidTr="00AF0B66">
        <w:tc>
          <w:tcPr>
            <w:tcW w:w="704" w:type="dxa"/>
            <w:shd w:val="clear" w:color="auto" w:fill="auto"/>
          </w:tcPr>
          <w:p w:rsidR="006E03BA" w:rsidRPr="006E03BA" w:rsidRDefault="006E03BA" w:rsidP="00AF0B66">
            <w:pPr>
              <w:pStyle w:val="Standard"/>
              <w:spacing w:after="0" w:line="360" w:lineRule="auto"/>
              <w:jc w:val="both"/>
              <w:rPr>
                <w:rFonts w:ascii="Times New Roman" w:hAnsi="Times New Roman"/>
                <w:b/>
                <w:sz w:val="20"/>
                <w:szCs w:val="24"/>
              </w:rPr>
            </w:pPr>
            <w:r w:rsidRPr="006E03BA">
              <w:rPr>
                <w:rFonts w:ascii="Times New Roman" w:hAnsi="Times New Roman"/>
                <w:b/>
                <w:sz w:val="20"/>
                <w:szCs w:val="24"/>
              </w:rPr>
              <w:t>1.1</w:t>
            </w:r>
          </w:p>
        </w:tc>
        <w:tc>
          <w:tcPr>
            <w:tcW w:w="7938" w:type="dxa"/>
            <w:shd w:val="clear" w:color="auto" w:fill="auto"/>
          </w:tcPr>
          <w:p w:rsidR="006E03BA" w:rsidRPr="006E03BA" w:rsidRDefault="006E03BA"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Definição e características do regime especial</w:t>
            </w:r>
            <w:r>
              <w:rPr>
                <w:rFonts w:ascii="Times New Roman" w:hAnsi="Times New Roman"/>
                <w:sz w:val="20"/>
                <w:szCs w:val="24"/>
              </w:rPr>
              <w:t>.....................................................</w:t>
            </w:r>
            <w:r w:rsidR="00C07590">
              <w:rPr>
                <w:rFonts w:ascii="Times New Roman" w:hAnsi="Times New Roman"/>
                <w:sz w:val="20"/>
                <w:szCs w:val="24"/>
              </w:rPr>
              <w:t>.........................</w:t>
            </w:r>
          </w:p>
        </w:tc>
        <w:tc>
          <w:tcPr>
            <w:tcW w:w="419" w:type="dxa"/>
            <w:shd w:val="clear" w:color="auto" w:fill="auto"/>
          </w:tcPr>
          <w:p w:rsidR="006E03BA"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2</w:t>
            </w:r>
          </w:p>
        </w:tc>
      </w:tr>
      <w:tr w:rsidR="006E03BA" w:rsidTr="00AF0B66">
        <w:tc>
          <w:tcPr>
            <w:tcW w:w="704" w:type="dxa"/>
            <w:shd w:val="clear" w:color="auto" w:fill="auto"/>
          </w:tcPr>
          <w:p w:rsidR="006E03BA" w:rsidRPr="006E03BA" w:rsidRDefault="006E03BA" w:rsidP="00AF0B66">
            <w:pPr>
              <w:pStyle w:val="Standard"/>
              <w:spacing w:after="0" w:line="360" w:lineRule="auto"/>
              <w:jc w:val="both"/>
              <w:rPr>
                <w:rFonts w:ascii="Times New Roman" w:hAnsi="Times New Roman"/>
                <w:b/>
                <w:sz w:val="20"/>
                <w:szCs w:val="24"/>
              </w:rPr>
            </w:pPr>
            <w:r>
              <w:rPr>
                <w:rFonts w:ascii="Times New Roman" w:hAnsi="Times New Roman"/>
                <w:b/>
                <w:sz w:val="20"/>
                <w:szCs w:val="24"/>
              </w:rPr>
              <w:t>1.2</w:t>
            </w:r>
          </w:p>
        </w:tc>
        <w:tc>
          <w:tcPr>
            <w:tcW w:w="7938" w:type="dxa"/>
            <w:shd w:val="clear" w:color="auto" w:fill="auto"/>
          </w:tcPr>
          <w:p w:rsidR="006E03BA" w:rsidRPr="00962B43" w:rsidRDefault="00962B43"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Dos precatórios</w:t>
            </w:r>
            <w:r>
              <w:rPr>
                <w:rFonts w:ascii="Times New Roman" w:hAnsi="Times New Roman"/>
                <w:sz w:val="20"/>
                <w:szCs w:val="24"/>
              </w:rPr>
              <w:t>................................................................................................</w:t>
            </w:r>
            <w:r w:rsidR="00C07590">
              <w:rPr>
                <w:rFonts w:ascii="Times New Roman" w:hAnsi="Times New Roman"/>
                <w:sz w:val="20"/>
                <w:szCs w:val="24"/>
              </w:rPr>
              <w:t>...............................</w:t>
            </w:r>
          </w:p>
        </w:tc>
        <w:tc>
          <w:tcPr>
            <w:tcW w:w="419" w:type="dxa"/>
            <w:shd w:val="clear" w:color="auto" w:fill="auto"/>
          </w:tcPr>
          <w:p w:rsidR="006E03BA"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5</w:t>
            </w:r>
          </w:p>
        </w:tc>
      </w:tr>
      <w:tr w:rsidR="00962B43" w:rsidRPr="00962B43" w:rsidTr="00AF0B66">
        <w:tc>
          <w:tcPr>
            <w:tcW w:w="704" w:type="dxa"/>
            <w:shd w:val="clear" w:color="auto" w:fill="auto"/>
          </w:tcPr>
          <w:p w:rsidR="00962B43" w:rsidRPr="00962B43" w:rsidRDefault="00962B43" w:rsidP="00AF0B66">
            <w:pPr>
              <w:pStyle w:val="Standard"/>
              <w:spacing w:after="0" w:line="360" w:lineRule="auto"/>
              <w:jc w:val="both"/>
              <w:rPr>
                <w:rFonts w:ascii="Times New Roman" w:hAnsi="Times New Roman"/>
                <w:sz w:val="20"/>
                <w:szCs w:val="24"/>
              </w:rPr>
            </w:pPr>
            <w:r>
              <w:rPr>
                <w:rFonts w:ascii="Times New Roman" w:hAnsi="Times New Roman"/>
                <w:sz w:val="20"/>
                <w:szCs w:val="24"/>
              </w:rPr>
              <w:t>1.2.1</w:t>
            </w:r>
          </w:p>
        </w:tc>
        <w:tc>
          <w:tcPr>
            <w:tcW w:w="7938" w:type="dxa"/>
            <w:shd w:val="clear" w:color="auto" w:fill="auto"/>
          </w:tcPr>
          <w:p w:rsidR="00962B43" w:rsidRPr="00962B43" w:rsidRDefault="00962B43" w:rsidP="00EF22D5">
            <w:pPr>
              <w:pStyle w:val="Standard"/>
              <w:spacing w:after="0" w:line="360" w:lineRule="auto"/>
              <w:jc w:val="both"/>
              <w:rPr>
                <w:rFonts w:ascii="Times New Roman" w:hAnsi="Times New Roman"/>
                <w:sz w:val="20"/>
                <w:szCs w:val="24"/>
              </w:rPr>
            </w:pPr>
            <w:r>
              <w:rPr>
                <w:rFonts w:ascii="Times New Roman" w:hAnsi="Times New Roman"/>
                <w:sz w:val="20"/>
                <w:szCs w:val="24"/>
              </w:rPr>
              <w:t>Procedimento................................................................................................................................</w:t>
            </w:r>
            <w:r w:rsidR="00C07590">
              <w:rPr>
                <w:rFonts w:ascii="Times New Roman" w:hAnsi="Times New Roman"/>
                <w:sz w:val="20"/>
                <w:szCs w:val="24"/>
              </w:rPr>
              <w:t>.</w:t>
            </w:r>
            <w:r>
              <w:rPr>
                <w:rFonts w:ascii="Times New Roman" w:hAnsi="Times New Roman"/>
                <w:sz w:val="20"/>
                <w:szCs w:val="24"/>
              </w:rPr>
              <w:t>...</w:t>
            </w:r>
          </w:p>
        </w:tc>
        <w:tc>
          <w:tcPr>
            <w:tcW w:w="419" w:type="dxa"/>
            <w:shd w:val="clear" w:color="auto" w:fill="auto"/>
          </w:tcPr>
          <w:p w:rsidR="00962B43"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6</w:t>
            </w:r>
          </w:p>
        </w:tc>
      </w:tr>
      <w:tr w:rsidR="00962B43" w:rsidRPr="00962B43" w:rsidTr="00AF0B66">
        <w:tc>
          <w:tcPr>
            <w:tcW w:w="704" w:type="dxa"/>
            <w:shd w:val="clear" w:color="auto" w:fill="auto"/>
          </w:tcPr>
          <w:p w:rsidR="00962B43" w:rsidRDefault="00962B43" w:rsidP="00AF0B66">
            <w:pPr>
              <w:pStyle w:val="Standard"/>
              <w:spacing w:after="0" w:line="360" w:lineRule="auto"/>
              <w:jc w:val="both"/>
              <w:rPr>
                <w:rFonts w:ascii="Times New Roman" w:hAnsi="Times New Roman"/>
                <w:sz w:val="20"/>
                <w:szCs w:val="24"/>
              </w:rPr>
            </w:pPr>
            <w:r>
              <w:rPr>
                <w:rFonts w:ascii="Times New Roman" w:hAnsi="Times New Roman"/>
                <w:sz w:val="20"/>
                <w:szCs w:val="24"/>
              </w:rPr>
              <w:t>1.2.2</w:t>
            </w:r>
          </w:p>
        </w:tc>
        <w:tc>
          <w:tcPr>
            <w:tcW w:w="7938" w:type="dxa"/>
            <w:shd w:val="clear" w:color="auto" w:fill="auto"/>
          </w:tcPr>
          <w:p w:rsidR="00962B43" w:rsidRDefault="00962B43" w:rsidP="00EF22D5">
            <w:pPr>
              <w:pStyle w:val="Standard"/>
              <w:spacing w:after="0" w:line="360" w:lineRule="auto"/>
              <w:jc w:val="both"/>
              <w:rPr>
                <w:rFonts w:ascii="Times New Roman" w:hAnsi="Times New Roman"/>
                <w:sz w:val="20"/>
                <w:szCs w:val="24"/>
              </w:rPr>
            </w:pPr>
            <w:r>
              <w:rPr>
                <w:rFonts w:ascii="Times New Roman" w:hAnsi="Times New Roman"/>
                <w:sz w:val="20"/>
                <w:szCs w:val="24"/>
              </w:rPr>
              <w:t>Da natureza e classificação dos créditos................................................................</w:t>
            </w:r>
            <w:r w:rsidR="00C07590">
              <w:rPr>
                <w:rFonts w:ascii="Times New Roman" w:hAnsi="Times New Roman"/>
                <w:sz w:val="20"/>
                <w:szCs w:val="24"/>
              </w:rPr>
              <w:t>............................</w:t>
            </w:r>
          </w:p>
        </w:tc>
        <w:tc>
          <w:tcPr>
            <w:tcW w:w="419" w:type="dxa"/>
            <w:shd w:val="clear" w:color="auto" w:fill="auto"/>
          </w:tcPr>
          <w:p w:rsidR="00962B43"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7</w:t>
            </w:r>
          </w:p>
        </w:tc>
      </w:tr>
      <w:tr w:rsidR="00EF22D5" w:rsidTr="00AF0B66">
        <w:tc>
          <w:tcPr>
            <w:tcW w:w="704" w:type="dxa"/>
            <w:shd w:val="clear" w:color="auto" w:fill="auto"/>
          </w:tcPr>
          <w:p w:rsidR="00EF22D5" w:rsidRPr="006E03BA" w:rsidRDefault="00C07590" w:rsidP="00AF0B66">
            <w:pPr>
              <w:pStyle w:val="Standard"/>
              <w:spacing w:after="0" w:line="360" w:lineRule="auto"/>
              <w:jc w:val="both"/>
              <w:rPr>
                <w:rFonts w:ascii="Times New Roman" w:hAnsi="Times New Roman"/>
                <w:b/>
                <w:sz w:val="20"/>
                <w:szCs w:val="24"/>
              </w:rPr>
            </w:pPr>
            <w:r>
              <w:rPr>
                <w:rFonts w:ascii="Times New Roman" w:hAnsi="Times New Roman"/>
                <w:b/>
                <w:sz w:val="20"/>
                <w:szCs w:val="24"/>
              </w:rPr>
              <w:t>2</w:t>
            </w:r>
          </w:p>
        </w:tc>
        <w:tc>
          <w:tcPr>
            <w:tcW w:w="7938" w:type="dxa"/>
            <w:shd w:val="clear" w:color="auto" w:fill="auto"/>
          </w:tcPr>
          <w:p w:rsidR="00EF22D5" w:rsidRPr="00EF22D5" w:rsidRDefault="00EF22D5"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AS HIPÓTESES DE SEQUESTRO/ARRESTO DE VERBAS PÚBLICAS</w:t>
            </w:r>
            <w:r>
              <w:rPr>
                <w:rFonts w:ascii="Times New Roman" w:hAnsi="Times New Roman"/>
                <w:sz w:val="20"/>
                <w:szCs w:val="24"/>
              </w:rPr>
              <w:t>........</w:t>
            </w:r>
            <w:r w:rsidR="00C07590">
              <w:rPr>
                <w:rFonts w:ascii="Times New Roman" w:hAnsi="Times New Roman"/>
                <w:sz w:val="20"/>
                <w:szCs w:val="24"/>
              </w:rPr>
              <w:t>.....................</w:t>
            </w:r>
          </w:p>
        </w:tc>
        <w:tc>
          <w:tcPr>
            <w:tcW w:w="419" w:type="dxa"/>
            <w:shd w:val="clear" w:color="auto" w:fill="auto"/>
          </w:tcPr>
          <w:p w:rsidR="00EF22D5"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8</w:t>
            </w:r>
          </w:p>
        </w:tc>
      </w:tr>
      <w:tr w:rsidR="00EF22D5" w:rsidTr="00AF0B66">
        <w:tc>
          <w:tcPr>
            <w:tcW w:w="704" w:type="dxa"/>
            <w:shd w:val="clear" w:color="auto" w:fill="auto"/>
          </w:tcPr>
          <w:p w:rsidR="00EF22D5" w:rsidRDefault="00C07590" w:rsidP="00AF0B66">
            <w:pPr>
              <w:pStyle w:val="Standard"/>
              <w:spacing w:after="0" w:line="360" w:lineRule="auto"/>
              <w:jc w:val="both"/>
              <w:rPr>
                <w:rFonts w:ascii="Times New Roman" w:hAnsi="Times New Roman"/>
                <w:b/>
                <w:sz w:val="20"/>
                <w:szCs w:val="24"/>
              </w:rPr>
            </w:pPr>
            <w:r>
              <w:rPr>
                <w:rFonts w:ascii="Times New Roman" w:hAnsi="Times New Roman"/>
                <w:b/>
                <w:sz w:val="20"/>
                <w:szCs w:val="24"/>
              </w:rPr>
              <w:t>3</w:t>
            </w:r>
          </w:p>
        </w:tc>
        <w:tc>
          <w:tcPr>
            <w:tcW w:w="7938" w:type="dxa"/>
            <w:shd w:val="clear" w:color="auto" w:fill="auto"/>
          </w:tcPr>
          <w:p w:rsidR="00EF22D5" w:rsidRPr="00EF22D5" w:rsidRDefault="00C07590"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 xml:space="preserve">DA INTERVENÇÃO FEDERAL </w:t>
            </w:r>
            <w:r w:rsidR="00EF22D5">
              <w:rPr>
                <w:rFonts w:ascii="Times New Roman" w:hAnsi="Times New Roman"/>
                <w:b/>
                <w:sz w:val="20"/>
                <w:szCs w:val="24"/>
              </w:rPr>
              <w:t>ESTADUAL</w:t>
            </w:r>
            <w:r w:rsidR="00EF22D5">
              <w:rPr>
                <w:rFonts w:ascii="Times New Roman" w:hAnsi="Times New Roman"/>
                <w:sz w:val="20"/>
                <w:szCs w:val="24"/>
              </w:rPr>
              <w:t>...................................................</w:t>
            </w:r>
            <w:r w:rsidR="00962B43">
              <w:rPr>
                <w:rFonts w:ascii="Times New Roman" w:hAnsi="Times New Roman"/>
                <w:sz w:val="20"/>
                <w:szCs w:val="24"/>
              </w:rPr>
              <w:t>........................</w:t>
            </w:r>
          </w:p>
        </w:tc>
        <w:tc>
          <w:tcPr>
            <w:tcW w:w="419" w:type="dxa"/>
            <w:shd w:val="clear" w:color="auto" w:fill="auto"/>
          </w:tcPr>
          <w:p w:rsidR="00EF22D5"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9</w:t>
            </w:r>
          </w:p>
        </w:tc>
      </w:tr>
      <w:tr w:rsidR="00EF22D5" w:rsidTr="00AF0B66">
        <w:tc>
          <w:tcPr>
            <w:tcW w:w="704" w:type="dxa"/>
            <w:shd w:val="clear" w:color="auto" w:fill="auto"/>
          </w:tcPr>
          <w:p w:rsidR="00EF22D5" w:rsidRDefault="00EF22D5" w:rsidP="00AF0B66">
            <w:pPr>
              <w:pStyle w:val="Standard"/>
              <w:spacing w:after="0" w:line="360" w:lineRule="auto"/>
              <w:jc w:val="both"/>
              <w:rPr>
                <w:rFonts w:ascii="Times New Roman" w:hAnsi="Times New Roman"/>
                <w:b/>
                <w:sz w:val="20"/>
                <w:szCs w:val="24"/>
              </w:rPr>
            </w:pPr>
          </w:p>
        </w:tc>
        <w:tc>
          <w:tcPr>
            <w:tcW w:w="7938" w:type="dxa"/>
            <w:shd w:val="clear" w:color="auto" w:fill="auto"/>
          </w:tcPr>
          <w:p w:rsidR="00EF22D5" w:rsidRPr="00EF22D5" w:rsidRDefault="00EF22D5"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CONSIDERAÇÕES FINAIS</w:t>
            </w:r>
            <w:r>
              <w:rPr>
                <w:rFonts w:ascii="Times New Roman" w:hAnsi="Times New Roman"/>
                <w:sz w:val="20"/>
                <w:szCs w:val="24"/>
              </w:rPr>
              <w:t>............</w:t>
            </w:r>
            <w:r w:rsidR="00C07590">
              <w:rPr>
                <w:rFonts w:ascii="Times New Roman" w:hAnsi="Times New Roman"/>
                <w:sz w:val="20"/>
                <w:szCs w:val="24"/>
              </w:rPr>
              <w:t>..............................</w:t>
            </w:r>
            <w:r>
              <w:rPr>
                <w:rFonts w:ascii="Times New Roman" w:hAnsi="Times New Roman"/>
                <w:sz w:val="20"/>
                <w:szCs w:val="24"/>
              </w:rPr>
              <w:t>.......................................</w:t>
            </w:r>
            <w:r w:rsidR="00962B43">
              <w:rPr>
                <w:rFonts w:ascii="Times New Roman" w:hAnsi="Times New Roman"/>
                <w:sz w:val="20"/>
                <w:szCs w:val="24"/>
              </w:rPr>
              <w:t>........................</w:t>
            </w:r>
          </w:p>
        </w:tc>
        <w:tc>
          <w:tcPr>
            <w:tcW w:w="419" w:type="dxa"/>
            <w:shd w:val="clear" w:color="auto" w:fill="auto"/>
          </w:tcPr>
          <w:p w:rsidR="00EF22D5" w:rsidRPr="00C07590" w:rsidRDefault="00C07590" w:rsidP="00AF0B66">
            <w:pPr>
              <w:pStyle w:val="Standard"/>
              <w:spacing w:after="0" w:line="360" w:lineRule="auto"/>
              <w:jc w:val="right"/>
              <w:rPr>
                <w:rFonts w:ascii="Times New Roman" w:hAnsi="Times New Roman"/>
                <w:sz w:val="20"/>
                <w:szCs w:val="24"/>
              </w:rPr>
            </w:pPr>
            <w:r>
              <w:rPr>
                <w:rFonts w:ascii="Times New Roman" w:hAnsi="Times New Roman"/>
                <w:sz w:val="20"/>
                <w:szCs w:val="24"/>
              </w:rPr>
              <w:t>10</w:t>
            </w:r>
          </w:p>
        </w:tc>
      </w:tr>
      <w:tr w:rsidR="00EF22D5" w:rsidTr="00AF0B66">
        <w:tc>
          <w:tcPr>
            <w:tcW w:w="704" w:type="dxa"/>
            <w:shd w:val="clear" w:color="auto" w:fill="auto"/>
          </w:tcPr>
          <w:p w:rsidR="00EF22D5" w:rsidRDefault="00EF22D5" w:rsidP="00AF0B66">
            <w:pPr>
              <w:pStyle w:val="Standard"/>
              <w:spacing w:after="0" w:line="360" w:lineRule="auto"/>
              <w:jc w:val="both"/>
              <w:rPr>
                <w:rFonts w:ascii="Times New Roman" w:hAnsi="Times New Roman"/>
                <w:b/>
                <w:sz w:val="20"/>
                <w:szCs w:val="24"/>
              </w:rPr>
            </w:pPr>
          </w:p>
        </w:tc>
        <w:tc>
          <w:tcPr>
            <w:tcW w:w="7938" w:type="dxa"/>
            <w:shd w:val="clear" w:color="auto" w:fill="auto"/>
          </w:tcPr>
          <w:p w:rsidR="00EF22D5" w:rsidRPr="00EF22D5" w:rsidRDefault="00EF22D5" w:rsidP="00EF22D5">
            <w:pPr>
              <w:pStyle w:val="Standard"/>
              <w:spacing w:after="0" w:line="360" w:lineRule="auto"/>
              <w:jc w:val="both"/>
              <w:rPr>
                <w:rFonts w:ascii="Times New Roman" w:hAnsi="Times New Roman"/>
                <w:sz w:val="20"/>
                <w:szCs w:val="24"/>
              </w:rPr>
            </w:pPr>
            <w:r>
              <w:rPr>
                <w:rFonts w:ascii="Times New Roman" w:hAnsi="Times New Roman"/>
                <w:b/>
                <w:sz w:val="20"/>
                <w:szCs w:val="24"/>
              </w:rPr>
              <w:t>REFERÊNCIAS</w:t>
            </w:r>
            <w:r>
              <w:rPr>
                <w:rFonts w:ascii="Times New Roman" w:hAnsi="Times New Roman"/>
                <w:sz w:val="20"/>
                <w:szCs w:val="24"/>
              </w:rPr>
              <w:t>...............................</w:t>
            </w:r>
            <w:r w:rsidR="00C07590">
              <w:rPr>
                <w:rFonts w:ascii="Times New Roman" w:hAnsi="Times New Roman"/>
                <w:sz w:val="20"/>
                <w:szCs w:val="24"/>
              </w:rPr>
              <w:t>..............................</w:t>
            </w:r>
            <w:r>
              <w:rPr>
                <w:rFonts w:ascii="Times New Roman" w:hAnsi="Times New Roman"/>
                <w:sz w:val="20"/>
                <w:szCs w:val="24"/>
              </w:rPr>
              <w:t>.........................................</w:t>
            </w:r>
            <w:r w:rsidR="00962B43">
              <w:rPr>
                <w:rFonts w:ascii="Times New Roman" w:hAnsi="Times New Roman"/>
                <w:sz w:val="20"/>
                <w:szCs w:val="24"/>
              </w:rPr>
              <w:t>...............</w:t>
            </w:r>
            <w:r w:rsidR="00757EBE">
              <w:rPr>
                <w:rFonts w:ascii="Times New Roman" w:hAnsi="Times New Roman"/>
                <w:sz w:val="20"/>
                <w:szCs w:val="24"/>
              </w:rPr>
              <w:t>........</w:t>
            </w:r>
          </w:p>
        </w:tc>
        <w:tc>
          <w:tcPr>
            <w:tcW w:w="419" w:type="dxa"/>
            <w:shd w:val="clear" w:color="auto" w:fill="auto"/>
          </w:tcPr>
          <w:p w:rsidR="00EF22D5" w:rsidRPr="00C07590" w:rsidRDefault="00757EBE" w:rsidP="00AF0B66">
            <w:pPr>
              <w:pStyle w:val="Standard"/>
              <w:spacing w:after="0" w:line="360" w:lineRule="auto"/>
              <w:jc w:val="right"/>
              <w:rPr>
                <w:rFonts w:ascii="Times New Roman" w:hAnsi="Times New Roman"/>
                <w:sz w:val="20"/>
                <w:szCs w:val="24"/>
              </w:rPr>
            </w:pPr>
            <w:r w:rsidRPr="00C07590">
              <w:rPr>
                <w:rFonts w:ascii="Times New Roman" w:hAnsi="Times New Roman"/>
                <w:sz w:val="20"/>
                <w:szCs w:val="24"/>
              </w:rPr>
              <w:t>7</w:t>
            </w:r>
          </w:p>
        </w:tc>
      </w:tr>
    </w:tbl>
    <w:p w:rsidR="00EF22D5" w:rsidRDefault="00EF22D5" w:rsidP="00EF22D5">
      <w:pPr>
        <w:pStyle w:val="Standard"/>
        <w:spacing w:after="0" w:line="360" w:lineRule="auto"/>
        <w:jc w:val="both"/>
        <w:rPr>
          <w:rFonts w:ascii="Times New Roman" w:hAnsi="Times New Roman"/>
          <w:b/>
          <w:sz w:val="20"/>
          <w:szCs w:val="24"/>
        </w:rPr>
      </w:pPr>
    </w:p>
    <w:p w:rsidR="00E517C2" w:rsidRDefault="00E517C2" w:rsidP="00E517C2">
      <w:pPr>
        <w:pStyle w:val="Standard"/>
        <w:spacing w:after="0" w:line="360" w:lineRule="auto"/>
        <w:jc w:val="center"/>
        <w:rPr>
          <w:rFonts w:ascii="Times New Roman" w:hAnsi="Times New Roman"/>
          <w:b/>
          <w:sz w:val="24"/>
          <w:szCs w:val="24"/>
        </w:rPr>
      </w:pPr>
    </w:p>
    <w:p w:rsidR="00E73FA4" w:rsidRDefault="00E517C2" w:rsidP="00E517C2">
      <w:pPr>
        <w:pStyle w:val="Standard"/>
        <w:spacing w:after="0" w:line="360" w:lineRule="auto"/>
        <w:jc w:val="center"/>
        <w:rPr>
          <w:rFonts w:ascii="Times New Roman" w:hAnsi="Times New Roman"/>
          <w:b/>
          <w:sz w:val="24"/>
          <w:szCs w:val="24"/>
        </w:rPr>
      </w:pPr>
      <w:r>
        <w:rPr>
          <w:rFonts w:ascii="Times New Roman" w:hAnsi="Times New Roman"/>
          <w:b/>
          <w:sz w:val="24"/>
          <w:szCs w:val="24"/>
        </w:rPr>
        <w:t>RESUMO</w:t>
      </w:r>
    </w:p>
    <w:p w:rsidR="00B17DC5" w:rsidRDefault="00B17DC5" w:rsidP="00E517C2">
      <w:pPr>
        <w:pStyle w:val="Standard"/>
        <w:spacing w:after="0" w:line="360" w:lineRule="auto"/>
        <w:jc w:val="center"/>
        <w:rPr>
          <w:rFonts w:ascii="Times New Roman" w:hAnsi="Times New Roman"/>
          <w:b/>
          <w:sz w:val="24"/>
          <w:szCs w:val="24"/>
        </w:rPr>
      </w:pPr>
    </w:p>
    <w:p w:rsidR="00E73FA4" w:rsidRDefault="00B17DC5" w:rsidP="006B7886">
      <w:pPr>
        <w:pStyle w:val="Standard"/>
        <w:spacing w:after="0" w:line="240" w:lineRule="auto"/>
        <w:jc w:val="both"/>
        <w:rPr>
          <w:rFonts w:ascii="Times New Roman" w:hAnsi="Times New Roman"/>
          <w:sz w:val="24"/>
          <w:szCs w:val="24"/>
        </w:rPr>
      </w:pPr>
      <w:r>
        <w:rPr>
          <w:rFonts w:ascii="Times New Roman" w:hAnsi="Times New Roman"/>
          <w:sz w:val="24"/>
          <w:szCs w:val="24"/>
        </w:rPr>
        <w:t xml:space="preserve">O presente trabalho versa sobre a execução por quantia certa em face da Fazenda Pública, especificamente, trata do regime especial de precatórios e, diante do inadimplemento destes, </w:t>
      </w:r>
      <w:r w:rsidR="006B7886">
        <w:rPr>
          <w:rFonts w:ascii="Times New Roman" w:hAnsi="Times New Roman"/>
          <w:sz w:val="24"/>
          <w:szCs w:val="24"/>
        </w:rPr>
        <w:t>d</w:t>
      </w:r>
      <w:r>
        <w:rPr>
          <w:rFonts w:ascii="Times New Roman" w:hAnsi="Times New Roman"/>
          <w:sz w:val="24"/>
          <w:szCs w:val="24"/>
        </w:rPr>
        <w:t xml:space="preserve">as possibilidades do credor conseguir </w:t>
      </w:r>
      <w:r w:rsidR="006B7886">
        <w:rPr>
          <w:rFonts w:ascii="Times New Roman" w:hAnsi="Times New Roman"/>
          <w:sz w:val="24"/>
          <w:szCs w:val="24"/>
        </w:rPr>
        <w:t>receber</w:t>
      </w:r>
      <w:r>
        <w:rPr>
          <w:rFonts w:ascii="Times New Roman" w:hAnsi="Times New Roman"/>
          <w:sz w:val="24"/>
          <w:szCs w:val="24"/>
        </w:rPr>
        <w:t xml:space="preserve"> </w:t>
      </w:r>
      <w:r w:rsidR="006B7886">
        <w:rPr>
          <w:rFonts w:ascii="Times New Roman" w:hAnsi="Times New Roman"/>
          <w:sz w:val="24"/>
          <w:szCs w:val="24"/>
        </w:rPr>
        <w:t>por meio do</w:t>
      </w:r>
      <w:r>
        <w:rPr>
          <w:rFonts w:ascii="Times New Roman" w:hAnsi="Times New Roman"/>
          <w:sz w:val="24"/>
          <w:szCs w:val="24"/>
        </w:rPr>
        <w:t xml:space="preserve"> sequestro</w:t>
      </w:r>
      <w:r w:rsidR="006B7886">
        <w:rPr>
          <w:rFonts w:ascii="Times New Roman" w:hAnsi="Times New Roman"/>
          <w:sz w:val="24"/>
          <w:szCs w:val="24"/>
        </w:rPr>
        <w:t xml:space="preserve"> de rendas públicas</w:t>
      </w:r>
      <w:r>
        <w:rPr>
          <w:rFonts w:ascii="Times New Roman" w:hAnsi="Times New Roman"/>
          <w:sz w:val="24"/>
          <w:szCs w:val="24"/>
        </w:rPr>
        <w:t xml:space="preserve"> e pela intervenção judicial. De todo modo</w:t>
      </w:r>
      <w:r w:rsidR="006B7886">
        <w:rPr>
          <w:rFonts w:ascii="Times New Roman" w:hAnsi="Times New Roman"/>
          <w:sz w:val="24"/>
          <w:szCs w:val="24"/>
        </w:rPr>
        <w:t>, fica clara, que essas medidas sã</w:t>
      </w:r>
      <w:r w:rsidR="005B4B6C">
        <w:rPr>
          <w:rFonts w:ascii="Times New Roman" w:hAnsi="Times New Roman"/>
          <w:sz w:val="24"/>
          <w:szCs w:val="24"/>
        </w:rPr>
        <w:t>o ou restritas ou despro</w:t>
      </w:r>
      <w:r w:rsidR="009F4458">
        <w:rPr>
          <w:rFonts w:ascii="Times New Roman" w:hAnsi="Times New Roman"/>
          <w:sz w:val="24"/>
          <w:szCs w:val="24"/>
        </w:rPr>
        <w:t>porcionais</w:t>
      </w:r>
      <w:r w:rsidR="006B7886">
        <w:rPr>
          <w:rFonts w:ascii="Times New Roman" w:hAnsi="Times New Roman"/>
          <w:sz w:val="24"/>
          <w:szCs w:val="24"/>
        </w:rPr>
        <w:t xml:space="preserve"> considerando o grau de endividamento dos entes públicos, especialmente estados e municí</w:t>
      </w:r>
      <w:r w:rsidR="009F4458">
        <w:rPr>
          <w:rFonts w:ascii="Times New Roman" w:hAnsi="Times New Roman"/>
          <w:sz w:val="24"/>
          <w:szCs w:val="24"/>
        </w:rPr>
        <w:t xml:space="preserve">pios. Fato é, é </w:t>
      </w:r>
      <w:r w:rsidR="006B7886">
        <w:rPr>
          <w:rFonts w:ascii="Times New Roman" w:hAnsi="Times New Roman"/>
          <w:sz w:val="24"/>
          <w:szCs w:val="24"/>
        </w:rPr>
        <w:t>que o credor se encontra em maus lençóis e que uma solução para o problema parece distante.</w:t>
      </w:r>
    </w:p>
    <w:p w:rsidR="00D62FA5" w:rsidRDefault="00D62FA5">
      <w:pPr>
        <w:pStyle w:val="Standard"/>
        <w:spacing w:after="0" w:line="360" w:lineRule="auto"/>
        <w:jc w:val="both"/>
        <w:rPr>
          <w:rFonts w:ascii="Times New Roman" w:hAnsi="Times New Roman"/>
          <w:sz w:val="24"/>
          <w:szCs w:val="24"/>
        </w:rPr>
      </w:pPr>
    </w:p>
    <w:p w:rsidR="00D62FA5" w:rsidRPr="009F4458" w:rsidRDefault="000865B5">
      <w:pPr>
        <w:pStyle w:val="Standard"/>
        <w:spacing w:after="0" w:line="360" w:lineRule="auto"/>
        <w:jc w:val="both"/>
        <w:rPr>
          <w:rFonts w:ascii="Times New Roman" w:hAnsi="Times New Roman"/>
          <w:sz w:val="24"/>
          <w:szCs w:val="24"/>
        </w:rPr>
      </w:pPr>
      <w:r>
        <w:rPr>
          <w:rFonts w:ascii="Times New Roman" w:hAnsi="Times New Roman"/>
          <w:b/>
          <w:sz w:val="24"/>
          <w:szCs w:val="24"/>
        </w:rPr>
        <w:t xml:space="preserve">Palavras-chave: </w:t>
      </w:r>
      <w:r w:rsidR="009F4458">
        <w:rPr>
          <w:rFonts w:ascii="Times New Roman" w:hAnsi="Times New Roman"/>
          <w:sz w:val="24"/>
          <w:szCs w:val="24"/>
        </w:rPr>
        <w:t xml:space="preserve">regime especial – precatórios – sequestro de rendas públicas – intervenção. </w:t>
      </w:r>
    </w:p>
    <w:p w:rsidR="002B7E71" w:rsidRDefault="00E517C2" w:rsidP="00F62659">
      <w:pPr>
        <w:pStyle w:val="Standard"/>
        <w:spacing w:after="0" w:line="360" w:lineRule="auto"/>
        <w:jc w:val="both"/>
        <w:rPr>
          <w:rFonts w:ascii="Times New Roman" w:hAnsi="Times New Roman"/>
          <w:b/>
          <w:color w:val="222222"/>
          <w:sz w:val="24"/>
          <w:szCs w:val="20"/>
          <w:shd w:val="clear" w:color="auto" w:fill="FFFFFF"/>
        </w:rPr>
      </w:pPr>
      <w:r>
        <w:rPr>
          <w:rFonts w:ascii="Times New Roman" w:hAnsi="Times New Roman"/>
          <w:b/>
          <w:color w:val="222222"/>
          <w:sz w:val="24"/>
          <w:szCs w:val="20"/>
          <w:shd w:val="clear" w:color="auto" w:fill="FFFFFF"/>
        </w:rPr>
        <w:lastRenderedPageBreak/>
        <w:t>INTRODUÇÃO</w:t>
      </w:r>
    </w:p>
    <w:p w:rsidR="00E517C2" w:rsidRDefault="00E517C2" w:rsidP="00F62659">
      <w:pPr>
        <w:pStyle w:val="Standard"/>
        <w:spacing w:after="0" w:line="360" w:lineRule="auto"/>
        <w:jc w:val="both"/>
        <w:rPr>
          <w:rFonts w:ascii="Times New Roman" w:hAnsi="Times New Roman"/>
          <w:b/>
          <w:color w:val="222222"/>
          <w:sz w:val="24"/>
          <w:szCs w:val="20"/>
          <w:shd w:val="clear" w:color="auto" w:fill="FFFFFF"/>
        </w:rPr>
      </w:pPr>
    </w:p>
    <w:p w:rsidR="001E5BF9" w:rsidRDefault="001E5BF9" w:rsidP="001E5BF9">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É sabido que ao demandar contra a Fazenda Pública o cidadão se deparará com peculiaridades no processo, dentre elas os sempre lembrados prazos, em dobro para recorrer e em quádruplo para contestar</w:t>
      </w:r>
      <w:r w:rsidR="00D972FB">
        <w:rPr>
          <w:rFonts w:ascii="Times New Roman" w:hAnsi="Times New Roman"/>
          <w:sz w:val="24"/>
          <w:szCs w:val="24"/>
        </w:rPr>
        <w:t>,</w:t>
      </w:r>
      <w:r>
        <w:rPr>
          <w:rFonts w:ascii="Times New Roman" w:hAnsi="Times New Roman"/>
          <w:sz w:val="24"/>
          <w:szCs w:val="24"/>
        </w:rPr>
        <w:t xml:space="preserve"> conforme o artigo 188 do Código de Processo Civil. Especificamente no âmbito da execução civil em face da Fazenda Pública encontrará outra peculiaridade que é o regime de precatórios. Trata-se uma criação genuinamente brasileira e que só é aplicada aqui para o pagamento das dívidas do Estado. </w:t>
      </w:r>
    </w:p>
    <w:p w:rsidR="001E5BF9" w:rsidRDefault="001E5BF9" w:rsidP="001E5BF9">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Pois bem, o sujeito demanda em face do Estado e ao final, se lhe for cabível, receberá um precatório, que, de acordo com algumas condições, será classificado e colocado em uma determinada fila com outros precatórios a serem pagos. Mas como é corriqueira a mora do Estado, os credores restam prejudicados. </w:t>
      </w:r>
    </w:p>
    <w:p w:rsidR="001E5BF9" w:rsidRDefault="001E5BF9" w:rsidP="001E5BF9">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Porém, existem medidas cabíveis, no contexto da Execução, que podem ajudar o credor, quais sejam, pleitear o sequestro de rendas públicas ou promover a intervenção federal ou estadual. No entanto, algumas condições devem ser observadas tais como o restrito cabimento do sequestro/arresto e a proporcionalidade da medida extrema que é a intervenção. </w:t>
      </w:r>
    </w:p>
    <w:p w:rsidR="001E5BF9" w:rsidRDefault="001E5BF9" w:rsidP="001E5BF9">
      <w:pPr>
        <w:pStyle w:val="Standard"/>
        <w:spacing w:after="0" w:line="360" w:lineRule="auto"/>
        <w:jc w:val="both"/>
        <w:rPr>
          <w:rFonts w:ascii="Times New Roman" w:hAnsi="Times New Roman"/>
          <w:sz w:val="24"/>
          <w:szCs w:val="24"/>
        </w:rPr>
      </w:pPr>
      <w:r>
        <w:rPr>
          <w:rFonts w:ascii="Times New Roman" w:hAnsi="Times New Roman"/>
          <w:sz w:val="24"/>
          <w:szCs w:val="24"/>
        </w:rPr>
        <w:t>A identificação e estudo dessas possibilidades de sequestro ensejam a pesquisa. Para tanto, far-se-á necessária inicialmente a contextualização mais aprofundada da execução em face da Fazenda Pública e do regime de precatórios.</w:t>
      </w:r>
    </w:p>
    <w:p w:rsidR="001E5BF9" w:rsidRDefault="001E5BF9" w:rsidP="001E5BF9">
      <w:pPr>
        <w:pStyle w:val="Standard"/>
        <w:spacing w:after="0" w:line="360" w:lineRule="auto"/>
        <w:jc w:val="both"/>
        <w:rPr>
          <w:rFonts w:ascii="Times New Roman" w:hAnsi="Times New Roman"/>
          <w:b/>
          <w:color w:val="222222"/>
          <w:sz w:val="24"/>
          <w:szCs w:val="20"/>
          <w:shd w:val="clear" w:color="auto" w:fill="FFFFFF"/>
        </w:rPr>
      </w:pPr>
    </w:p>
    <w:p w:rsidR="00BF0339" w:rsidRPr="00E517C2" w:rsidRDefault="00E2446F" w:rsidP="00E517C2">
      <w:pPr>
        <w:pStyle w:val="Standard"/>
        <w:spacing w:after="0" w:line="360" w:lineRule="auto"/>
        <w:jc w:val="both"/>
        <w:rPr>
          <w:rFonts w:ascii="Times New Roman" w:hAnsi="Times New Roman"/>
          <w:b/>
          <w:sz w:val="24"/>
        </w:rPr>
      </w:pPr>
      <w:r>
        <w:rPr>
          <w:rFonts w:ascii="Times New Roman" w:hAnsi="Times New Roman"/>
          <w:b/>
          <w:color w:val="222222"/>
          <w:sz w:val="24"/>
          <w:szCs w:val="20"/>
          <w:shd w:val="clear" w:color="auto" w:fill="FFFFFF"/>
        </w:rPr>
        <w:t>1</w:t>
      </w:r>
      <w:r w:rsidR="00E517C2">
        <w:rPr>
          <w:rFonts w:ascii="Times New Roman" w:hAnsi="Times New Roman"/>
          <w:b/>
          <w:color w:val="222222"/>
          <w:sz w:val="24"/>
          <w:szCs w:val="20"/>
          <w:shd w:val="clear" w:color="auto" w:fill="FFFFFF"/>
        </w:rPr>
        <w:t xml:space="preserve"> </w:t>
      </w:r>
      <w:r w:rsidR="00E517C2" w:rsidRPr="00E517C2">
        <w:rPr>
          <w:rFonts w:ascii="Times New Roman" w:hAnsi="Times New Roman"/>
          <w:b/>
          <w:sz w:val="24"/>
        </w:rPr>
        <w:t>A EXECUÇÃO POR QUANTIA CERTA EM FACE DA FAZENDA PÚBLICA</w:t>
      </w:r>
    </w:p>
    <w:p w:rsidR="00756495" w:rsidRDefault="00756495" w:rsidP="00894482">
      <w:pPr>
        <w:pStyle w:val="SemEspaamento"/>
        <w:spacing w:line="360" w:lineRule="auto"/>
        <w:jc w:val="both"/>
        <w:rPr>
          <w:b/>
          <w:highlight w:val="darkGray"/>
        </w:rPr>
      </w:pPr>
    </w:p>
    <w:p w:rsidR="00894482" w:rsidRDefault="00894482" w:rsidP="00894482">
      <w:pPr>
        <w:pStyle w:val="SemEspaamento"/>
        <w:spacing w:line="360" w:lineRule="auto"/>
        <w:jc w:val="both"/>
        <w:rPr>
          <w:b/>
        </w:rPr>
      </w:pPr>
      <w:r w:rsidRPr="00894482">
        <w:rPr>
          <w:b/>
        </w:rPr>
        <w:t xml:space="preserve">1.1 </w:t>
      </w:r>
      <w:r w:rsidR="00AC176A">
        <w:rPr>
          <w:b/>
        </w:rPr>
        <w:t>Definição e características do regime especial</w:t>
      </w:r>
      <w:r w:rsidRPr="00894482">
        <w:rPr>
          <w:b/>
        </w:rPr>
        <w:t xml:space="preserve"> </w:t>
      </w:r>
    </w:p>
    <w:p w:rsidR="00894482" w:rsidRPr="00894482" w:rsidRDefault="00894482" w:rsidP="00894482">
      <w:pPr>
        <w:pStyle w:val="SemEspaamento"/>
        <w:spacing w:line="360" w:lineRule="auto"/>
        <w:jc w:val="both"/>
        <w:rPr>
          <w:b/>
        </w:rPr>
      </w:pPr>
    </w:p>
    <w:p w:rsidR="00812129" w:rsidRDefault="00573F16" w:rsidP="00794E3A">
      <w:pPr>
        <w:spacing w:line="360" w:lineRule="auto"/>
        <w:ind w:firstLine="1134"/>
        <w:jc w:val="both"/>
        <w:rPr>
          <w:rFonts w:cs="Times New Roman"/>
        </w:rPr>
      </w:pPr>
      <w:r>
        <w:rPr>
          <w:rFonts w:cs="Times New Roman"/>
        </w:rPr>
        <w:t>A execução por quantia certa em face da Fazenda Pública tem o regime próprio, diferente do que ocorre com a execução por quantia certa em face de particular solvente.</w:t>
      </w:r>
      <w:r w:rsidR="00D742AC">
        <w:rPr>
          <w:rFonts w:cs="Times New Roman"/>
        </w:rPr>
        <w:t xml:space="preserve"> Contra este, a execução tem o fito de expropriar bens para satisfazer o credor, nas formas do artigo </w:t>
      </w:r>
      <w:r w:rsidR="00CA6685">
        <w:rPr>
          <w:rFonts w:cs="Times New Roman"/>
        </w:rPr>
        <w:t>646</w:t>
      </w:r>
      <w:r w:rsidR="00AB451A">
        <w:rPr>
          <w:rStyle w:val="Refdenotaderodap"/>
          <w:rFonts w:cs="Times New Roman"/>
        </w:rPr>
        <w:footnoteReference w:id="5"/>
      </w:r>
      <w:r w:rsidR="00CA6685">
        <w:rPr>
          <w:rFonts w:cs="Times New Roman"/>
        </w:rPr>
        <w:t xml:space="preserve"> e </w:t>
      </w:r>
      <w:r w:rsidR="00D742AC">
        <w:rPr>
          <w:rFonts w:cs="Times New Roman"/>
        </w:rPr>
        <w:t>647</w:t>
      </w:r>
      <w:r w:rsidR="00AB451A">
        <w:rPr>
          <w:rStyle w:val="Refdenotaderodap"/>
          <w:rFonts w:cs="Times New Roman"/>
        </w:rPr>
        <w:footnoteReference w:id="6"/>
      </w:r>
      <w:r w:rsidR="00D742AC">
        <w:rPr>
          <w:rFonts w:cs="Times New Roman"/>
        </w:rPr>
        <w:t xml:space="preserve"> do Código de Processo Civil (CPC), ou seja, por adjudicação, alienação </w:t>
      </w:r>
      <w:r w:rsidR="00DD6BC9">
        <w:rPr>
          <w:rFonts w:cs="Times New Roman"/>
        </w:rPr>
        <w:t xml:space="preserve">do bem </w:t>
      </w:r>
      <w:r w:rsidR="00DD6BC9">
        <w:rPr>
          <w:rFonts w:cs="Times New Roman"/>
        </w:rPr>
        <w:lastRenderedPageBreak/>
        <w:t>promovida pelo</w:t>
      </w:r>
      <w:r w:rsidR="00D742AC">
        <w:rPr>
          <w:rFonts w:cs="Times New Roman"/>
        </w:rPr>
        <w:t xml:space="preserve"> particular, hasta pública e usufruto de bem móvel ou imóvel. Já contra a </w:t>
      </w:r>
      <w:r>
        <w:rPr>
          <w:rFonts w:cs="Times New Roman"/>
        </w:rPr>
        <w:t xml:space="preserve">Fazenda – entenda-se que o entendimento de Fazenda Pública abrange a União, Estados e Municípios, bem como suas autarquias, fundações, agências executivas e reguladoras. </w:t>
      </w:r>
      <w:r w:rsidR="000F3260">
        <w:rPr>
          <w:rFonts w:cs="Times New Roman"/>
        </w:rPr>
        <w:t>Não estão</w:t>
      </w:r>
      <w:r w:rsidR="00C36BFF">
        <w:rPr>
          <w:rFonts w:cs="Times New Roman"/>
        </w:rPr>
        <w:t xml:space="preserve"> incluídas as sociedades de economia mista e as empresas públicas, uma vez que, apesar de fazerem parte da Administração Pública, possuem regime jurídico de direito privado (DIDIER, 2012) – </w:t>
      </w:r>
      <w:r w:rsidR="001D22EC">
        <w:rPr>
          <w:rFonts w:cs="Times New Roman"/>
        </w:rPr>
        <w:t>a execu</w:t>
      </w:r>
      <w:r w:rsidR="00D742AC">
        <w:rPr>
          <w:rFonts w:cs="Times New Roman"/>
        </w:rPr>
        <w:t>ção não se aperfeiçoa nesses moldes, haja vista que os bens públicos são impenhoráveis e inalienáveis</w:t>
      </w:r>
      <w:r w:rsidR="00270A00">
        <w:rPr>
          <w:rFonts w:cs="Times New Roman"/>
        </w:rPr>
        <w:t>, logo, não recai sobre ela a regra do artigo 591</w:t>
      </w:r>
      <w:r w:rsidR="00AB451A">
        <w:rPr>
          <w:rStyle w:val="Refdenotaderodap"/>
          <w:rFonts w:cs="Times New Roman"/>
        </w:rPr>
        <w:footnoteReference w:id="7"/>
      </w:r>
      <w:r w:rsidR="00270A00">
        <w:rPr>
          <w:rFonts w:cs="Times New Roman"/>
        </w:rPr>
        <w:t xml:space="preserve"> do CPC</w:t>
      </w:r>
      <w:r w:rsidR="00AB451A">
        <w:rPr>
          <w:rFonts w:cs="Times New Roman"/>
        </w:rPr>
        <w:t xml:space="preserve"> </w:t>
      </w:r>
      <w:r w:rsidR="00270A00">
        <w:rPr>
          <w:rFonts w:cs="Times New Roman"/>
        </w:rPr>
        <w:t xml:space="preserve">que trata da responsabilidade patrimonial do devedor </w:t>
      </w:r>
      <w:r w:rsidR="00D742AC">
        <w:rPr>
          <w:rFonts w:cs="Times New Roman"/>
        </w:rPr>
        <w:t xml:space="preserve">(CUNHA, 2013). </w:t>
      </w:r>
      <w:r w:rsidR="00DD6BC9">
        <w:rPr>
          <w:rFonts w:cs="Times New Roman"/>
        </w:rPr>
        <w:t>Nesse sentido,</w:t>
      </w:r>
      <w:r w:rsidR="001D22EC">
        <w:rPr>
          <w:rFonts w:cs="Times New Roman"/>
        </w:rPr>
        <w:t xml:space="preserve"> </w:t>
      </w:r>
      <w:r w:rsidR="00DD6BC9">
        <w:rPr>
          <w:rFonts w:cs="Times New Roman"/>
        </w:rPr>
        <w:t>corrobora</w:t>
      </w:r>
      <w:r w:rsidR="00D742AC">
        <w:rPr>
          <w:rFonts w:cs="Times New Roman"/>
        </w:rPr>
        <w:t xml:space="preserve"> Araken de Assis</w:t>
      </w:r>
      <w:r w:rsidR="00DD6BC9">
        <w:rPr>
          <w:rFonts w:cs="Times New Roman"/>
        </w:rPr>
        <w:t xml:space="preserve"> </w:t>
      </w:r>
      <w:r w:rsidR="00DD6BC9" w:rsidRPr="00A14ECA">
        <w:rPr>
          <w:rFonts w:cs="Times New Roman"/>
        </w:rPr>
        <w:t>(</w:t>
      </w:r>
      <w:r w:rsidR="001656A3">
        <w:rPr>
          <w:rFonts w:cs="Times New Roman"/>
        </w:rPr>
        <w:t>2012</w:t>
      </w:r>
      <w:r w:rsidR="00DD6BC9" w:rsidRPr="00A14ECA">
        <w:rPr>
          <w:rFonts w:cs="Times New Roman"/>
        </w:rPr>
        <w:t>)</w:t>
      </w:r>
      <w:r w:rsidR="005D4105">
        <w:rPr>
          <w:rFonts w:cs="Times New Roman"/>
        </w:rPr>
        <w:t xml:space="preserve"> </w:t>
      </w:r>
      <w:r w:rsidR="00DD6BC9">
        <w:rPr>
          <w:rFonts w:cs="Times New Roman"/>
        </w:rPr>
        <w:t xml:space="preserve">ao dizer </w:t>
      </w:r>
      <w:r w:rsidR="00794E3A">
        <w:rPr>
          <w:rFonts w:cs="Times New Roman"/>
        </w:rPr>
        <w:t>que</w:t>
      </w:r>
      <w:r w:rsidR="00CA6685">
        <w:rPr>
          <w:rFonts w:cs="Times New Roman"/>
        </w:rPr>
        <w:t xml:space="preserve"> há</w:t>
      </w:r>
      <w:r w:rsidR="00DD6BC9">
        <w:rPr>
          <w:rFonts w:cs="Times New Roman"/>
        </w:rPr>
        <w:t xml:space="preserve"> um</w:t>
      </w:r>
      <w:r w:rsidR="00794E3A" w:rsidRPr="00A14ECA">
        <w:rPr>
          <w:rFonts w:cs="Times New Roman"/>
        </w:rPr>
        <w:t xml:space="preserve"> procedimento </w:t>
      </w:r>
      <w:r w:rsidR="00794E3A" w:rsidRPr="00A14ECA">
        <w:rPr>
          <w:rFonts w:cs="Times New Roman"/>
          <w:i/>
        </w:rPr>
        <w:t xml:space="preserve">in executivis </w:t>
      </w:r>
      <w:r w:rsidR="00DD6BC9">
        <w:rPr>
          <w:rFonts w:cs="Times New Roman"/>
        </w:rPr>
        <w:t>especial, justificado</w:t>
      </w:r>
      <w:r w:rsidR="00B23C04">
        <w:rPr>
          <w:rFonts w:cs="Times New Roman"/>
        </w:rPr>
        <w:t xml:space="preserve"> não só na previsão constitucional (artigo 100</w:t>
      </w:r>
      <w:r w:rsidR="00A67342">
        <w:rPr>
          <w:rFonts w:cs="Times New Roman"/>
        </w:rPr>
        <w:t>, CF</w:t>
      </w:r>
      <w:r w:rsidR="00B23C04">
        <w:rPr>
          <w:rFonts w:cs="Times New Roman"/>
        </w:rPr>
        <w:t>), mas principalmente</w:t>
      </w:r>
      <w:r w:rsidR="00DD6BC9">
        <w:rPr>
          <w:rFonts w:cs="Times New Roman"/>
        </w:rPr>
        <w:t xml:space="preserve"> na inalienabilidade e impen</w:t>
      </w:r>
      <w:r w:rsidR="00CA6685">
        <w:rPr>
          <w:rFonts w:cs="Times New Roman"/>
        </w:rPr>
        <w:t>horabilidade dos bens públicos, conforme o</w:t>
      </w:r>
      <w:r w:rsidR="006021EE">
        <w:rPr>
          <w:rFonts w:cs="Times New Roman"/>
        </w:rPr>
        <w:t>s</w:t>
      </w:r>
      <w:r w:rsidR="00CA6685">
        <w:rPr>
          <w:rFonts w:cs="Times New Roman"/>
        </w:rPr>
        <w:t xml:space="preserve"> art</w:t>
      </w:r>
      <w:r w:rsidR="00627C2B">
        <w:rPr>
          <w:rFonts w:cs="Times New Roman"/>
        </w:rPr>
        <w:t>igo</w:t>
      </w:r>
      <w:r w:rsidR="006021EE">
        <w:rPr>
          <w:rFonts w:cs="Times New Roman"/>
        </w:rPr>
        <w:t>s 99</w:t>
      </w:r>
      <w:r w:rsidR="00AB451A">
        <w:rPr>
          <w:rStyle w:val="Refdenotaderodap"/>
          <w:rFonts w:cs="Times New Roman"/>
        </w:rPr>
        <w:footnoteReference w:id="8"/>
      </w:r>
      <w:r w:rsidR="006021EE">
        <w:rPr>
          <w:rFonts w:cs="Times New Roman"/>
        </w:rPr>
        <w:t xml:space="preserve"> e</w:t>
      </w:r>
      <w:r w:rsidR="00627C2B">
        <w:rPr>
          <w:rFonts w:cs="Times New Roman"/>
        </w:rPr>
        <w:t xml:space="preserve"> 100</w:t>
      </w:r>
      <w:r w:rsidR="00AB451A">
        <w:rPr>
          <w:rStyle w:val="Refdenotaderodap"/>
          <w:rFonts w:cs="Times New Roman"/>
        </w:rPr>
        <w:footnoteReference w:id="9"/>
      </w:r>
      <w:r w:rsidR="00627C2B">
        <w:rPr>
          <w:rFonts w:cs="Times New Roman"/>
        </w:rPr>
        <w:t xml:space="preserve"> do Código Civil.</w:t>
      </w:r>
    </w:p>
    <w:p w:rsidR="00794E3A" w:rsidRDefault="00627C2B" w:rsidP="00794E3A">
      <w:pPr>
        <w:spacing w:line="360" w:lineRule="auto"/>
        <w:ind w:firstLine="1134"/>
        <w:jc w:val="both"/>
        <w:rPr>
          <w:rFonts w:cs="Times New Roman"/>
        </w:rPr>
      </w:pPr>
      <w:r>
        <w:rPr>
          <w:rFonts w:cs="Times New Roman"/>
        </w:rPr>
        <w:t xml:space="preserve"> </w:t>
      </w:r>
      <w:r w:rsidR="00812129">
        <w:rPr>
          <w:rFonts w:cs="Times New Roman"/>
        </w:rPr>
        <w:t>Não sobeja lembrar as lições de Alexandre Câmara (2008)</w:t>
      </w:r>
      <w:r w:rsidR="0020165A">
        <w:rPr>
          <w:rFonts w:cs="Times New Roman"/>
        </w:rPr>
        <w:t>,</w:t>
      </w:r>
      <w:r w:rsidR="00812129">
        <w:rPr>
          <w:rFonts w:cs="Times New Roman"/>
        </w:rPr>
        <w:t xml:space="preserve"> quando diz que este regime especial só diz respeito a execuções por quantia certa. Assim, nas execuções de </w:t>
      </w:r>
      <w:r w:rsidR="002303FD">
        <w:rPr>
          <w:rFonts w:cs="Times New Roman"/>
        </w:rPr>
        <w:t xml:space="preserve">obrigações de </w:t>
      </w:r>
      <w:r w:rsidR="00812129">
        <w:rPr>
          <w:rFonts w:cs="Times New Roman"/>
        </w:rPr>
        <w:t>entregar coisa e nas de fazer e de não fazer, mesmo sendo o executado a Fazenda Pública,</w:t>
      </w:r>
      <w:r w:rsidR="002303FD">
        <w:rPr>
          <w:rFonts w:cs="Times New Roman"/>
        </w:rPr>
        <w:t xml:space="preserve"> atentar-se-á para o</w:t>
      </w:r>
      <w:r w:rsidR="00486B6B">
        <w:rPr>
          <w:rFonts w:cs="Times New Roman"/>
        </w:rPr>
        <w:t xml:space="preserve"> regime comum.</w:t>
      </w:r>
    </w:p>
    <w:p w:rsidR="00122519" w:rsidRDefault="00812129" w:rsidP="00794E3A">
      <w:pPr>
        <w:spacing w:line="360" w:lineRule="auto"/>
        <w:ind w:firstLine="1134"/>
        <w:jc w:val="both"/>
        <w:rPr>
          <w:rFonts w:cs="Times New Roman"/>
        </w:rPr>
      </w:pPr>
      <w:r>
        <w:rPr>
          <w:rFonts w:cs="Times New Roman"/>
        </w:rPr>
        <w:t xml:space="preserve">Pois bem! </w:t>
      </w:r>
      <w:r w:rsidR="007C54E7">
        <w:rPr>
          <w:rFonts w:cs="Times New Roman"/>
        </w:rPr>
        <w:t xml:space="preserve">Além da questão da inalienabilidade e consequente impenhorabilidade dos bens públicos, </w:t>
      </w:r>
      <w:r w:rsidR="005119FD">
        <w:rPr>
          <w:rFonts w:cs="Times New Roman"/>
        </w:rPr>
        <w:t>Leonardo Carne</w:t>
      </w:r>
      <w:r w:rsidR="00045684">
        <w:rPr>
          <w:rFonts w:cs="Times New Roman"/>
        </w:rPr>
        <w:t>iro da Cunha</w:t>
      </w:r>
      <w:r w:rsidR="006F33E6">
        <w:rPr>
          <w:rFonts w:cs="Times New Roman"/>
        </w:rPr>
        <w:t xml:space="preserve"> </w:t>
      </w:r>
      <w:r w:rsidR="00045684">
        <w:rPr>
          <w:rFonts w:cs="Times New Roman"/>
        </w:rPr>
        <w:t>(2013)</w:t>
      </w:r>
      <w:r w:rsidR="005335A4">
        <w:rPr>
          <w:rFonts w:cs="Times New Roman"/>
        </w:rPr>
        <w:t xml:space="preserve"> </w:t>
      </w:r>
      <w:r w:rsidR="00C320B8">
        <w:rPr>
          <w:rFonts w:cs="Times New Roman"/>
        </w:rPr>
        <w:t>chama a atenção para</w:t>
      </w:r>
      <w:r w:rsidR="005335A4">
        <w:rPr>
          <w:rFonts w:cs="Times New Roman"/>
        </w:rPr>
        <w:t xml:space="preserve"> uma </w:t>
      </w:r>
      <w:r w:rsidR="007C54E7">
        <w:rPr>
          <w:rFonts w:cs="Times New Roman"/>
        </w:rPr>
        <w:t xml:space="preserve">situação importante que </w:t>
      </w:r>
      <w:r w:rsidR="00045684">
        <w:rPr>
          <w:rFonts w:cs="Times New Roman"/>
        </w:rPr>
        <w:t>também caracteriza</w:t>
      </w:r>
      <w:r w:rsidR="007C54E7">
        <w:rPr>
          <w:rFonts w:cs="Times New Roman"/>
        </w:rPr>
        <w:t xml:space="preserve"> o regime especial de execução em face da Fazenda </w:t>
      </w:r>
      <w:r w:rsidR="00045684">
        <w:rPr>
          <w:rFonts w:cs="Times New Roman"/>
        </w:rPr>
        <w:t>Pública</w:t>
      </w:r>
      <w:r w:rsidR="006F33E6">
        <w:rPr>
          <w:rFonts w:cs="Times New Roman"/>
        </w:rPr>
        <w:t>, qual seja:</w:t>
      </w:r>
      <w:r w:rsidR="00045684">
        <w:rPr>
          <w:rFonts w:cs="Times New Roman"/>
        </w:rPr>
        <w:t xml:space="preserve"> a não adequação ao processo sincrético. </w:t>
      </w:r>
      <w:r w:rsidR="00111875">
        <w:rPr>
          <w:rFonts w:cs="Times New Roman"/>
        </w:rPr>
        <w:t>Diz ele que a</w:t>
      </w:r>
      <w:r w:rsidR="00045684">
        <w:rPr>
          <w:rFonts w:cs="Times New Roman"/>
        </w:rPr>
        <w:t xml:space="preserve"> reforma do Códig</w:t>
      </w:r>
      <w:r w:rsidR="00F02662">
        <w:rPr>
          <w:rFonts w:cs="Times New Roman"/>
        </w:rPr>
        <w:t xml:space="preserve">o </w:t>
      </w:r>
      <w:r w:rsidR="00045684">
        <w:rPr>
          <w:rFonts w:cs="Times New Roman"/>
        </w:rPr>
        <w:t>de Processo Civil de 2005</w:t>
      </w:r>
      <w:r w:rsidR="00111875">
        <w:rPr>
          <w:rFonts w:cs="Times New Roman"/>
        </w:rPr>
        <w:t>,</w:t>
      </w:r>
      <w:r w:rsidR="00F02662">
        <w:rPr>
          <w:rFonts w:cs="Times New Roman"/>
        </w:rPr>
        <w:t xml:space="preserve"> </w:t>
      </w:r>
      <w:r w:rsidR="00111875">
        <w:rPr>
          <w:rFonts w:cs="Times New Roman"/>
        </w:rPr>
        <w:t xml:space="preserve">a qual </w:t>
      </w:r>
      <w:r w:rsidR="00F02662">
        <w:rPr>
          <w:rFonts w:cs="Times New Roman"/>
        </w:rPr>
        <w:t>criou o processo sincrético</w:t>
      </w:r>
      <w:r w:rsidR="00111875">
        <w:rPr>
          <w:rFonts w:cs="Times New Roman"/>
        </w:rPr>
        <w:t>,</w:t>
      </w:r>
      <w:r w:rsidR="00045684">
        <w:rPr>
          <w:rFonts w:cs="Times New Roman"/>
        </w:rPr>
        <w:t xml:space="preserve"> </w:t>
      </w:r>
      <w:r w:rsidR="00111875">
        <w:rPr>
          <w:rFonts w:cs="Times New Roman"/>
        </w:rPr>
        <w:t xml:space="preserve">determinou que </w:t>
      </w:r>
      <w:r w:rsidR="00045684">
        <w:rPr>
          <w:rFonts w:cs="Times New Roman"/>
        </w:rPr>
        <w:t>não há</w:t>
      </w:r>
      <w:r w:rsidR="00111875">
        <w:rPr>
          <w:rFonts w:cs="Times New Roman"/>
        </w:rPr>
        <w:t xml:space="preserve"> mais</w:t>
      </w:r>
      <w:r w:rsidR="00F02662">
        <w:rPr>
          <w:rFonts w:cs="Times New Roman"/>
        </w:rPr>
        <w:t xml:space="preserve"> necessidade de um processo de execução autônomo</w:t>
      </w:r>
      <w:r w:rsidR="00045684">
        <w:rPr>
          <w:rFonts w:cs="Times New Roman"/>
        </w:rPr>
        <w:t xml:space="preserve"> fundado em título judicial,</w:t>
      </w:r>
      <w:r w:rsidR="00A650D2">
        <w:rPr>
          <w:rFonts w:cs="Times New Roman"/>
        </w:rPr>
        <w:t xml:space="preserve"> portanto,</w:t>
      </w:r>
      <w:r w:rsidR="00045684">
        <w:rPr>
          <w:rFonts w:cs="Times New Roman"/>
        </w:rPr>
        <w:t xml:space="preserve"> a sentença </w:t>
      </w:r>
      <w:r w:rsidR="00111875">
        <w:rPr>
          <w:rFonts w:cs="Times New Roman"/>
        </w:rPr>
        <w:t xml:space="preserve">exarada no processo cognitivo </w:t>
      </w:r>
      <w:r w:rsidR="00045684">
        <w:rPr>
          <w:rFonts w:cs="Times New Roman"/>
        </w:rPr>
        <w:t xml:space="preserve">passa a ser </w:t>
      </w:r>
      <w:r w:rsidR="00111875">
        <w:rPr>
          <w:rFonts w:cs="Times New Roman"/>
        </w:rPr>
        <w:t>mero objeto de cumprimento, iniciando, assim, um módulo executivo no mesmo processo</w:t>
      </w:r>
      <w:r w:rsidR="00045684">
        <w:rPr>
          <w:rFonts w:cs="Times New Roman"/>
        </w:rPr>
        <w:t>. No entanto,</w:t>
      </w:r>
      <w:r w:rsidR="00AF013B">
        <w:rPr>
          <w:rFonts w:cs="Times New Roman"/>
        </w:rPr>
        <w:t xml:space="preserve"> a Fazenda Pública não é alvo desta nova sistemática. Contra ela conti</w:t>
      </w:r>
      <w:r w:rsidR="00236C1C">
        <w:rPr>
          <w:rFonts w:cs="Times New Roman"/>
        </w:rPr>
        <w:t>nua cabendo a execução autônoma, disciplinada no Livro II do CPC, nos artigos</w:t>
      </w:r>
      <w:r w:rsidR="00FF10A7">
        <w:rPr>
          <w:rFonts w:cs="Times New Roman"/>
        </w:rPr>
        <w:t xml:space="preserve"> </w:t>
      </w:r>
      <w:r w:rsidR="00236C1C">
        <w:rPr>
          <w:rFonts w:cs="Times New Roman"/>
        </w:rPr>
        <w:lastRenderedPageBreak/>
        <w:t>730</w:t>
      </w:r>
      <w:r w:rsidR="001475F2">
        <w:rPr>
          <w:rStyle w:val="Refdenotaderodap"/>
          <w:rFonts w:cs="Times New Roman"/>
        </w:rPr>
        <w:footnoteReference w:id="10"/>
      </w:r>
      <w:r w:rsidR="00236C1C">
        <w:rPr>
          <w:rFonts w:cs="Times New Roman"/>
        </w:rPr>
        <w:t xml:space="preserve"> e 731</w:t>
      </w:r>
      <w:r w:rsidR="001475F2">
        <w:rPr>
          <w:rStyle w:val="Refdenotaderodap"/>
          <w:rFonts w:cs="Times New Roman"/>
        </w:rPr>
        <w:footnoteReference w:id="11"/>
      </w:r>
      <w:r w:rsidR="00236C1C">
        <w:rPr>
          <w:rFonts w:cs="Times New Roman"/>
        </w:rPr>
        <w:t>, além do 741</w:t>
      </w:r>
      <w:r w:rsidR="00FC0E6E">
        <w:rPr>
          <w:rStyle w:val="Refdenotaderodap"/>
          <w:rFonts w:cs="Times New Roman"/>
        </w:rPr>
        <w:footnoteReference w:id="12"/>
      </w:r>
      <w:r w:rsidR="00236C1C">
        <w:rPr>
          <w:rFonts w:cs="Times New Roman"/>
        </w:rPr>
        <w:t xml:space="preserve"> que trata da ação de embargos à execução. </w:t>
      </w:r>
    </w:p>
    <w:p w:rsidR="00647B33" w:rsidRDefault="00256987" w:rsidP="00647B33">
      <w:pPr>
        <w:spacing w:line="360" w:lineRule="auto"/>
        <w:ind w:firstLine="1134"/>
        <w:jc w:val="both"/>
        <w:rPr>
          <w:rFonts w:cs="Times New Roman"/>
        </w:rPr>
      </w:pPr>
      <w:r>
        <w:rPr>
          <w:rFonts w:cs="Times New Roman"/>
        </w:rPr>
        <w:t xml:space="preserve">Outra questão importante diz respeito ao cabimento ou não do regime especial a títulos extrajudiciais, uma vez que o artigo 100 da Constituição Federal se refere apenas a títulos provenientes de sentença judiciária, </w:t>
      </w:r>
      <w:r w:rsidR="00647B33">
        <w:rPr>
          <w:rFonts w:cs="Times New Roman"/>
        </w:rPr>
        <w:t>ou seja, estariam tão somente voltados para títulos judiciais, excluindo os extrajudiciais. Isso implicaria que aquele que tivesse título extrajudicial contra a Fazenda P</w:t>
      </w:r>
      <w:r>
        <w:rPr>
          <w:rFonts w:cs="Times New Roman"/>
        </w:rPr>
        <w:t>ública, necessariamente deveria</w:t>
      </w:r>
      <w:r w:rsidR="00647B33">
        <w:rPr>
          <w:rFonts w:cs="Times New Roman"/>
        </w:rPr>
        <w:t xml:space="preserve"> entrar com o processo cognitivo para obter o título judicial (CÂMARA, 2008, p.309). A posição dominante, nesse contexto, seria que é sim admitida a execução fundada em título extrajudicial, com a fundamentação de que:</w:t>
      </w:r>
    </w:p>
    <w:p w:rsidR="00647B33" w:rsidRDefault="00647B33" w:rsidP="00647B33">
      <w:pPr>
        <w:spacing w:line="360" w:lineRule="auto"/>
        <w:jc w:val="both"/>
        <w:rPr>
          <w:rFonts w:cs="Times New Roman"/>
        </w:rPr>
      </w:pPr>
    </w:p>
    <w:p w:rsidR="00647B33" w:rsidRDefault="00A018ED" w:rsidP="00A018ED">
      <w:pPr>
        <w:ind w:left="2268"/>
        <w:jc w:val="both"/>
        <w:rPr>
          <w:rFonts w:cs="Times New Roman"/>
          <w:sz w:val="20"/>
          <w:szCs w:val="20"/>
        </w:rPr>
      </w:pPr>
      <w:r>
        <w:rPr>
          <w:rFonts w:cs="Times New Roman"/>
          <w:sz w:val="20"/>
          <w:szCs w:val="20"/>
        </w:rPr>
        <w:t xml:space="preserve">Em primeiro lugar, não há </w:t>
      </w:r>
      <w:r w:rsidRPr="00743B3B">
        <w:rPr>
          <w:rFonts w:cs="Times New Roman"/>
          <w:sz w:val="20"/>
          <w:szCs w:val="20"/>
        </w:rPr>
        <w:t>qualquer vedaçã</w:t>
      </w:r>
      <w:r>
        <w:rPr>
          <w:rFonts w:cs="Times New Roman"/>
          <w:sz w:val="20"/>
          <w:szCs w:val="20"/>
        </w:rPr>
        <w:t>o legal à execução fundada em tí</w:t>
      </w:r>
      <w:r w:rsidRPr="00743B3B">
        <w:rPr>
          <w:rFonts w:cs="Times New Roman"/>
          <w:sz w:val="20"/>
          <w:szCs w:val="20"/>
        </w:rPr>
        <w:t>tulo extrajudicial</w:t>
      </w:r>
      <w:r>
        <w:rPr>
          <w:rFonts w:cs="Times New Roman"/>
          <w:sz w:val="20"/>
          <w:szCs w:val="20"/>
        </w:rPr>
        <w:t xml:space="preserve"> contra a Fazenda Pública. Além disso, ao argumento que seria estranho admitir a eficácia executiva de títulos extrajudiciais quando para os títulos judiciais exige-se o duplo grau de jurisdição obrigatório, responde-se com a lembrança de que nenhuma constrição patrimonial se faz sobre o patrimônio da Fazenda Pública nem depois, nem, muito menos, antes da expedição de precatório (CÂMARA, 2008, p. 310). </w:t>
      </w:r>
    </w:p>
    <w:p w:rsidR="00A018ED" w:rsidRDefault="00A018ED" w:rsidP="00A018ED">
      <w:pPr>
        <w:spacing w:line="360" w:lineRule="auto"/>
        <w:jc w:val="both"/>
        <w:rPr>
          <w:rFonts w:cs="Times New Roman"/>
          <w:szCs w:val="20"/>
        </w:rPr>
      </w:pPr>
    </w:p>
    <w:p w:rsidR="008C78FA" w:rsidRDefault="008C78FA" w:rsidP="00A018ED">
      <w:pPr>
        <w:spacing w:line="360" w:lineRule="auto"/>
        <w:ind w:firstLine="1134"/>
        <w:jc w:val="both"/>
        <w:rPr>
          <w:rFonts w:cs="Times New Roman"/>
          <w:szCs w:val="20"/>
        </w:rPr>
      </w:pPr>
      <w:r>
        <w:rPr>
          <w:rFonts w:cs="Times New Roman"/>
          <w:szCs w:val="20"/>
        </w:rPr>
        <w:t>Além disso, o Superior Tribunal de Justiça (STJ) já se pronunciou a respeito do tema na súmula 279</w:t>
      </w:r>
      <w:r>
        <w:rPr>
          <w:rStyle w:val="Refdenotaderodap"/>
          <w:rFonts w:cs="Times New Roman"/>
          <w:szCs w:val="20"/>
        </w:rPr>
        <w:footnoteReference w:id="13"/>
      </w:r>
      <w:r>
        <w:rPr>
          <w:rFonts w:cs="Times New Roman"/>
          <w:szCs w:val="20"/>
        </w:rPr>
        <w:t xml:space="preserve"> confirmando a execução contra a Fazenda Pública com título extrajudicial. </w:t>
      </w:r>
    </w:p>
    <w:p w:rsidR="00A62805" w:rsidRDefault="00A62805" w:rsidP="00A018ED">
      <w:pPr>
        <w:spacing w:line="360" w:lineRule="auto"/>
        <w:ind w:firstLine="1134"/>
        <w:jc w:val="both"/>
        <w:rPr>
          <w:rFonts w:cs="Times New Roman"/>
          <w:szCs w:val="20"/>
        </w:rPr>
      </w:pPr>
      <w:r>
        <w:rPr>
          <w:rFonts w:cs="Times New Roman"/>
          <w:szCs w:val="20"/>
        </w:rPr>
        <w:t xml:space="preserve">Feitas essas considerações sobre o regime especial, o que se depreende dele é: existe uma previsão constitucional, o artigo 100, que o autoriza; é fundado especialmente na questão da inalienabilidade e impenhorabilidade dos bens públicos; mantém o processo autônomo de </w:t>
      </w:r>
      <w:r>
        <w:rPr>
          <w:rFonts w:cs="Times New Roman"/>
          <w:szCs w:val="20"/>
        </w:rPr>
        <w:lastRenderedPageBreak/>
        <w:t xml:space="preserve">execução; e é cabível tanto para títulos judiciais quanto para títulos extrajudiciais. </w:t>
      </w:r>
    </w:p>
    <w:p w:rsidR="00A018ED" w:rsidRPr="00A018ED" w:rsidRDefault="00A62805" w:rsidP="00A018ED">
      <w:pPr>
        <w:spacing w:line="360" w:lineRule="auto"/>
        <w:ind w:firstLine="1134"/>
        <w:jc w:val="both"/>
        <w:rPr>
          <w:rFonts w:cs="Times New Roman"/>
          <w:szCs w:val="20"/>
        </w:rPr>
      </w:pPr>
      <w:r>
        <w:rPr>
          <w:rFonts w:cs="Times New Roman"/>
          <w:szCs w:val="20"/>
        </w:rPr>
        <w:t>Passa-se agora a analisar o pro</w:t>
      </w:r>
      <w:r w:rsidR="00B76E83">
        <w:rPr>
          <w:rFonts w:cs="Times New Roman"/>
          <w:szCs w:val="20"/>
        </w:rPr>
        <w:t>cedimento desse regime especial,</w:t>
      </w:r>
      <w:r>
        <w:rPr>
          <w:rFonts w:cs="Times New Roman"/>
          <w:szCs w:val="20"/>
        </w:rPr>
        <w:t xml:space="preserve"> </w:t>
      </w:r>
      <w:r w:rsidR="00B76E83">
        <w:rPr>
          <w:rFonts w:cs="Times New Roman"/>
          <w:szCs w:val="20"/>
        </w:rPr>
        <w:t>p</w:t>
      </w:r>
      <w:r w:rsidR="00A66315">
        <w:rPr>
          <w:rFonts w:cs="Times New Roman"/>
          <w:szCs w:val="20"/>
        </w:rPr>
        <w:t>or conseguinte</w:t>
      </w:r>
      <w:r w:rsidR="00B76E83">
        <w:rPr>
          <w:rFonts w:cs="Times New Roman"/>
          <w:szCs w:val="20"/>
        </w:rPr>
        <w:t>,</w:t>
      </w:r>
      <w:r w:rsidR="00A66315">
        <w:rPr>
          <w:rFonts w:cs="Times New Roman"/>
          <w:szCs w:val="20"/>
        </w:rPr>
        <w:t xml:space="preserve"> o</w:t>
      </w:r>
      <w:r>
        <w:rPr>
          <w:rFonts w:cs="Times New Roman"/>
          <w:szCs w:val="20"/>
        </w:rPr>
        <w:t xml:space="preserve"> regime de precatórios.  </w:t>
      </w:r>
    </w:p>
    <w:p w:rsidR="00647B33" w:rsidRDefault="00647B33" w:rsidP="00794E3A">
      <w:pPr>
        <w:spacing w:line="360" w:lineRule="auto"/>
        <w:ind w:firstLine="1134"/>
        <w:jc w:val="both"/>
        <w:rPr>
          <w:rFonts w:cs="Times New Roman"/>
        </w:rPr>
      </w:pPr>
    </w:p>
    <w:p w:rsidR="00122519" w:rsidRPr="00A62805" w:rsidRDefault="00A62805" w:rsidP="00A62805">
      <w:pPr>
        <w:spacing w:line="360" w:lineRule="auto"/>
        <w:jc w:val="both"/>
        <w:rPr>
          <w:rFonts w:cs="Times New Roman"/>
          <w:b/>
        </w:rPr>
      </w:pPr>
      <w:r>
        <w:rPr>
          <w:rFonts w:cs="Times New Roman"/>
          <w:b/>
        </w:rPr>
        <w:t xml:space="preserve">1.2 </w:t>
      </w:r>
      <w:r w:rsidR="00AC176A">
        <w:rPr>
          <w:rFonts w:cs="Times New Roman"/>
          <w:b/>
        </w:rPr>
        <w:t xml:space="preserve">Dos </w:t>
      </w:r>
      <w:r>
        <w:rPr>
          <w:rFonts w:cs="Times New Roman"/>
          <w:b/>
        </w:rPr>
        <w:t>precatórios</w:t>
      </w:r>
    </w:p>
    <w:p w:rsidR="00122519" w:rsidRDefault="00122519" w:rsidP="00794E3A">
      <w:pPr>
        <w:spacing w:line="360" w:lineRule="auto"/>
        <w:ind w:firstLine="1134"/>
        <w:jc w:val="both"/>
        <w:rPr>
          <w:rFonts w:cs="Times New Roman"/>
        </w:rPr>
      </w:pPr>
    </w:p>
    <w:p w:rsidR="00AE5F53" w:rsidRDefault="000D702C" w:rsidP="00AE5F53">
      <w:pPr>
        <w:spacing w:line="360" w:lineRule="auto"/>
        <w:ind w:firstLine="1134"/>
        <w:jc w:val="both"/>
        <w:rPr>
          <w:rFonts w:cs="Times New Roman"/>
        </w:rPr>
      </w:pPr>
      <w:r>
        <w:rPr>
          <w:rFonts w:cs="Times New Roman"/>
        </w:rPr>
        <w:t>Existem despesas públicas que não são programadas, por isso, não são incluídas no orçamento. Não se encaixam também no conceito de despesas extraordinárias</w:t>
      </w:r>
      <w:r w:rsidR="00FB4934">
        <w:rPr>
          <w:rFonts w:cs="Times New Roman"/>
        </w:rPr>
        <w:t xml:space="preserve"> – decorrentes de calamidades públicas e iminência de guerra, conforme artigo 148, I do Constituição Federal –</w:t>
      </w:r>
      <w:r w:rsidR="006424A3">
        <w:rPr>
          <w:rFonts w:cs="Times New Roman"/>
        </w:rPr>
        <w:t xml:space="preserve">, pois não se sabe o seu valor exato, mas se sabe que ela ocorrerá no exercício financeiro. Tratam-se dos pagamentos </w:t>
      </w:r>
      <w:r w:rsidR="00EA047C">
        <w:rPr>
          <w:rFonts w:cs="Times New Roman"/>
        </w:rPr>
        <w:t xml:space="preserve">que Fazenda é obrigada a fazer após condenação transitada em julgado por medida judicial tomada por particular. Essas condenações são constantes e se fossem pagas imediatamente </w:t>
      </w:r>
      <w:r w:rsidR="00D27BB4">
        <w:rPr>
          <w:rFonts w:cs="Times New Roman"/>
        </w:rPr>
        <w:t xml:space="preserve">trariam grande transtorno à organização do orçamento, uma vez que os valores e </w:t>
      </w:r>
      <w:r w:rsidR="00256987">
        <w:rPr>
          <w:rFonts w:cs="Times New Roman"/>
        </w:rPr>
        <w:t xml:space="preserve">o </w:t>
      </w:r>
      <w:r w:rsidR="00D27BB4">
        <w:rPr>
          <w:rFonts w:cs="Times New Roman"/>
        </w:rPr>
        <w:t>momento do pagamento são imprevisíveis. Para</w:t>
      </w:r>
      <w:r w:rsidR="00256987">
        <w:rPr>
          <w:rFonts w:cs="Times New Roman"/>
        </w:rPr>
        <w:t xml:space="preserve"> tentar sanar essa problemática –</w:t>
      </w:r>
      <w:r w:rsidR="00D27BB4">
        <w:rPr>
          <w:rFonts w:cs="Times New Roman"/>
        </w:rPr>
        <w:t xml:space="preserve"> dever de pagar o título judicial sem desestabilizar o orçamento público</w:t>
      </w:r>
      <w:r w:rsidR="00256987">
        <w:rPr>
          <w:rFonts w:cs="Times New Roman"/>
        </w:rPr>
        <w:t xml:space="preserve"> –</w:t>
      </w:r>
      <w:r w:rsidR="00D27BB4">
        <w:rPr>
          <w:rFonts w:cs="Times New Roman"/>
        </w:rPr>
        <w:t xml:space="preserve"> é que o legislador criou um mecanismo denominado precatório, disciplinado no artigo 100 da Constituição Federal</w:t>
      </w:r>
      <w:r w:rsidR="00425482">
        <w:rPr>
          <w:rFonts w:cs="Times New Roman"/>
        </w:rPr>
        <w:t xml:space="preserve"> </w:t>
      </w:r>
      <w:r w:rsidR="00FB4934">
        <w:rPr>
          <w:rFonts w:cs="Times New Roman"/>
        </w:rPr>
        <w:t>(</w:t>
      </w:r>
      <w:r w:rsidR="003F6160">
        <w:rPr>
          <w:rFonts w:cs="Times New Roman"/>
        </w:rPr>
        <w:t>ABRAHAM, 2010)</w:t>
      </w:r>
      <w:r w:rsidR="00D27BB4">
        <w:rPr>
          <w:rFonts w:cs="Times New Roman"/>
        </w:rPr>
        <w:t>.</w:t>
      </w:r>
    </w:p>
    <w:p w:rsidR="00B769E9" w:rsidRDefault="00D27BB4" w:rsidP="00F90CF6">
      <w:pPr>
        <w:spacing w:line="360" w:lineRule="auto"/>
        <w:ind w:firstLine="1134"/>
        <w:jc w:val="both"/>
        <w:rPr>
          <w:rFonts w:cs="Times New Roman"/>
        </w:rPr>
      </w:pPr>
      <w:r>
        <w:rPr>
          <w:rFonts w:cs="Times New Roman"/>
        </w:rPr>
        <w:t xml:space="preserve"> </w:t>
      </w:r>
      <w:r w:rsidR="00AE5F53">
        <w:rPr>
          <w:rFonts w:cs="Times New Roman"/>
        </w:rPr>
        <w:t>Ou seja, mesmo diante do princí</w:t>
      </w:r>
      <w:r w:rsidR="00AE5F53" w:rsidRPr="00A14ECA">
        <w:rPr>
          <w:rFonts w:cs="Times New Roman"/>
        </w:rPr>
        <w:t>pio da inalienabilidade dos bens do domínio nacional, tem o</w:t>
      </w:r>
      <w:r w:rsidR="00AE5F53">
        <w:rPr>
          <w:rFonts w:cs="Times New Roman"/>
        </w:rPr>
        <w:t xml:space="preserve"> Estado o</w:t>
      </w:r>
      <w:r w:rsidR="00AE5F53" w:rsidRPr="00A14ECA">
        <w:rPr>
          <w:rFonts w:cs="Times New Roman"/>
        </w:rPr>
        <w:t xml:space="preserve"> dever de satisfazer os créditos dos particulares</w:t>
      </w:r>
      <w:r w:rsidR="00AE5F53">
        <w:rPr>
          <w:rFonts w:cs="Times New Roman"/>
        </w:rPr>
        <w:t xml:space="preserve"> em face da Fazenda Pú</w:t>
      </w:r>
      <w:r w:rsidR="00AE5F53" w:rsidRPr="00A14ECA">
        <w:rPr>
          <w:rFonts w:cs="Times New Roman"/>
        </w:rPr>
        <w:t xml:space="preserve">blica. Dessa forma, criou-se um </w:t>
      </w:r>
      <w:r w:rsidR="00AE5F53">
        <w:rPr>
          <w:rFonts w:cs="Times New Roman"/>
        </w:rPr>
        <w:t>“</w:t>
      </w:r>
      <w:r w:rsidR="00AE5F53" w:rsidRPr="00A14ECA">
        <w:rPr>
          <w:rFonts w:cs="Times New Roman"/>
        </w:rPr>
        <w:t>mecanismo</w:t>
      </w:r>
      <w:r w:rsidR="00AE5F53">
        <w:rPr>
          <w:rFonts w:cs="Times New Roman"/>
        </w:rPr>
        <w:t>” que pudesse dar</w:t>
      </w:r>
      <w:r w:rsidR="00AE5F53" w:rsidRPr="00A14ECA">
        <w:rPr>
          <w:rFonts w:cs="Times New Roman"/>
        </w:rPr>
        <w:t xml:space="preserve"> equilíbrio</w:t>
      </w:r>
      <w:r w:rsidR="00AE5F53">
        <w:rPr>
          <w:rFonts w:cs="Times New Roman"/>
        </w:rPr>
        <w:t xml:space="preserve"> a essa relação. A fó</w:t>
      </w:r>
      <w:r w:rsidR="00AE5F53" w:rsidRPr="00A14ECA">
        <w:rPr>
          <w:rFonts w:cs="Times New Roman"/>
        </w:rPr>
        <w:t>rmula constitucional tem perti</w:t>
      </w:r>
      <w:r w:rsidR="00AE5F53">
        <w:rPr>
          <w:rFonts w:cs="Times New Roman"/>
        </w:rPr>
        <w:t>nência à expedição de precatório</w:t>
      </w:r>
      <w:r w:rsidR="00AE5F53" w:rsidRPr="00A14ECA">
        <w:rPr>
          <w:rFonts w:cs="Times New Roman"/>
        </w:rPr>
        <w:t xml:space="preserve"> (</w:t>
      </w:r>
      <w:r w:rsidR="00C47D0F">
        <w:rPr>
          <w:rFonts w:cs="Times New Roman"/>
        </w:rPr>
        <w:t>ASSIS, 2012</w:t>
      </w:r>
      <w:r w:rsidR="00AE5F53" w:rsidRPr="00A14ECA">
        <w:rPr>
          <w:rFonts w:cs="Times New Roman"/>
        </w:rPr>
        <w:t>)</w:t>
      </w:r>
      <w:r w:rsidR="00AE5F53">
        <w:rPr>
          <w:rFonts w:cs="Times New Roman"/>
        </w:rPr>
        <w:t>.</w:t>
      </w:r>
    </w:p>
    <w:p w:rsidR="00B769E9" w:rsidRDefault="00DD5F7F" w:rsidP="00F90CF6">
      <w:pPr>
        <w:spacing w:line="360" w:lineRule="auto"/>
        <w:ind w:firstLine="1134"/>
        <w:jc w:val="both"/>
        <w:rPr>
          <w:rFonts w:cs="Times New Roman"/>
        </w:rPr>
      </w:pPr>
      <w:r>
        <w:rPr>
          <w:rFonts w:cs="Times New Roman"/>
        </w:rPr>
        <w:t xml:space="preserve">Marcus </w:t>
      </w:r>
      <w:r w:rsidR="00B769E9">
        <w:rPr>
          <w:rFonts w:cs="Times New Roman"/>
        </w:rPr>
        <w:t xml:space="preserve">Abraham (2010) explica que o </w:t>
      </w:r>
      <w:r w:rsidR="00F90CF6">
        <w:rPr>
          <w:rFonts w:cs="Times New Roman"/>
        </w:rPr>
        <w:t>precatório é uma invenção genuinamente brasileira, data</w:t>
      </w:r>
      <w:r w:rsidR="00B769E9">
        <w:rPr>
          <w:rFonts w:cs="Times New Roman"/>
        </w:rPr>
        <w:t>da</w:t>
      </w:r>
      <w:r w:rsidR="00F90CF6">
        <w:rPr>
          <w:rFonts w:cs="Times New Roman"/>
        </w:rPr>
        <w:t xml:space="preserve"> do século XIX, e provém do instituto “precatória de vênia”, o qual requisitava do Tesouro recursos para o pagamento de dívidas</w:t>
      </w:r>
      <w:r w:rsidR="00B769E9">
        <w:rPr>
          <w:rFonts w:cs="Times New Roman"/>
        </w:rPr>
        <w:t xml:space="preserve"> da Fazenda</w:t>
      </w:r>
      <w:r w:rsidR="00F90CF6">
        <w:rPr>
          <w:rFonts w:cs="Times New Roman"/>
        </w:rPr>
        <w:t>, considerando a impenhorabilidade dos bens públicos.</w:t>
      </w:r>
      <w:r w:rsidR="00B769E9">
        <w:rPr>
          <w:rFonts w:cs="Times New Roman"/>
        </w:rPr>
        <w:t xml:space="preserve"> Nessa mesma senda, no contexto atual, define precatório da seguinte forma:</w:t>
      </w:r>
    </w:p>
    <w:p w:rsidR="00B769E9" w:rsidRDefault="00B769E9" w:rsidP="00F90CF6">
      <w:pPr>
        <w:spacing w:line="360" w:lineRule="auto"/>
        <w:ind w:firstLine="1134"/>
        <w:jc w:val="both"/>
        <w:rPr>
          <w:rFonts w:cs="Times New Roman"/>
        </w:rPr>
      </w:pPr>
    </w:p>
    <w:p w:rsidR="00D62FA5" w:rsidRPr="00B769E9" w:rsidRDefault="00B769E9" w:rsidP="00B769E9">
      <w:pPr>
        <w:widowControl/>
        <w:suppressAutoHyphens w:val="0"/>
        <w:autoSpaceDE w:val="0"/>
        <w:adjustRightInd w:val="0"/>
        <w:ind w:left="2268"/>
        <w:jc w:val="both"/>
        <w:textAlignment w:val="auto"/>
        <w:rPr>
          <w:rFonts w:cs="Times New Roman"/>
        </w:rPr>
      </w:pPr>
      <w:r w:rsidRPr="00B769E9">
        <w:rPr>
          <w:rFonts w:cs="Times New Roman"/>
          <w:kern w:val="0"/>
          <w:sz w:val="20"/>
          <w:szCs w:val="20"/>
          <w:lang w:bidi="ar-SA"/>
        </w:rPr>
        <w:t>De maneira simplificada, podemos dizer que o Precatório é a requisição formal de pagamento que a</w:t>
      </w:r>
      <w:r>
        <w:rPr>
          <w:rFonts w:cs="Times New Roman"/>
          <w:kern w:val="0"/>
          <w:sz w:val="20"/>
          <w:szCs w:val="20"/>
          <w:lang w:bidi="ar-SA"/>
        </w:rPr>
        <w:t xml:space="preserve"> </w:t>
      </w:r>
      <w:r w:rsidRPr="00B769E9">
        <w:rPr>
          <w:rFonts w:cs="Times New Roman"/>
          <w:kern w:val="0"/>
          <w:sz w:val="20"/>
          <w:szCs w:val="20"/>
          <w:lang w:bidi="ar-SA"/>
        </w:rPr>
        <w:t>Fazenda Pública é condenada judicialmente a realizar. Assim, diversamente do particular que,</w:t>
      </w:r>
      <w:r>
        <w:rPr>
          <w:rFonts w:cs="Times New Roman"/>
          <w:kern w:val="0"/>
          <w:sz w:val="20"/>
          <w:szCs w:val="20"/>
          <w:lang w:bidi="ar-SA"/>
        </w:rPr>
        <w:t xml:space="preserve"> </w:t>
      </w:r>
      <w:r w:rsidRPr="00B769E9">
        <w:rPr>
          <w:rFonts w:cs="Times New Roman"/>
          <w:kern w:val="0"/>
          <w:sz w:val="20"/>
          <w:szCs w:val="20"/>
          <w:lang w:bidi="ar-SA"/>
        </w:rPr>
        <w:t>quando condenado, é obrigado a realizar o pagamento imediatamente e em dinheiro ao vencedor da</w:t>
      </w:r>
      <w:r>
        <w:rPr>
          <w:rFonts w:cs="Times New Roman"/>
          <w:kern w:val="0"/>
          <w:sz w:val="20"/>
          <w:szCs w:val="20"/>
          <w:lang w:bidi="ar-SA"/>
        </w:rPr>
        <w:t xml:space="preserve"> </w:t>
      </w:r>
      <w:r w:rsidRPr="00B769E9">
        <w:rPr>
          <w:rFonts w:cs="Times New Roman"/>
          <w:kern w:val="0"/>
          <w:sz w:val="20"/>
          <w:szCs w:val="20"/>
          <w:lang w:bidi="ar-SA"/>
        </w:rPr>
        <w:t>demanda judicial, a Fazenda Pública, condenada em uma ação, apenas realiza o respectivo</w:t>
      </w:r>
      <w:r>
        <w:rPr>
          <w:rFonts w:cs="Times New Roman"/>
          <w:kern w:val="0"/>
          <w:sz w:val="20"/>
          <w:szCs w:val="20"/>
          <w:lang w:bidi="ar-SA"/>
        </w:rPr>
        <w:t xml:space="preserve"> </w:t>
      </w:r>
      <w:r w:rsidRPr="00B769E9">
        <w:rPr>
          <w:rFonts w:cs="Times New Roman"/>
          <w:kern w:val="0"/>
          <w:sz w:val="20"/>
          <w:szCs w:val="20"/>
          <w:lang w:bidi="ar-SA"/>
        </w:rPr>
        <w:t>pagamento a partir do exercício financeiro seguinte, após a inclusão de tal despesa no seu</w:t>
      </w:r>
      <w:r>
        <w:rPr>
          <w:rFonts w:cs="Times New Roman"/>
          <w:kern w:val="0"/>
          <w:sz w:val="20"/>
          <w:szCs w:val="20"/>
          <w:lang w:bidi="ar-SA"/>
        </w:rPr>
        <w:t xml:space="preserve"> orçamento, desde que </w:t>
      </w:r>
      <w:r w:rsidR="00B92CBD">
        <w:rPr>
          <w:rFonts w:cs="Times New Roman"/>
          <w:kern w:val="0"/>
          <w:sz w:val="20"/>
          <w:szCs w:val="20"/>
          <w:lang w:bidi="ar-SA"/>
        </w:rPr>
        <w:t>a</w:t>
      </w:r>
      <w:r w:rsidRPr="00B769E9">
        <w:rPr>
          <w:rFonts w:cs="Times New Roman"/>
          <w:kern w:val="0"/>
          <w:sz w:val="20"/>
          <w:szCs w:val="20"/>
          <w:lang w:bidi="ar-SA"/>
        </w:rPr>
        <w:t>presentada até primeiro de julho do ano anterior, prazo este fixado pela</w:t>
      </w:r>
      <w:r>
        <w:rPr>
          <w:rFonts w:cs="Times New Roman"/>
          <w:kern w:val="0"/>
          <w:sz w:val="20"/>
          <w:szCs w:val="20"/>
          <w:lang w:bidi="ar-SA"/>
        </w:rPr>
        <w:t xml:space="preserve"> </w:t>
      </w:r>
      <w:r w:rsidRPr="00B769E9">
        <w:rPr>
          <w:rFonts w:cs="Times New Roman"/>
          <w:kern w:val="0"/>
          <w:sz w:val="20"/>
          <w:szCs w:val="20"/>
          <w:lang w:bidi="ar-SA"/>
        </w:rPr>
        <w:t>própria Constituição (§ 5.º art. 100)</w:t>
      </w:r>
      <w:r w:rsidR="00DD5F7F">
        <w:rPr>
          <w:rFonts w:cs="Times New Roman"/>
          <w:kern w:val="0"/>
          <w:sz w:val="20"/>
          <w:szCs w:val="20"/>
          <w:lang w:bidi="ar-SA"/>
        </w:rPr>
        <w:t xml:space="preserve"> (ABRAHAM, 2010, p. 3)</w:t>
      </w:r>
      <w:r w:rsidRPr="00B769E9">
        <w:rPr>
          <w:rFonts w:cs="Times New Roman"/>
          <w:kern w:val="0"/>
          <w:sz w:val="20"/>
          <w:szCs w:val="20"/>
          <w:lang w:bidi="ar-SA"/>
        </w:rPr>
        <w:t>.</w:t>
      </w:r>
      <w:r w:rsidR="00F90CF6" w:rsidRPr="00B769E9">
        <w:rPr>
          <w:rFonts w:cs="Times New Roman"/>
        </w:rPr>
        <w:t xml:space="preserve"> </w:t>
      </w:r>
    </w:p>
    <w:p w:rsidR="00D62FA5" w:rsidRDefault="00D62FA5" w:rsidP="00794E3A">
      <w:pPr>
        <w:spacing w:line="360" w:lineRule="auto"/>
        <w:ind w:firstLine="1134"/>
        <w:jc w:val="both"/>
        <w:rPr>
          <w:rFonts w:cs="Times New Roman"/>
        </w:rPr>
      </w:pPr>
    </w:p>
    <w:p w:rsidR="00CA6685" w:rsidRDefault="00AE5F53" w:rsidP="00794E3A">
      <w:pPr>
        <w:spacing w:line="360" w:lineRule="auto"/>
        <w:ind w:firstLine="1134"/>
        <w:jc w:val="both"/>
        <w:rPr>
          <w:rFonts w:cs="Times New Roman"/>
        </w:rPr>
      </w:pPr>
      <w:r>
        <w:rPr>
          <w:rFonts w:cs="Times New Roman"/>
        </w:rPr>
        <w:t>A</w:t>
      </w:r>
      <w:r w:rsidR="00342A1C">
        <w:rPr>
          <w:rFonts w:cs="Times New Roman"/>
        </w:rPr>
        <w:t>dentrando na questão procedimental o conceito de De Plácido e Silva (</w:t>
      </w:r>
      <w:r w:rsidR="00342A1C">
        <w:rPr>
          <w:rFonts w:cs="Times New Roman"/>
          <w:i/>
        </w:rPr>
        <w:t>apud</w:t>
      </w:r>
      <w:r w:rsidR="00342A1C">
        <w:rPr>
          <w:rFonts w:cs="Times New Roman"/>
        </w:rPr>
        <w:t xml:space="preserve"> </w:t>
      </w:r>
      <w:r w:rsidR="00342A1C">
        <w:rPr>
          <w:rFonts w:cs="Times New Roman"/>
        </w:rPr>
        <w:lastRenderedPageBreak/>
        <w:t xml:space="preserve">GIORA JUNIOR, 2007, p. 1) é o seguinte: </w:t>
      </w:r>
    </w:p>
    <w:p w:rsidR="00342A1C" w:rsidRDefault="00342A1C" w:rsidP="00794E3A">
      <w:pPr>
        <w:spacing w:line="360" w:lineRule="auto"/>
        <w:ind w:firstLine="1134"/>
        <w:jc w:val="both"/>
        <w:rPr>
          <w:rFonts w:cs="Times New Roman"/>
        </w:rPr>
      </w:pPr>
    </w:p>
    <w:p w:rsidR="00342A1C" w:rsidRDefault="00342A1C" w:rsidP="00342A1C">
      <w:pPr>
        <w:widowControl/>
        <w:suppressAutoHyphens w:val="0"/>
        <w:autoSpaceDE w:val="0"/>
        <w:adjustRightInd w:val="0"/>
        <w:ind w:left="2268"/>
        <w:jc w:val="both"/>
        <w:textAlignment w:val="auto"/>
        <w:rPr>
          <w:rFonts w:cs="Times New Roman"/>
          <w:kern w:val="0"/>
          <w:sz w:val="20"/>
          <w:szCs w:val="20"/>
          <w:lang w:bidi="ar-SA"/>
        </w:rPr>
      </w:pPr>
      <w:r w:rsidRPr="00342A1C">
        <w:rPr>
          <w:rFonts w:cs="Times New Roman"/>
          <w:kern w:val="0"/>
          <w:sz w:val="20"/>
          <w:szCs w:val="20"/>
          <w:lang w:bidi="ar-SA"/>
        </w:rPr>
        <w:t>Precatório. De 'precatorius', é especialmente empregado para indicar requisição, ou propriamente, a</w:t>
      </w:r>
      <w:r>
        <w:rPr>
          <w:rFonts w:cs="Times New Roman"/>
          <w:kern w:val="0"/>
          <w:sz w:val="20"/>
          <w:szCs w:val="20"/>
          <w:lang w:bidi="ar-SA"/>
        </w:rPr>
        <w:t xml:space="preserve"> </w:t>
      </w:r>
      <w:r w:rsidRPr="00342A1C">
        <w:rPr>
          <w:rFonts w:cs="Times New Roman"/>
          <w:kern w:val="0"/>
          <w:sz w:val="20"/>
          <w:szCs w:val="20"/>
          <w:lang w:bidi="ar-SA"/>
        </w:rPr>
        <w:t>carta expedida pelos juízes da execução de sentenças, em que a Fazenda Pública for condenada a</w:t>
      </w:r>
      <w:r>
        <w:rPr>
          <w:rFonts w:cs="Times New Roman"/>
          <w:kern w:val="0"/>
          <w:sz w:val="20"/>
          <w:szCs w:val="20"/>
          <w:lang w:bidi="ar-SA"/>
        </w:rPr>
        <w:t xml:space="preserve"> </w:t>
      </w:r>
      <w:r w:rsidRPr="00342A1C">
        <w:rPr>
          <w:rFonts w:cs="Times New Roman"/>
          <w:kern w:val="0"/>
          <w:sz w:val="20"/>
          <w:szCs w:val="20"/>
          <w:lang w:bidi="ar-SA"/>
        </w:rPr>
        <w:t>certo pagamento, ao Presidente do Tribunal, a fim de que, por seu intermédio, se autorizem e se</w:t>
      </w:r>
      <w:r>
        <w:rPr>
          <w:rFonts w:cs="Times New Roman"/>
          <w:kern w:val="0"/>
          <w:sz w:val="20"/>
          <w:szCs w:val="20"/>
          <w:lang w:bidi="ar-SA"/>
        </w:rPr>
        <w:t xml:space="preserve"> </w:t>
      </w:r>
      <w:r w:rsidRPr="00342A1C">
        <w:rPr>
          <w:rFonts w:cs="Times New Roman"/>
          <w:kern w:val="0"/>
          <w:sz w:val="20"/>
          <w:szCs w:val="20"/>
          <w:lang w:bidi="ar-SA"/>
        </w:rPr>
        <w:t>expeçam as necessárias ordens de pagamento às respectiva</w:t>
      </w:r>
      <w:r>
        <w:rPr>
          <w:rFonts w:cs="Times New Roman"/>
          <w:kern w:val="0"/>
          <w:sz w:val="20"/>
          <w:szCs w:val="20"/>
          <w:lang w:bidi="ar-SA"/>
        </w:rPr>
        <w:t>s</w:t>
      </w:r>
      <w:r w:rsidRPr="00342A1C">
        <w:rPr>
          <w:rFonts w:cs="Times New Roman"/>
          <w:kern w:val="0"/>
          <w:sz w:val="20"/>
          <w:szCs w:val="20"/>
          <w:lang w:bidi="ar-SA"/>
        </w:rPr>
        <w:t xml:space="preserve"> repartições pagadoras.</w:t>
      </w:r>
    </w:p>
    <w:p w:rsidR="00342A1C" w:rsidRPr="00342A1C" w:rsidRDefault="00342A1C" w:rsidP="00342A1C">
      <w:pPr>
        <w:widowControl/>
        <w:suppressAutoHyphens w:val="0"/>
        <w:autoSpaceDE w:val="0"/>
        <w:adjustRightInd w:val="0"/>
        <w:spacing w:line="360" w:lineRule="auto"/>
        <w:ind w:left="2268"/>
        <w:jc w:val="both"/>
        <w:textAlignment w:val="auto"/>
        <w:rPr>
          <w:rFonts w:cs="Times New Roman"/>
          <w:szCs w:val="20"/>
        </w:rPr>
      </w:pPr>
    </w:p>
    <w:p w:rsidR="00FF10A7" w:rsidRDefault="00501132" w:rsidP="00095F20">
      <w:pPr>
        <w:spacing w:line="360" w:lineRule="auto"/>
        <w:ind w:firstLine="1134"/>
        <w:jc w:val="both"/>
        <w:rPr>
          <w:rFonts w:cs="Times New Roman"/>
        </w:rPr>
      </w:pPr>
      <w:r>
        <w:rPr>
          <w:rFonts w:cs="Times New Roman"/>
        </w:rPr>
        <w:t>Ato contínuo</w:t>
      </w:r>
      <w:r w:rsidR="00095F20">
        <w:rPr>
          <w:rFonts w:cs="Times New Roman"/>
        </w:rPr>
        <w:t>, vale agora destacar o procedimento desse mecanismo.</w:t>
      </w:r>
      <w:r w:rsidR="00AE5F53">
        <w:rPr>
          <w:rFonts w:cs="Times New Roman"/>
        </w:rPr>
        <w:t xml:space="preserve"> </w:t>
      </w:r>
    </w:p>
    <w:p w:rsidR="00FF10A7" w:rsidRPr="00095F20" w:rsidRDefault="00FF10A7" w:rsidP="00095F20">
      <w:pPr>
        <w:spacing w:line="360" w:lineRule="auto"/>
        <w:jc w:val="both"/>
        <w:rPr>
          <w:rFonts w:cs="Times New Roman"/>
          <w:b/>
        </w:rPr>
      </w:pPr>
    </w:p>
    <w:p w:rsidR="00AE5F53" w:rsidRDefault="00095F20" w:rsidP="00095F20">
      <w:pPr>
        <w:spacing w:line="360" w:lineRule="auto"/>
        <w:jc w:val="both"/>
        <w:rPr>
          <w:rFonts w:cs="Times New Roman"/>
        </w:rPr>
      </w:pPr>
      <w:r>
        <w:rPr>
          <w:rFonts w:cs="Times New Roman"/>
        </w:rPr>
        <w:t>1.2.1 Procedimento</w:t>
      </w:r>
    </w:p>
    <w:p w:rsidR="00095F20" w:rsidRDefault="00095F20" w:rsidP="00095F20">
      <w:pPr>
        <w:spacing w:line="360" w:lineRule="auto"/>
        <w:jc w:val="both"/>
        <w:rPr>
          <w:rFonts w:cs="Times New Roman"/>
        </w:rPr>
      </w:pPr>
    </w:p>
    <w:p w:rsidR="00095F20" w:rsidRDefault="00FC0C36" w:rsidP="00907561">
      <w:pPr>
        <w:spacing w:line="360" w:lineRule="auto"/>
        <w:ind w:firstLine="1134"/>
        <w:jc w:val="both"/>
        <w:rPr>
          <w:rFonts w:cs="Times New Roman"/>
        </w:rPr>
      </w:pPr>
      <w:r>
        <w:rPr>
          <w:rFonts w:cs="Times New Roman"/>
        </w:rPr>
        <w:t>Depois de ajuizada ação de execução em face da Fazenda Pública, ela é citada a no prazo de 30 dias opor embargos</w:t>
      </w:r>
      <w:r w:rsidR="00D17DD3">
        <w:rPr>
          <w:rFonts w:cs="Times New Roman"/>
        </w:rPr>
        <w:t>,</w:t>
      </w:r>
      <w:r>
        <w:rPr>
          <w:rFonts w:cs="Times New Roman"/>
        </w:rPr>
        <w:t xml:space="preserve"> cuja matéria deve </w:t>
      </w:r>
      <w:r w:rsidR="00530EBC">
        <w:rPr>
          <w:rFonts w:cs="Times New Roman"/>
        </w:rPr>
        <w:t>dispor exclusivamente sobre o que aduz</w:t>
      </w:r>
      <w:r>
        <w:rPr>
          <w:rFonts w:cs="Times New Roman"/>
        </w:rPr>
        <w:t xml:space="preserve"> o artigo 741 do CPC.</w:t>
      </w:r>
      <w:r w:rsidR="00647A87">
        <w:rPr>
          <w:rFonts w:cs="Times New Roman"/>
        </w:rPr>
        <w:t xml:space="preserve"> Caso não queira apresentar ou se forem </w:t>
      </w:r>
      <w:r w:rsidR="00971B41">
        <w:rPr>
          <w:rFonts w:cs="Times New Roman"/>
        </w:rPr>
        <w:t>rejeitados</w:t>
      </w:r>
      <w:r w:rsidR="00647A87">
        <w:rPr>
          <w:rFonts w:cs="Times New Roman"/>
        </w:rPr>
        <w:t xml:space="preserve"> os embargos</w:t>
      </w:r>
      <w:r w:rsidR="00D17DD3">
        <w:rPr>
          <w:rFonts w:cs="Times New Roman"/>
        </w:rPr>
        <w:t>,</w:t>
      </w:r>
      <w:r w:rsidR="00647A87">
        <w:rPr>
          <w:rFonts w:cs="Times New Roman"/>
        </w:rPr>
        <w:t xml:space="preserve"> o juiz determina a expedição de precatórios ao Presidente do Tribunal de Justiça para que este consigne o valor do crédito e requeira às autoridades administrativas a inclusão no orçamento geral a ser pago no exercício subsequente (CUNHA, 2013, p. 313).</w:t>
      </w:r>
    </w:p>
    <w:p w:rsidR="00907561" w:rsidRDefault="00D17DD3" w:rsidP="00907561">
      <w:pPr>
        <w:spacing w:line="360" w:lineRule="auto"/>
        <w:ind w:firstLine="1134"/>
        <w:jc w:val="both"/>
        <w:rPr>
          <w:rFonts w:cs="Times New Roman"/>
        </w:rPr>
      </w:pPr>
      <w:r>
        <w:rPr>
          <w:rFonts w:cs="Times New Roman"/>
        </w:rPr>
        <w:t xml:space="preserve">Cabe abrir parênteses, pois a doutrina diverge quanto à natureza jurídica da atividade do presidente do Tribunal de Justiça nesse processamento dos precatórios, se de natureza administrativa ou de natureza jurisdicional. Tanto STF quanto STJ entendem que a atividade jurisdicional se encerra com o juiz de primeiro grau que determina a expedição do precatório, sendo, portanto, administrativa a atividade do Presidente do respectivo Tribunal de Justiça, Assim, por </w:t>
      </w:r>
      <w:r w:rsidR="003D02DE">
        <w:rPr>
          <w:rFonts w:cs="Times New Roman"/>
        </w:rPr>
        <w:t>ser de</w:t>
      </w:r>
      <w:r>
        <w:rPr>
          <w:rFonts w:cs="Times New Roman"/>
        </w:rPr>
        <w:t xml:space="preserve"> natureza administrativa, não cabe recursos </w:t>
      </w:r>
      <w:r w:rsidR="0020034B">
        <w:rPr>
          <w:rFonts w:cs="Times New Roman"/>
        </w:rPr>
        <w:t>extraordinário nem especial</w:t>
      </w:r>
      <w:r>
        <w:rPr>
          <w:rFonts w:cs="Times New Roman"/>
        </w:rPr>
        <w:t xml:space="preserve"> no processamento dos precatórios</w:t>
      </w:r>
      <w:r w:rsidR="0020034B">
        <w:rPr>
          <w:rFonts w:cs="Times New Roman"/>
        </w:rPr>
        <w:t>. Nesse sentido, tem-se a súmula 733 do STF que diz: “não ser cabível recurso extraordinário contra decisão proferida no processamento de precatórios”</w:t>
      </w:r>
      <w:r w:rsidR="00297C6F">
        <w:rPr>
          <w:rFonts w:cs="Times New Roman"/>
        </w:rPr>
        <w:t>. Há uma ressalva, no entanto, que seria o caso de usurpação de função judicial, quando o Presidente do Tribunal toma alguma medida de cunho jurisdicional que sobrevier</w:t>
      </w:r>
      <w:r w:rsidR="003D02DE">
        <w:rPr>
          <w:rFonts w:cs="Times New Roman"/>
        </w:rPr>
        <w:t xml:space="preserve"> no processo</w:t>
      </w:r>
      <w:r w:rsidR="00297C6F">
        <w:rPr>
          <w:rFonts w:cs="Times New Roman"/>
        </w:rPr>
        <w:t>. Nesse caso, abre-se espaço para interposição de recursos. Mas como já dito, a regra é o não cabimento pela natureza administrativa da atividade, no entanto, é cabível mandado de segurança contra alguma determinação que seja entendida como ilegal ou abusiva</w:t>
      </w:r>
      <w:r w:rsidR="0020034B">
        <w:rPr>
          <w:rFonts w:cs="Times New Roman"/>
        </w:rPr>
        <w:t xml:space="preserve"> (CUNHA, 2013)</w:t>
      </w:r>
      <w:r>
        <w:rPr>
          <w:rFonts w:cs="Times New Roman"/>
        </w:rPr>
        <w:t>.</w:t>
      </w:r>
    </w:p>
    <w:p w:rsidR="0020034B" w:rsidRDefault="00326682" w:rsidP="00971B41">
      <w:pPr>
        <w:spacing w:line="360" w:lineRule="auto"/>
        <w:ind w:firstLine="1134"/>
        <w:jc w:val="both"/>
        <w:rPr>
          <w:rFonts w:cs="Times New Roman"/>
        </w:rPr>
      </w:pPr>
      <w:r>
        <w:rPr>
          <w:rFonts w:cs="Times New Roman"/>
        </w:rPr>
        <w:t>Fechado esse</w:t>
      </w:r>
      <w:r w:rsidR="00ED7CCA">
        <w:rPr>
          <w:rFonts w:cs="Times New Roman"/>
        </w:rPr>
        <w:t xml:space="preserve"> parêntese, depois que o juiz determina a expedição do precatório, o cartório judicial deve providenciar sua autuação com cópia das principais peças dos autos originários, com destaque para a certidão de trânsito em julgado e a referência quanto à natureza do crédito, se alimentício ou não. Depois de instruído e assinado pelo juiz é que se encaminha </w:t>
      </w:r>
      <w:r w:rsidR="00ED7CCA">
        <w:rPr>
          <w:rFonts w:cs="Times New Roman"/>
        </w:rPr>
        <w:lastRenderedPageBreak/>
        <w:t>ao Presidente do Tribunal de Justiça, onde será registrado, autuado e distribuído. Então o Presidente do Tribunal inscreve o precatório e comunica ao órgão competente para fazer a ordem de despesa, liquidando a dívida mediante depósito bancário feito à disposição da presidência do tribunal</w:t>
      </w:r>
      <w:r w:rsidR="005F2AC9">
        <w:rPr>
          <w:rFonts w:cs="Times New Roman"/>
        </w:rPr>
        <w:t>. Não sobeja lembrar, no entanto, que a inscrição do precatório deve ser feita até 1º de julho para que seja incluída no orçamento a ser aprovado e pago até o final do exercício seguinte com a devida correção monetária (CUNHA, 2013).</w:t>
      </w:r>
    </w:p>
    <w:p w:rsidR="00907561" w:rsidRDefault="00907561" w:rsidP="00907561">
      <w:pPr>
        <w:spacing w:line="360" w:lineRule="auto"/>
        <w:ind w:firstLine="1134"/>
        <w:jc w:val="both"/>
        <w:rPr>
          <w:rFonts w:cs="Times New Roman"/>
        </w:rPr>
      </w:pPr>
    </w:p>
    <w:p w:rsidR="001445F8" w:rsidRDefault="00E879BC" w:rsidP="00E879BC">
      <w:pPr>
        <w:spacing w:line="360" w:lineRule="auto"/>
        <w:jc w:val="both"/>
        <w:rPr>
          <w:rFonts w:cs="Times New Roman"/>
        </w:rPr>
      </w:pPr>
      <w:r>
        <w:rPr>
          <w:rFonts w:cs="Times New Roman"/>
        </w:rPr>
        <w:t xml:space="preserve">1.2.2 </w:t>
      </w:r>
      <w:r w:rsidR="001445F8">
        <w:rPr>
          <w:rFonts w:cs="Times New Roman"/>
        </w:rPr>
        <w:t>Da natureza e classificação dos créditos</w:t>
      </w:r>
    </w:p>
    <w:p w:rsidR="001445F8" w:rsidRDefault="001445F8" w:rsidP="00E879BC">
      <w:pPr>
        <w:spacing w:line="360" w:lineRule="auto"/>
        <w:jc w:val="both"/>
        <w:rPr>
          <w:rFonts w:cs="Times New Roman"/>
        </w:rPr>
      </w:pPr>
    </w:p>
    <w:p w:rsidR="00757EBE" w:rsidRDefault="00725883" w:rsidP="00725883">
      <w:pPr>
        <w:spacing w:line="360" w:lineRule="auto"/>
        <w:ind w:firstLine="1134"/>
        <w:jc w:val="both"/>
        <w:rPr>
          <w:rFonts w:cs="Times New Roman"/>
        </w:rPr>
      </w:pPr>
      <w:r>
        <w:rPr>
          <w:rFonts w:cs="Times New Roman"/>
        </w:rPr>
        <w:t>O artigo 100 da Constituição Federal dividiu os créditos em face da Fazenda Pública em duas categorias: alimentares e comuns.</w:t>
      </w:r>
      <w:r w:rsidRPr="00725883">
        <w:rPr>
          <w:rFonts w:cs="Times New Roman"/>
        </w:rPr>
        <w:t xml:space="preserve"> </w:t>
      </w:r>
      <w:r>
        <w:rPr>
          <w:rFonts w:cs="Times New Roman"/>
        </w:rPr>
        <w:t>Diz Araken de Assis (2012) que a noção de crédito alimentar vem do âmbito jurisprudencial, ou seja, abrange condenações por atos ilícitos e vantagens pecuniárias de servidores e empregados públicos.  Destaca também, o §1º -A, introduzido pela PEC 30/2000 que definiu quais são os débitos de natureza alimentar: s</w:t>
      </w:r>
      <w:r w:rsidR="000865B5">
        <w:rPr>
          <w:rFonts w:cs="Times New Roman"/>
        </w:rPr>
        <w:t>alários, vencimentos, proventos, pensões e suas complementações, benefícios previdenciários e indenizações por morte ou invalidez, fundadas na responsabilidade civil, em virtude de sentença transitada em julgado.</w:t>
      </w:r>
    </w:p>
    <w:p w:rsidR="001445F8" w:rsidRDefault="000B2C39" w:rsidP="000B2C39">
      <w:pPr>
        <w:spacing w:line="360" w:lineRule="auto"/>
        <w:ind w:firstLine="1134"/>
        <w:jc w:val="both"/>
        <w:rPr>
          <w:rFonts w:cs="Times New Roman"/>
        </w:rPr>
      </w:pPr>
      <w:r>
        <w:rPr>
          <w:rFonts w:cs="Times New Roman"/>
        </w:rPr>
        <w:t>Houve discussão</w:t>
      </w:r>
      <w:r w:rsidR="00757EBE">
        <w:rPr>
          <w:rFonts w:cs="Times New Roman"/>
        </w:rPr>
        <w:t xml:space="preserve"> doutrinária acerca da submissão ou não desse</w:t>
      </w:r>
      <w:r>
        <w:rPr>
          <w:rFonts w:cs="Times New Roman"/>
        </w:rPr>
        <w:t>s</w:t>
      </w:r>
      <w:r w:rsidR="00757EBE">
        <w:rPr>
          <w:rFonts w:cs="Times New Roman"/>
        </w:rPr>
        <w:t xml:space="preserve"> créditos alimentares ao regime de precatórios</w:t>
      </w:r>
      <w:r>
        <w:rPr>
          <w:rFonts w:cs="Times New Roman"/>
        </w:rPr>
        <w:t xml:space="preserve">. Mas </w:t>
      </w:r>
      <w:r w:rsidR="00593ED0">
        <w:rPr>
          <w:rFonts w:cs="Times New Roman"/>
        </w:rPr>
        <w:t xml:space="preserve">já foi pacificado nos tribunais tal submissão. O </w:t>
      </w:r>
      <w:r>
        <w:rPr>
          <w:rFonts w:cs="Times New Roman"/>
        </w:rPr>
        <w:t xml:space="preserve">STJ </w:t>
      </w:r>
      <w:r w:rsidR="00501768">
        <w:rPr>
          <w:rFonts w:cs="Times New Roman"/>
        </w:rPr>
        <w:t xml:space="preserve">na Súmula </w:t>
      </w:r>
      <w:r w:rsidR="00761557">
        <w:rPr>
          <w:rFonts w:cs="Times New Roman"/>
        </w:rPr>
        <w:t>144</w:t>
      </w:r>
      <w:r w:rsidR="00761557">
        <w:rPr>
          <w:rStyle w:val="Refdenotaderodap"/>
          <w:rFonts w:cs="Times New Roman"/>
        </w:rPr>
        <w:footnoteReference w:id="14"/>
      </w:r>
      <w:r w:rsidR="00501768">
        <w:rPr>
          <w:rFonts w:cs="Times New Roman"/>
        </w:rPr>
        <w:t xml:space="preserve"> e o STF na Súmula 655</w:t>
      </w:r>
      <w:r w:rsidR="00501768">
        <w:rPr>
          <w:rStyle w:val="Refdenotaderodap"/>
          <w:rFonts w:cs="Times New Roman"/>
        </w:rPr>
        <w:footnoteReference w:id="15"/>
      </w:r>
      <w:r w:rsidR="00593ED0">
        <w:rPr>
          <w:rFonts w:cs="Times New Roman"/>
        </w:rPr>
        <w:t xml:space="preserve">. Assim, todos os créditos em face da Fazenda Pública, independente de sua natureza, se submetem ao regime de precatórios. A exceção dos de pequeno valor que, contudo, não são objeto deste estudo </w:t>
      </w:r>
      <w:r w:rsidR="005E0CCB">
        <w:rPr>
          <w:rFonts w:cs="Times New Roman"/>
        </w:rPr>
        <w:t>(ASSIS, 2012)</w:t>
      </w:r>
      <w:r w:rsidR="006F7107">
        <w:rPr>
          <w:rFonts w:cs="Times New Roman"/>
        </w:rPr>
        <w:t>.</w:t>
      </w:r>
    </w:p>
    <w:p w:rsidR="00482A6A" w:rsidRDefault="008F1113" w:rsidP="006F7107">
      <w:pPr>
        <w:spacing w:line="360" w:lineRule="auto"/>
        <w:ind w:firstLine="1134"/>
        <w:jc w:val="both"/>
        <w:rPr>
          <w:rFonts w:cs="Times New Roman"/>
        </w:rPr>
      </w:pPr>
      <w:r>
        <w:rPr>
          <w:rFonts w:cs="Times New Roman"/>
        </w:rPr>
        <w:t>Pois bem, a Emenda Constitucional 62/2009, por seu turno, criou uma subespécie de crédito alimentar que tem pri</w:t>
      </w:r>
      <w:r w:rsidR="00482A6A">
        <w:rPr>
          <w:rFonts w:cs="Times New Roman"/>
        </w:rPr>
        <w:t>oridade sobre todos os outros. Agora</w:t>
      </w:r>
      <w:r w:rsidR="00486B6B">
        <w:rPr>
          <w:rFonts w:cs="Times New Roman"/>
        </w:rPr>
        <w:t>,</w:t>
      </w:r>
      <w:r w:rsidR="00482A6A">
        <w:rPr>
          <w:rFonts w:cs="Times New Roman"/>
        </w:rPr>
        <w:t xml:space="preserve"> </w:t>
      </w:r>
      <w:r>
        <w:rPr>
          <w:rFonts w:cs="Times New Roman"/>
        </w:rPr>
        <w:t>as pessoas com sessenta anos completos ao tempo da expedição do precatório e aquelas portadoras de doença grave</w:t>
      </w:r>
      <w:r w:rsidR="00482A6A">
        <w:rPr>
          <w:rFonts w:cs="Times New Roman"/>
        </w:rPr>
        <w:t xml:space="preserve"> têm prioridade no recebimento dos créditos alimentares. Observa-se, no entanto, o limite do triplo do que é fixado em lei para créditos de pequeno valor. Se houver restos a pagar, ocorre o fracionamento do precatório, sendo o saldo pago na ordem dos créd</w:t>
      </w:r>
      <w:r w:rsidR="00486B6B">
        <w:rPr>
          <w:rFonts w:cs="Times New Roman"/>
        </w:rPr>
        <w:t>itos alimentares (ASSIS, 2012).</w:t>
      </w:r>
    </w:p>
    <w:p w:rsidR="00486B6B" w:rsidRDefault="00486B6B" w:rsidP="006F7107">
      <w:pPr>
        <w:spacing w:line="360" w:lineRule="auto"/>
        <w:ind w:firstLine="1134"/>
        <w:jc w:val="both"/>
        <w:rPr>
          <w:rFonts w:cs="Times New Roman"/>
        </w:rPr>
      </w:pPr>
      <w:r>
        <w:rPr>
          <w:rFonts w:cs="Times New Roman"/>
        </w:rPr>
        <w:t>Estabelece-se,</w:t>
      </w:r>
      <w:r w:rsidR="00A86D73">
        <w:rPr>
          <w:rFonts w:cs="Times New Roman"/>
        </w:rPr>
        <w:t xml:space="preserve"> portanto, a seguinte </w:t>
      </w:r>
      <w:r w:rsidR="00275079">
        <w:rPr>
          <w:rFonts w:cs="Times New Roman"/>
        </w:rPr>
        <w:t>ordem para o pagamento dos créditos: 1</w:t>
      </w:r>
      <w:r w:rsidR="00A86D73">
        <w:rPr>
          <w:rFonts w:cs="Times New Roman"/>
        </w:rPr>
        <w:t xml:space="preserve">) pessoas </w:t>
      </w:r>
      <w:r w:rsidR="00A86D73">
        <w:rPr>
          <w:rFonts w:cs="Times New Roman"/>
        </w:rPr>
        <w:lastRenderedPageBreak/>
        <w:t>idosas e doentes até o triplo do crédito de pequeno valor, de acordo com o limite dispost</w:t>
      </w:r>
      <w:r w:rsidR="00275079">
        <w:rPr>
          <w:rFonts w:cs="Times New Roman"/>
        </w:rPr>
        <w:t>o por cada ente público; 2</w:t>
      </w:r>
      <w:r w:rsidR="00A86D73">
        <w:rPr>
          <w:rFonts w:cs="Times New Roman"/>
        </w:rPr>
        <w:t>) créditos</w:t>
      </w:r>
      <w:r w:rsidR="00275079">
        <w:rPr>
          <w:rFonts w:cs="Times New Roman"/>
        </w:rPr>
        <w:t xml:space="preserve"> alimentares de pequeno valor; 3</w:t>
      </w:r>
      <w:r w:rsidR="00A86D73">
        <w:rPr>
          <w:rFonts w:cs="Times New Roman"/>
        </w:rPr>
        <w:t>) cré</w:t>
      </w:r>
      <w:r w:rsidR="00275079">
        <w:rPr>
          <w:rFonts w:cs="Times New Roman"/>
        </w:rPr>
        <w:t>ditos comuns de pequeno valor; 4</w:t>
      </w:r>
      <w:r w:rsidR="00A86D73">
        <w:rPr>
          <w:rFonts w:cs="Times New Roman"/>
        </w:rPr>
        <w:t>) crédit</w:t>
      </w:r>
      <w:r w:rsidR="00275079">
        <w:rPr>
          <w:rFonts w:cs="Times New Roman"/>
        </w:rPr>
        <w:t>os alimentares de maior valor; 5</w:t>
      </w:r>
      <w:r w:rsidR="00A86D73">
        <w:rPr>
          <w:rFonts w:cs="Times New Roman"/>
        </w:rPr>
        <w:t xml:space="preserve">) </w:t>
      </w:r>
      <w:r w:rsidR="00F3362F">
        <w:rPr>
          <w:rFonts w:cs="Times New Roman"/>
        </w:rPr>
        <w:t>créditos comuns de maior valor, parcelados ou não</w:t>
      </w:r>
      <w:r w:rsidR="007C0685">
        <w:rPr>
          <w:rFonts w:cs="Times New Roman"/>
        </w:rPr>
        <w:t xml:space="preserve"> (ASSIS, 2012)</w:t>
      </w:r>
      <w:r w:rsidR="00F3362F">
        <w:rPr>
          <w:rFonts w:cs="Times New Roman"/>
        </w:rPr>
        <w:t>.</w:t>
      </w:r>
    </w:p>
    <w:p w:rsidR="00BF0339" w:rsidRDefault="00BF0339" w:rsidP="00BF0339">
      <w:pPr>
        <w:pStyle w:val="SemEspaamento"/>
        <w:spacing w:line="360" w:lineRule="auto"/>
        <w:jc w:val="both"/>
        <w:rPr>
          <w:b/>
        </w:rPr>
      </w:pPr>
    </w:p>
    <w:p w:rsidR="00BF0339" w:rsidRDefault="00E517C2" w:rsidP="00BF0339">
      <w:pPr>
        <w:pStyle w:val="SemEspaamento"/>
        <w:spacing w:line="360" w:lineRule="auto"/>
        <w:jc w:val="both"/>
        <w:rPr>
          <w:b/>
        </w:rPr>
      </w:pPr>
      <w:r>
        <w:rPr>
          <w:b/>
        </w:rPr>
        <w:t>2 A</w:t>
      </w:r>
      <w:r w:rsidRPr="00BF0339">
        <w:rPr>
          <w:b/>
        </w:rPr>
        <w:t>S HIPÓTESES DE SEQUESTRO/ARRESTO DE VERBAS PÚBLICAS</w:t>
      </w:r>
    </w:p>
    <w:p w:rsidR="002E68B7" w:rsidRDefault="002E68B7" w:rsidP="002E68B7">
      <w:pPr>
        <w:pStyle w:val="Standard"/>
        <w:spacing w:after="0" w:line="360" w:lineRule="auto"/>
        <w:ind w:firstLine="1134"/>
        <w:jc w:val="both"/>
        <w:rPr>
          <w:rFonts w:ascii="Times New Roman" w:hAnsi="Times New Roman"/>
          <w:color w:val="222222"/>
          <w:sz w:val="24"/>
          <w:szCs w:val="20"/>
          <w:shd w:val="clear" w:color="auto" w:fill="FFFFFF"/>
        </w:rPr>
      </w:pPr>
    </w:p>
    <w:p w:rsidR="00B2305F" w:rsidRDefault="00B2305F" w:rsidP="00B2305F">
      <w:pPr>
        <w:spacing w:line="360" w:lineRule="auto"/>
        <w:ind w:firstLine="1134"/>
        <w:jc w:val="both"/>
        <w:rPr>
          <w:rFonts w:cs="Times New Roman"/>
        </w:rPr>
      </w:pPr>
      <w:r w:rsidRPr="00A14ECA">
        <w:rPr>
          <w:rFonts w:cs="Times New Roman"/>
        </w:rPr>
        <w:t>Araken</w:t>
      </w:r>
      <w:r>
        <w:rPr>
          <w:rFonts w:cs="Times New Roman"/>
        </w:rPr>
        <w:t xml:space="preserve"> de Assis tece crítica ao regime de precatórios ao dizer que apesar de ter sido criado um meca</w:t>
      </w:r>
      <w:r w:rsidRPr="00A14ECA">
        <w:rPr>
          <w:rFonts w:cs="Times New Roman"/>
        </w:rPr>
        <w:t>nismo para tentar satisfazer o direito de receber do credor, é notório que as</w:t>
      </w:r>
      <w:r>
        <w:rPr>
          <w:rFonts w:cs="Times New Roman"/>
        </w:rPr>
        <w:t xml:space="preserve"> pessoas jurídicas de direito pú</w:t>
      </w:r>
      <w:r w:rsidRPr="00A14ECA">
        <w:rPr>
          <w:rFonts w:cs="Times New Roman"/>
        </w:rPr>
        <w:t>blico encontram-se endividadas, tão logo, o credor mal sabe</w:t>
      </w:r>
      <w:r>
        <w:rPr>
          <w:rFonts w:cs="Times New Roman"/>
        </w:rPr>
        <w:t xml:space="preserve"> quando irá receber ou até mesmo, se um dia receberá. Sendo premente, também, a “má vontade” do Estado em saldar suas dívidas. O </w:t>
      </w:r>
      <w:r w:rsidR="00B92CBD">
        <w:rPr>
          <w:rFonts w:cs="Times New Roman"/>
        </w:rPr>
        <w:t>gestor público</w:t>
      </w:r>
      <w:r>
        <w:rPr>
          <w:rFonts w:cs="Times New Roman"/>
        </w:rPr>
        <w:t xml:space="preserve"> não quer comprometer os recursos para pagar </w:t>
      </w:r>
      <w:r w:rsidR="00B92CBD">
        <w:rPr>
          <w:rFonts w:cs="Times New Roman"/>
        </w:rPr>
        <w:t>dívidas da sua administração</w:t>
      </w:r>
      <w:r>
        <w:rPr>
          <w:rFonts w:cs="Times New Roman"/>
        </w:rPr>
        <w:t>, quiçá de administrações anteriores. Conclui de forma direta: “nunca se criou o necessário consenso político para pôr cobro às normas discriminatórias e às intepretações indulgentes que, ao invés de protegerem o cidadão, estimula o inadimplemento e criam odiosa imunidade da Administração” (2012, p.1092)</w:t>
      </w:r>
      <w:r w:rsidR="003D4F78">
        <w:rPr>
          <w:rFonts w:cs="Times New Roman"/>
        </w:rPr>
        <w:t>.</w:t>
      </w:r>
    </w:p>
    <w:p w:rsidR="00B92CBD" w:rsidRDefault="00B2305F" w:rsidP="00B2305F">
      <w:pPr>
        <w:spacing w:line="360" w:lineRule="auto"/>
        <w:ind w:firstLine="1134"/>
        <w:jc w:val="both"/>
        <w:rPr>
          <w:rFonts w:cs="Times New Roman"/>
        </w:rPr>
      </w:pPr>
      <w:r>
        <w:rPr>
          <w:rFonts w:cs="Times New Roman"/>
        </w:rPr>
        <w:t>Vê-se, portanto, que o credor ainda encontra-se em maus lençóis perante execuções em face do Estado, contudo ele tem duas saídas, quais sejam: promover o sequestro dos bens ou promover a intervenção do ente público devedor.</w:t>
      </w:r>
      <w:r w:rsidR="008C71B0">
        <w:rPr>
          <w:rFonts w:cs="Times New Roman"/>
        </w:rPr>
        <w:t xml:space="preserve"> </w:t>
      </w:r>
    </w:p>
    <w:p w:rsidR="008C71B0" w:rsidRDefault="007E0C92" w:rsidP="00B2305F">
      <w:pPr>
        <w:spacing w:line="360" w:lineRule="auto"/>
        <w:ind w:firstLine="1134"/>
        <w:jc w:val="both"/>
        <w:rPr>
          <w:rFonts w:cs="Times New Roman"/>
        </w:rPr>
      </w:pPr>
      <w:r>
        <w:rPr>
          <w:rFonts w:cs="Times New Roman"/>
        </w:rPr>
        <w:t>A partir da Emenda Constitucional nº 62/2009, passou a ser possível o sequestro mediante a preterição na ordem de inscrição do precatório e pela “não alocação orçamentária do valor necessário à satisfação do seu débito”, conforme o §6º do Artigo 100 da Constituição Federal.</w:t>
      </w:r>
      <w:r w:rsidR="00883C46">
        <w:rPr>
          <w:rFonts w:cs="Times New Roman"/>
        </w:rPr>
        <w:t xml:space="preserve"> E o</w:t>
      </w:r>
      <w:r w:rsidR="003D4F78">
        <w:rPr>
          <w:rFonts w:cs="Times New Roman"/>
        </w:rPr>
        <w:t xml:space="preserve"> CPC,</w:t>
      </w:r>
      <w:r w:rsidR="00883C46">
        <w:rPr>
          <w:rFonts w:cs="Times New Roman"/>
        </w:rPr>
        <w:t xml:space="preserve"> por seu turno,</w:t>
      </w:r>
      <w:r w:rsidR="003D4F78">
        <w:rPr>
          <w:rFonts w:cs="Times New Roman"/>
        </w:rPr>
        <w:t xml:space="preserve"> no artigo 731, afirma que se houver</w:t>
      </w:r>
      <w:r>
        <w:rPr>
          <w:rFonts w:cs="Times New Roman"/>
        </w:rPr>
        <w:t xml:space="preserve"> </w:t>
      </w:r>
      <w:r w:rsidR="003D4F78">
        <w:rPr>
          <w:rFonts w:cs="Times New Roman"/>
        </w:rPr>
        <w:t>preterição no direito de preferência, o Presidente do Tribunal poderá ordenar o sequestro da quantia necessária para satisfazer a obrigação, depois de ouvido o Ministério Público</w:t>
      </w:r>
      <w:r w:rsidR="002C4DFF">
        <w:rPr>
          <w:rFonts w:cs="Times New Roman"/>
        </w:rPr>
        <w:t>. Há ainda uma terceira possibilidade de sequestro de rendas públicas. Na hipótese de</w:t>
      </w:r>
      <w:r w:rsidR="0077754F">
        <w:rPr>
          <w:rFonts w:cs="Times New Roman"/>
        </w:rPr>
        <w:t xml:space="preserve"> vencimento do prazo de</w:t>
      </w:r>
      <w:r w:rsidR="002C4DFF">
        <w:rPr>
          <w:rFonts w:cs="Times New Roman"/>
        </w:rPr>
        <w:t xml:space="preserve"> parcelamento </w:t>
      </w:r>
      <w:r w:rsidR="0077754F">
        <w:rPr>
          <w:rFonts w:cs="Times New Roman"/>
        </w:rPr>
        <w:t>de</w:t>
      </w:r>
      <w:r w:rsidR="002C4DFF">
        <w:rPr>
          <w:rFonts w:cs="Times New Roman"/>
        </w:rPr>
        <w:t xml:space="preserve"> até 10 anos previsto no artigo 78 do ADCT da Constituição Federal</w:t>
      </w:r>
      <w:r w:rsidR="0077754F">
        <w:rPr>
          <w:rFonts w:cs="Times New Roman"/>
        </w:rPr>
        <w:t>, ou no prazo máximo de dois anos nos casos de desapropriação de imóvel residencial do credor (</w:t>
      </w:r>
      <w:r w:rsidR="00C87783">
        <w:rPr>
          <w:rFonts w:cs="Times New Roman"/>
        </w:rPr>
        <w:t>CUNHA, 2013)</w:t>
      </w:r>
      <w:r w:rsidR="003D4F78">
        <w:rPr>
          <w:rFonts w:cs="Times New Roman"/>
        </w:rPr>
        <w:t>.</w:t>
      </w:r>
    </w:p>
    <w:p w:rsidR="00B2305F" w:rsidRDefault="00C87783" w:rsidP="002E68B7">
      <w:pPr>
        <w:pStyle w:val="Standard"/>
        <w:spacing w:after="0" w:line="360" w:lineRule="auto"/>
        <w:ind w:firstLine="1134"/>
        <w:jc w:val="both"/>
        <w:rPr>
          <w:rFonts w:ascii="Times New Roman" w:hAnsi="Times New Roman"/>
          <w:color w:val="222222"/>
          <w:sz w:val="24"/>
          <w:szCs w:val="20"/>
          <w:shd w:val="clear" w:color="auto" w:fill="FFFFFF"/>
        </w:rPr>
      </w:pPr>
      <w:r>
        <w:rPr>
          <w:rFonts w:ascii="Times New Roman" w:hAnsi="Times New Roman"/>
          <w:color w:val="222222"/>
          <w:sz w:val="24"/>
          <w:szCs w:val="20"/>
          <w:shd w:val="clear" w:color="auto" w:fill="FFFFFF"/>
        </w:rPr>
        <w:t xml:space="preserve">Explica Leonardo Carneiro da Cunha que o uso da terminologia sequestro é equivocada, que, na verdade, trata-se de um arresto. No entanto, acrescenta ele, que não se trata de uma medida cautelar, mas sim satisfativa, de natureza executiva (2013, p. 357). </w:t>
      </w:r>
    </w:p>
    <w:p w:rsidR="00C87783" w:rsidRDefault="00C87783" w:rsidP="002E68B7">
      <w:pPr>
        <w:pStyle w:val="Standard"/>
        <w:spacing w:after="0" w:line="360" w:lineRule="auto"/>
        <w:ind w:firstLine="1134"/>
        <w:jc w:val="both"/>
        <w:rPr>
          <w:rFonts w:ascii="Times New Roman" w:hAnsi="Times New Roman"/>
          <w:color w:val="222222"/>
          <w:sz w:val="24"/>
          <w:szCs w:val="20"/>
          <w:shd w:val="clear" w:color="auto" w:fill="FFFFFF"/>
        </w:rPr>
      </w:pPr>
      <w:r>
        <w:rPr>
          <w:rFonts w:ascii="Times New Roman" w:hAnsi="Times New Roman"/>
          <w:color w:val="222222"/>
          <w:sz w:val="24"/>
          <w:szCs w:val="20"/>
          <w:shd w:val="clear" w:color="auto" w:fill="FFFFFF"/>
        </w:rPr>
        <w:t xml:space="preserve">Uma discussão interessante trazida por esse autor é a de quem seria um legitimado passivo desse sequestro/arresto, a Fazenda Pública ou o sujeito que se beneficiou com a </w:t>
      </w:r>
      <w:r>
        <w:rPr>
          <w:rFonts w:ascii="Times New Roman" w:hAnsi="Times New Roman"/>
          <w:color w:val="222222"/>
          <w:sz w:val="24"/>
          <w:szCs w:val="20"/>
          <w:shd w:val="clear" w:color="auto" w:fill="FFFFFF"/>
        </w:rPr>
        <w:lastRenderedPageBreak/>
        <w:t xml:space="preserve">preterição da ordem de pagamento? </w:t>
      </w:r>
    </w:p>
    <w:p w:rsidR="00B2305F" w:rsidRDefault="00C770C4" w:rsidP="002E68B7">
      <w:pPr>
        <w:pStyle w:val="Standard"/>
        <w:spacing w:after="0" w:line="360" w:lineRule="auto"/>
        <w:ind w:firstLine="1134"/>
        <w:jc w:val="both"/>
        <w:rPr>
          <w:rFonts w:ascii="Times New Roman" w:hAnsi="Times New Roman"/>
          <w:color w:val="222222"/>
          <w:sz w:val="24"/>
          <w:szCs w:val="20"/>
          <w:shd w:val="clear" w:color="auto" w:fill="FFFFFF"/>
        </w:rPr>
      </w:pPr>
      <w:r>
        <w:rPr>
          <w:rFonts w:ascii="Times New Roman" w:hAnsi="Times New Roman"/>
          <w:color w:val="222222"/>
          <w:sz w:val="24"/>
          <w:szCs w:val="20"/>
          <w:shd w:val="clear" w:color="auto" w:fill="FFFFFF"/>
        </w:rPr>
        <w:t>Há divergência na doutrina a respeito dessa questão. Uns defendem que só a Fazenda Pública poderia ser alvo</w:t>
      </w:r>
      <w:r w:rsidR="009B32ED">
        <w:rPr>
          <w:rFonts w:ascii="Times New Roman" w:hAnsi="Times New Roman"/>
          <w:color w:val="222222"/>
          <w:sz w:val="24"/>
          <w:szCs w:val="20"/>
          <w:shd w:val="clear" w:color="auto" w:fill="FFFFFF"/>
        </w:rPr>
        <w:t xml:space="preserve">, incidindo o sequestro sobre as rendas públicas, sendo, portanto, uma exceção ao princípio da impenhorabilidade dos bens públicos. A outra corrente doutrinária defende que somente </w:t>
      </w:r>
      <w:r w:rsidR="00B92CBD">
        <w:rPr>
          <w:rFonts w:ascii="Times New Roman" w:hAnsi="Times New Roman"/>
          <w:color w:val="222222"/>
          <w:sz w:val="24"/>
          <w:szCs w:val="20"/>
          <w:shd w:val="clear" w:color="auto" w:fill="FFFFFF"/>
        </w:rPr>
        <w:t xml:space="preserve">sobre </w:t>
      </w:r>
      <w:r w:rsidR="009B32ED">
        <w:rPr>
          <w:rFonts w:ascii="Times New Roman" w:hAnsi="Times New Roman"/>
          <w:color w:val="222222"/>
          <w:sz w:val="24"/>
          <w:szCs w:val="20"/>
          <w:shd w:val="clear" w:color="auto" w:fill="FFFFFF"/>
        </w:rPr>
        <w:t xml:space="preserve">o patrimônio do credor que se beneficiou com a preterição da ordem de pagamento recairá a medida. Já o </w:t>
      </w:r>
      <w:r w:rsidR="00185BD8">
        <w:rPr>
          <w:rFonts w:ascii="Times New Roman" w:hAnsi="Times New Roman"/>
          <w:color w:val="222222"/>
          <w:sz w:val="24"/>
          <w:szCs w:val="20"/>
          <w:shd w:val="clear" w:color="auto" w:fill="FFFFFF"/>
        </w:rPr>
        <w:t>Leonardo Carneiro da Cunha</w:t>
      </w:r>
      <w:r w:rsidR="009B32ED">
        <w:rPr>
          <w:rFonts w:ascii="Times New Roman" w:hAnsi="Times New Roman"/>
          <w:color w:val="222222"/>
          <w:sz w:val="24"/>
          <w:szCs w:val="20"/>
          <w:shd w:val="clear" w:color="auto" w:fill="FFFFFF"/>
        </w:rPr>
        <w:t>, diz ser possível, em verdade, que haja um litisconsórcio passivo, ou seja, sobre o patrimônio tanto da Fazenda Pública quanto do credor beneficiado recairá o sequestro/arresto</w:t>
      </w:r>
      <w:r w:rsidR="00185BD8">
        <w:rPr>
          <w:rFonts w:ascii="Times New Roman" w:hAnsi="Times New Roman"/>
          <w:color w:val="222222"/>
          <w:sz w:val="24"/>
          <w:szCs w:val="20"/>
          <w:shd w:val="clear" w:color="auto" w:fill="FFFFFF"/>
        </w:rPr>
        <w:t xml:space="preserve"> (CUNHA, 2013). </w:t>
      </w:r>
    </w:p>
    <w:p w:rsidR="00D26A13" w:rsidRDefault="00805DEA" w:rsidP="002E68B7">
      <w:pPr>
        <w:pStyle w:val="Standard"/>
        <w:spacing w:after="0" w:line="360" w:lineRule="auto"/>
        <w:ind w:firstLine="1134"/>
        <w:jc w:val="both"/>
        <w:rPr>
          <w:rFonts w:ascii="Times New Roman" w:hAnsi="Times New Roman"/>
          <w:color w:val="222222"/>
          <w:sz w:val="24"/>
          <w:szCs w:val="20"/>
          <w:shd w:val="clear" w:color="auto" w:fill="FFFFFF"/>
        </w:rPr>
      </w:pPr>
      <w:r>
        <w:rPr>
          <w:rFonts w:ascii="Times New Roman" w:hAnsi="Times New Roman"/>
          <w:color w:val="222222"/>
          <w:sz w:val="24"/>
          <w:szCs w:val="20"/>
          <w:shd w:val="clear" w:color="auto" w:fill="FFFFFF"/>
        </w:rPr>
        <w:t>Nas outras duas hipóteses de sequestro, não previsão orçamentária bastante e vencimento do prazo de parcelamento, sobre as rendas públicas que recairá o referido ins</w:t>
      </w:r>
      <w:r w:rsidR="007B78A8">
        <w:rPr>
          <w:rFonts w:ascii="Times New Roman" w:hAnsi="Times New Roman"/>
          <w:color w:val="222222"/>
          <w:sz w:val="24"/>
          <w:szCs w:val="20"/>
          <w:shd w:val="clear" w:color="auto" w:fill="FFFFFF"/>
        </w:rPr>
        <w:t>t</w:t>
      </w:r>
      <w:r>
        <w:rPr>
          <w:rFonts w:ascii="Times New Roman" w:hAnsi="Times New Roman"/>
          <w:color w:val="222222"/>
          <w:sz w:val="24"/>
          <w:szCs w:val="20"/>
          <w:shd w:val="clear" w:color="auto" w:fill="FFFFFF"/>
        </w:rPr>
        <w:t>ituto</w:t>
      </w:r>
      <w:r w:rsidR="007B78A8">
        <w:rPr>
          <w:rFonts w:ascii="Times New Roman" w:hAnsi="Times New Roman"/>
          <w:color w:val="222222"/>
          <w:sz w:val="24"/>
          <w:szCs w:val="20"/>
          <w:shd w:val="clear" w:color="auto" w:fill="FFFFFF"/>
        </w:rPr>
        <w:t xml:space="preserve"> (CUNHA, 2013)</w:t>
      </w:r>
      <w:r>
        <w:rPr>
          <w:rFonts w:ascii="Times New Roman" w:hAnsi="Times New Roman"/>
          <w:color w:val="222222"/>
          <w:sz w:val="24"/>
          <w:szCs w:val="20"/>
          <w:shd w:val="clear" w:color="auto" w:fill="FFFFFF"/>
        </w:rPr>
        <w:t>.</w:t>
      </w:r>
    </w:p>
    <w:p w:rsidR="005A0843" w:rsidRDefault="00D26A13" w:rsidP="002E68B7">
      <w:pPr>
        <w:pStyle w:val="Standard"/>
        <w:spacing w:after="0" w:line="360" w:lineRule="auto"/>
        <w:ind w:firstLine="1134"/>
        <w:jc w:val="both"/>
        <w:rPr>
          <w:rFonts w:ascii="Times New Roman" w:hAnsi="Times New Roman"/>
          <w:color w:val="222222"/>
          <w:sz w:val="24"/>
          <w:szCs w:val="20"/>
          <w:shd w:val="clear" w:color="auto" w:fill="FFFFFF"/>
        </w:rPr>
      </w:pPr>
      <w:r>
        <w:rPr>
          <w:rFonts w:ascii="Times New Roman" w:hAnsi="Times New Roman"/>
          <w:color w:val="222222"/>
          <w:sz w:val="24"/>
          <w:szCs w:val="20"/>
          <w:shd w:val="clear" w:color="auto" w:fill="FFFFFF"/>
        </w:rPr>
        <w:t xml:space="preserve">No que diz respeito </w:t>
      </w:r>
      <w:r w:rsidR="00CF7BC4">
        <w:rPr>
          <w:rFonts w:ascii="Times New Roman" w:hAnsi="Times New Roman"/>
          <w:color w:val="222222"/>
          <w:sz w:val="24"/>
          <w:szCs w:val="20"/>
          <w:shd w:val="clear" w:color="auto" w:fill="FFFFFF"/>
        </w:rPr>
        <w:t>à legitimidade ativa, qualquer credor pode requerer o sequestro, ainda que não seja aquele que imediatamente se prejudicou com o preterimento.</w:t>
      </w:r>
      <w:r w:rsidR="005A0843">
        <w:rPr>
          <w:rFonts w:ascii="Times New Roman" w:hAnsi="Times New Roman"/>
          <w:color w:val="222222"/>
          <w:sz w:val="24"/>
          <w:szCs w:val="20"/>
          <w:shd w:val="clear" w:color="auto" w:fill="FFFFFF"/>
        </w:rPr>
        <w:t xml:space="preserve"> Assim, o credor mediato que promoveu o sequestro agirá por substituição processual em relação ao credor imediatamente afetado</w:t>
      </w:r>
      <w:r w:rsidR="003F7A8A">
        <w:rPr>
          <w:rFonts w:ascii="Times New Roman" w:hAnsi="Times New Roman"/>
          <w:color w:val="222222"/>
          <w:sz w:val="24"/>
          <w:szCs w:val="20"/>
          <w:shd w:val="clear" w:color="auto" w:fill="FFFFFF"/>
        </w:rPr>
        <w:t>. E quando o problema for a não alocação dos recursos no orçamento, a legitimidade será do credor afetado</w:t>
      </w:r>
      <w:r w:rsidR="005A0843">
        <w:rPr>
          <w:rFonts w:ascii="Times New Roman" w:hAnsi="Times New Roman"/>
          <w:color w:val="222222"/>
          <w:sz w:val="24"/>
          <w:szCs w:val="20"/>
          <w:shd w:val="clear" w:color="auto" w:fill="FFFFFF"/>
        </w:rPr>
        <w:t xml:space="preserve"> (CUNHA, 2013).</w:t>
      </w:r>
    </w:p>
    <w:p w:rsidR="003F7A8A" w:rsidRDefault="003F7A8A" w:rsidP="00BF0339">
      <w:pPr>
        <w:pStyle w:val="Standard"/>
        <w:spacing w:after="0" w:line="360" w:lineRule="auto"/>
        <w:jc w:val="both"/>
        <w:rPr>
          <w:rFonts w:ascii="Times New Roman" w:hAnsi="Times New Roman"/>
          <w:b/>
          <w:sz w:val="24"/>
          <w:szCs w:val="24"/>
        </w:rPr>
      </w:pPr>
    </w:p>
    <w:p w:rsidR="00BF0339" w:rsidRPr="00BF0339" w:rsidRDefault="00E517C2" w:rsidP="00BF0339">
      <w:pPr>
        <w:pStyle w:val="Standard"/>
        <w:spacing w:after="0" w:line="360" w:lineRule="auto"/>
        <w:jc w:val="both"/>
        <w:rPr>
          <w:rFonts w:ascii="Times New Roman" w:hAnsi="Times New Roman"/>
          <w:b/>
          <w:sz w:val="24"/>
          <w:szCs w:val="24"/>
        </w:rPr>
      </w:pPr>
      <w:r>
        <w:rPr>
          <w:rFonts w:ascii="Times New Roman" w:hAnsi="Times New Roman"/>
          <w:b/>
          <w:sz w:val="24"/>
          <w:szCs w:val="24"/>
        </w:rPr>
        <w:t xml:space="preserve">3 POSSIBILIDADE E APLICABILIDADE DA </w:t>
      </w:r>
      <w:r w:rsidRPr="00BF0339">
        <w:rPr>
          <w:rFonts w:ascii="Times New Roman" w:hAnsi="Times New Roman"/>
          <w:b/>
          <w:sz w:val="24"/>
          <w:szCs w:val="24"/>
        </w:rPr>
        <w:t>INTERVENÇÃO</w:t>
      </w:r>
      <w:r>
        <w:rPr>
          <w:rFonts w:ascii="Times New Roman" w:hAnsi="Times New Roman"/>
          <w:b/>
          <w:sz w:val="24"/>
          <w:szCs w:val="24"/>
        </w:rPr>
        <w:t xml:space="preserve"> FEDERAL OU ESTADUAL</w:t>
      </w:r>
    </w:p>
    <w:p w:rsidR="00BF0339" w:rsidRDefault="00BF0339" w:rsidP="00BF0339">
      <w:pPr>
        <w:pStyle w:val="Standard"/>
        <w:spacing w:after="0" w:line="360" w:lineRule="auto"/>
        <w:jc w:val="both"/>
        <w:rPr>
          <w:rFonts w:ascii="Times New Roman" w:hAnsi="Times New Roman"/>
          <w:sz w:val="24"/>
          <w:szCs w:val="24"/>
        </w:rPr>
      </w:pPr>
    </w:p>
    <w:p w:rsidR="00BF0339" w:rsidRDefault="008703E7" w:rsidP="00A44281">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Fredie Didier Jr</w:t>
      </w:r>
      <w:r w:rsidR="00A44281">
        <w:rPr>
          <w:rFonts w:ascii="Times New Roman" w:hAnsi="Times New Roman"/>
          <w:sz w:val="24"/>
          <w:szCs w:val="24"/>
        </w:rPr>
        <w:t xml:space="preserve"> (2012)</w:t>
      </w:r>
      <w:r>
        <w:rPr>
          <w:rFonts w:ascii="Times New Roman" w:hAnsi="Times New Roman"/>
          <w:sz w:val="24"/>
          <w:szCs w:val="24"/>
        </w:rPr>
        <w:t xml:space="preserve"> </w:t>
      </w:r>
      <w:r w:rsidR="00853640">
        <w:rPr>
          <w:rFonts w:ascii="Times New Roman" w:hAnsi="Times New Roman"/>
          <w:sz w:val="24"/>
          <w:szCs w:val="24"/>
        </w:rPr>
        <w:t>explic</w:t>
      </w:r>
      <w:r>
        <w:rPr>
          <w:rFonts w:ascii="Times New Roman" w:hAnsi="Times New Roman"/>
          <w:sz w:val="24"/>
          <w:szCs w:val="24"/>
        </w:rPr>
        <w:t>a que caso o precatório inscrito até 1º de julho não seja pago até o final do exercício financeiro seguinte, ensejará</w:t>
      </w:r>
      <w:r w:rsidR="00A44281">
        <w:rPr>
          <w:rFonts w:ascii="Times New Roman" w:hAnsi="Times New Roman"/>
          <w:sz w:val="24"/>
          <w:szCs w:val="24"/>
        </w:rPr>
        <w:t xml:space="preserve"> a requisição de</w:t>
      </w:r>
      <w:r>
        <w:rPr>
          <w:rFonts w:ascii="Times New Roman" w:hAnsi="Times New Roman"/>
          <w:sz w:val="24"/>
          <w:szCs w:val="24"/>
        </w:rPr>
        <w:t xml:space="preserve"> intervenção por conta </w:t>
      </w:r>
      <w:r w:rsidR="00A44281">
        <w:rPr>
          <w:rFonts w:ascii="Times New Roman" w:hAnsi="Times New Roman"/>
          <w:sz w:val="24"/>
          <w:szCs w:val="24"/>
        </w:rPr>
        <w:t>de desobediência a decisão judicial. A</w:t>
      </w:r>
      <w:r w:rsidR="00853640">
        <w:rPr>
          <w:rFonts w:ascii="Times New Roman" w:hAnsi="Times New Roman"/>
          <w:sz w:val="24"/>
          <w:szCs w:val="24"/>
        </w:rPr>
        <w:t xml:space="preserve">s hipóteses de cabimento e procedimento </w:t>
      </w:r>
      <w:r w:rsidR="00523EE0">
        <w:rPr>
          <w:rFonts w:ascii="Times New Roman" w:hAnsi="Times New Roman"/>
          <w:sz w:val="24"/>
          <w:szCs w:val="24"/>
        </w:rPr>
        <w:t xml:space="preserve">estão </w:t>
      </w:r>
      <w:r w:rsidR="00853640">
        <w:rPr>
          <w:rFonts w:ascii="Times New Roman" w:hAnsi="Times New Roman"/>
          <w:sz w:val="24"/>
          <w:szCs w:val="24"/>
        </w:rPr>
        <w:t>previstas nos</w:t>
      </w:r>
      <w:r w:rsidR="006A00AC">
        <w:rPr>
          <w:rFonts w:ascii="Times New Roman" w:hAnsi="Times New Roman"/>
          <w:sz w:val="24"/>
          <w:szCs w:val="24"/>
        </w:rPr>
        <w:t xml:space="preserve"> artigos</w:t>
      </w:r>
      <w:r w:rsidR="00853640">
        <w:rPr>
          <w:rFonts w:ascii="Times New Roman" w:hAnsi="Times New Roman"/>
          <w:sz w:val="24"/>
          <w:szCs w:val="24"/>
        </w:rPr>
        <w:t xml:space="preserve"> 3</w:t>
      </w:r>
      <w:r w:rsidR="00A44281">
        <w:rPr>
          <w:rFonts w:ascii="Times New Roman" w:hAnsi="Times New Roman"/>
          <w:sz w:val="24"/>
          <w:szCs w:val="24"/>
        </w:rPr>
        <w:t>4 a 36 da Constituição Federal.</w:t>
      </w:r>
    </w:p>
    <w:p w:rsidR="005F1846" w:rsidRDefault="005F1846" w:rsidP="00A44281">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Curioso é que essa é uma medida paradoxal, uma vez que o Estado sub-roga a si próprio para satisfazer o interesse do credor. </w:t>
      </w:r>
    </w:p>
    <w:p w:rsidR="00062B19" w:rsidRDefault="00062B19" w:rsidP="00A44281">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No entanto</w:t>
      </w:r>
      <w:r w:rsidR="00523EE0">
        <w:rPr>
          <w:rFonts w:ascii="Times New Roman" w:hAnsi="Times New Roman"/>
          <w:sz w:val="24"/>
          <w:szCs w:val="24"/>
        </w:rPr>
        <w:t>,</w:t>
      </w:r>
      <w:r>
        <w:rPr>
          <w:rFonts w:ascii="Times New Roman" w:hAnsi="Times New Roman"/>
          <w:sz w:val="24"/>
          <w:szCs w:val="24"/>
        </w:rPr>
        <w:t xml:space="preserve"> assim assinala Didier</w:t>
      </w:r>
      <w:r w:rsidR="00892A6C">
        <w:rPr>
          <w:rFonts w:ascii="Times New Roman" w:hAnsi="Times New Roman"/>
          <w:sz w:val="24"/>
          <w:szCs w:val="24"/>
        </w:rPr>
        <w:t xml:space="preserve"> (2012, p. 740)</w:t>
      </w:r>
      <w:r>
        <w:rPr>
          <w:rFonts w:ascii="Times New Roman" w:hAnsi="Times New Roman"/>
          <w:sz w:val="24"/>
          <w:szCs w:val="24"/>
        </w:rPr>
        <w:t xml:space="preserve">: </w:t>
      </w:r>
    </w:p>
    <w:p w:rsidR="00883A52" w:rsidRDefault="00883A52" w:rsidP="00A44281">
      <w:pPr>
        <w:pStyle w:val="Standard"/>
        <w:spacing w:after="0" w:line="360" w:lineRule="auto"/>
        <w:ind w:firstLine="1134"/>
        <w:jc w:val="both"/>
        <w:rPr>
          <w:rFonts w:ascii="Times New Roman" w:hAnsi="Times New Roman"/>
          <w:sz w:val="24"/>
          <w:szCs w:val="24"/>
        </w:rPr>
      </w:pPr>
    </w:p>
    <w:p w:rsidR="00062B19" w:rsidRPr="00062B19" w:rsidRDefault="00062B19" w:rsidP="00062B19">
      <w:pPr>
        <w:widowControl/>
        <w:suppressAutoHyphens w:val="0"/>
        <w:autoSpaceDE w:val="0"/>
        <w:adjustRightInd w:val="0"/>
        <w:ind w:left="2268"/>
        <w:jc w:val="both"/>
        <w:textAlignment w:val="auto"/>
        <w:rPr>
          <w:rFonts w:cs="Times New Roman"/>
          <w:sz w:val="20"/>
          <w:szCs w:val="20"/>
        </w:rPr>
      </w:pPr>
      <w:r>
        <w:rPr>
          <w:rFonts w:cs="Times New Roman"/>
          <w:kern w:val="0"/>
          <w:sz w:val="20"/>
          <w:szCs w:val="20"/>
          <w:lang w:bidi="ar-SA"/>
        </w:rPr>
        <w:t>A alegaçã</w:t>
      </w:r>
      <w:r w:rsidRPr="00062B19">
        <w:rPr>
          <w:rFonts w:cs="Times New Roman"/>
          <w:kern w:val="0"/>
          <w:sz w:val="20"/>
          <w:szCs w:val="20"/>
          <w:lang w:bidi="ar-SA"/>
        </w:rPr>
        <w:t xml:space="preserve">o de falta de </w:t>
      </w:r>
      <w:r>
        <w:rPr>
          <w:rFonts w:cs="Times New Roman"/>
          <w:kern w:val="0"/>
          <w:sz w:val="20"/>
          <w:szCs w:val="20"/>
          <w:lang w:bidi="ar-SA"/>
        </w:rPr>
        <w:t>recursos, conquanto parecesse nã</w:t>
      </w:r>
      <w:r w:rsidRPr="00062B19">
        <w:rPr>
          <w:rFonts w:cs="Times New Roman"/>
          <w:kern w:val="0"/>
          <w:sz w:val="20"/>
          <w:szCs w:val="20"/>
          <w:lang w:bidi="ar-SA"/>
        </w:rPr>
        <w:t>o ser motivo suficiente para</w:t>
      </w:r>
      <w:r>
        <w:rPr>
          <w:rFonts w:cs="Times New Roman"/>
          <w:kern w:val="0"/>
          <w:sz w:val="20"/>
          <w:szCs w:val="20"/>
          <w:lang w:bidi="ar-SA"/>
        </w:rPr>
        <w:t xml:space="preserve"> afastar a intervençã</w:t>
      </w:r>
      <w:r w:rsidRPr="00062B19">
        <w:rPr>
          <w:rFonts w:cs="Times New Roman"/>
          <w:kern w:val="0"/>
          <w:sz w:val="20"/>
          <w:szCs w:val="20"/>
          <w:lang w:bidi="ar-SA"/>
        </w:rPr>
        <w:t>o, passou a se</w:t>
      </w:r>
      <w:r>
        <w:rPr>
          <w:rFonts w:cs="Times New Roman"/>
          <w:kern w:val="0"/>
          <w:sz w:val="20"/>
          <w:szCs w:val="20"/>
          <w:lang w:bidi="ar-SA"/>
        </w:rPr>
        <w:t>r tida como justificativa plausí</w:t>
      </w:r>
      <w:r w:rsidRPr="00062B19">
        <w:rPr>
          <w:rFonts w:cs="Times New Roman"/>
          <w:kern w:val="0"/>
          <w:sz w:val="20"/>
          <w:szCs w:val="20"/>
          <w:lang w:bidi="ar-SA"/>
        </w:rPr>
        <w:t>vel, a impedir o decreto</w:t>
      </w:r>
      <w:r>
        <w:rPr>
          <w:rFonts w:cs="Times New Roman"/>
          <w:kern w:val="0"/>
          <w:sz w:val="20"/>
          <w:szCs w:val="20"/>
          <w:lang w:bidi="ar-SA"/>
        </w:rPr>
        <w:t xml:space="preserve"> interventivo. Diante da ausência de configuração de dolo ou de atuaçã</w:t>
      </w:r>
      <w:r w:rsidRPr="00062B19">
        <w:rPr>
          <w:rFonts w:cs="Times New Roman"/>
          <w:kern w:val="0"/>
          <w:sz w:val="20"/>
          <w:szCs w:val="20"/>
          <w:lang w:bidi="ar-SA"/>
        </w:rPr>
        <w:t>o deliberada do</w:t>
      </w:r>
      <w:r>
        <w:rPr>
          <w:rFonts w:cs="Times New Roman"/>
          <w:kern w:val="0"/>
          <w:sz w:val="20"/>
          <w:szCs w:val="20"/>
          <w:lang w:bidi="ar-SA"/>
        </w:rPr>
        <w:t xml:space="preserve"> administrador pú</w:t>
      </w:r>
      <w:r w:rsidRPr="00062B19">
        <w:rPr>
          <w:rFonts w:cs="Times New Roman"/>
          <w:kern w:val="0"/>
          <w:sz w:val="20"/>
          <w:szCs w:val="20"/>
          <w:lang w:bidi="ar-SA"/>
        </w:rPr>
        <w:t xml:space="preserve">blico, a simples </w:t>
      </w:r>
      <w:r>
        <w:rPr>
          <w:rFonts w:cs="Times New Roman"/>
          <w:kern w:val="0"/>
          <w:sz w:val="20"/>
          <w:szCs w:val="20"/>
          <w:lang w:bidi="ar-SA"/>
        </w:rPr>
        <w:t>falta de recursos para satisfação do precatório já</w:t>
      </w:r>
      <w:r w:rsidRPr="00062B19">
        <w:rPr>
          <w:rFonts w:cs="Times New Roman"/>
          <w:kern w:val="0"/>
          <w:sz w:val="20"/>
          <w:szCs w:val="20"/>
          <w:lang w:bidi="ar-SA"/>
        </w:rPr>
        <w:t xml:space="preserve"> vem</w:t>
      </w:r>
      <w:r>
        <w:rPr>
          <w:rFonts w:cs="Times New Roman"/>
          <w:kern w:val="0"/>
          <w:sz w:val="20"/>
          <w:szCs w:val="20"/>
          <w:lang w:bidi="ar-SA"/>
        </w:rPr>
        <w:t xml:space="preserve"> </w:t>
      </w:r>
      <w:r w:rsidRPr="00062B19">
        <w:rPr>
          <w:rFonts w:cs="Times New Roman"/>
          <w:kern w:val="0"/>
          <w:sz w:val="20"/>
          <w:szCs w:val="20"/>
          <w:lang w:bidi="ar-SA"/>
        </w:rPr>
        <w:t>send</w:t>
      </w:r>
      <w:r>
        <w:rPr>
          <w:rFonts w:cs="Times New Roman"/>
          <w:kern w:val="0"/>
          <w:sz w:val="20"/>
          <w:szCs w:val="20"/>
          <w:lang w:bidi="ar-SA"/>
        </w:rPr>
        <w:t>o tida como justificativa aceitá</w:t>
      </w:r>
      <w:r w:rsidRPr="00062B19">
        <w:rPr>
          <w:rFonts w:cs="Times New Roman"/>
          <w:kern w:val="0"/>
          <w:sz w:val="20"/>
          <w:szCs w:val="20"/>
          <w:lang w:bidi="ar-SA"/>
        </w:rPr>
        <w:t>vel para afastar</w:t>
      </w:r>
      <w:r>
        <w:rPr>
          <w:rFonts w:cs="Times New Roman"/>
          <w:kern w:val="0"/>
          <w:sz w:val="20"/>
          <w:szCs w:val="20"/>
          <w:lang w:bidi="ar-SA"/>
        </w:rPr>
        <w:t xml:space="preserve"> a medida extrema da intervençã</w:t>
      </w:r>
      <w:r w:rsidRPr="00062B19">
        <w:rPr>
          <w:rFonts w:cs="Times New Roman"/>
          <w:kern w:val="0"/>
          <w:sz w:val="20"/>
          <w:szCs w:val="20"/>
          <w:lang w:bidi="ar-SA"/>
        </w:rPr>
        <w:t>o, com</w:t>
      </w:r>
      <w:r>
        <w:rPr>
          <w:rFonts w:cs="Times New Roman"/>
          <w:kern w:val="0"/>
          <w:sz w:val="20"/>
          <w:szCs w:val="20"/>
          <w:lang w:bidi="ar-SA"/>
        </w:rPr>
        <w:t xml:space="preserve"> aplicação do princí</w:t>
      </w:r>
      <w:r w:rsidRPr="00062B19">
        <w:rPr>
          <w:rFonts w:cs="Times New Roman"/>
          <w:kern w:val="0"/>
          <w:sz w:val="20"/>
          <w:szCs w:val="20"/>
          <w:lang w:bidi="ar-SA"/>
        </w:rPr>
        <w:t>pio da proporcionalidade</w:t>
      </w:r>
      <w:r>
        <w:rPr>
          <w:rFonts w:cs="Times New Roman"/>
          <w:kern w:val="0"/>
          <w:sz w:val="20"/>
          <w:szCs w:val="20"/>
          <w:lang w:bidi="ar-SA"/>
        </w:rPr>
        <w:t>.</w:t>
      </w:r>
    </w:p>
    <w:p w:rsidR="00062B19" w:rsidRDefault="00062B19" w:rsidP="00A44281">
      <w:pPr>
        <w:pStyle w:val="Standard"/>
        <w:spacing w:after="0" w:line="360" w:lineRule="auto"/>
        <w:ind w:firstLine="1134"/>
        <w:jc w:val="both"/>
        <w:rPr>
          <w:rFonts w:ascii="Times New Roman" w:hAnsi="Times New Roman"/>
          <w:sz w:val="24"/>
          <w:szCs w:val="24"/>
        </w:rPr>
      </w:pPr>
    </w:p>
    <w:p w:rsidR="00E517C2" w:rsidRDefault="00523EE0" w:rsidP="00E517C2">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O princípio da proporcionalidade que fala d. Professor é uma técnica de solução de </w:t>
      </w:r>
      <w:r>
        <w:rPr>
          <w:rFonts w:ascii="Times New Roman" w:hAnsi="Times New Roman"/>
          <w:sz w:val="24"/>
          <w:szCs w:val="24"/>
        </w:rPr>
        <w:lastRenderedPageBreak/>
        <w:t>conflitos entre princípios. Quem assinala uma teoria a respeito é Robert Alexy (2011). Nessa</w:t>
      </w:r>
      <w:r w:rsidR="006A00AC">
        <w:rPr>
          <w:rFonts w:ascii="Times New Roman" w:hAnsi="Times New Roman"/>
          <w:sz w:val="24"/>
          <w:szCs w:val="24"/>
        </w:rPr>
        <w:t xml:space="preserve"> teoria</w:t>
      </w:r>
      <w:r>
        <w:rPr>
          <w:rFonts w:ascii="Times New Roman" w:hAnsi="Times New Roman"/>
          <w:sz w:val="24"/>
          <w:szCs w:val="24"/>
        </w:rPr>
        <w:t xml:space="preserve"> ele d</w:t>
      </w:r>
      <w:r w:rsidR="00C6177D">
        <w:rPr>
          <w:rFonts w:ascii="Times New Roman" w:hAnsi="Times New Roman"/>
          <w:sz w:val="24"/>
          <w:szCs w:val="24"/>
        </w:rPr>
        <w:t>efende um método para a resolução de colisões entre os direitos fundamentais. Esse método se divide em três etapas: adequação, necessidade e ponderação. Na primeira etapa, diante da afetação de um direito fundamental pelo exercício de um outro, é verificada a adequação da escolha de um meio, uma forma de reparação ou mitigação à ofensa sofrida. Sendo esse meio adequado, passa-se à segunda etapa, a necessidade, nela há uma comparação da eficiência do meio escolhido em face de meios alternativos, assim, o que se observa é: qual deles realiza o objetivo da reparação ou mitigação de forma igual ou superior ao meio escolhido; qual tem maior probabilidade de alcançar a finalidade; e qual deles é o mais veloz nessa reparação ou mitigação. Por fim, há a ponderação (ou proporcionalidade em sentido estrito) através do sopeso de argumentos prós e contras à prevalência de um determinado direito sobre o outro. Em seguida há uma decisão.</w:t>
      </w:r>
    </w:p>
    <w:p w:rsidR="006B7ECF" w:rsidRPr="00E517C2" w:rsidRDefault="00523EE0" w:rsidP="00170564">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Pois bem! </w:t>
      </w:r>
      <w:r w:rsidR="006A00AC">
        <w:rPr>
          <w:rFonts w:ascii="Times New Roman" w:hAnsi="Times New Roman"/>
          <w:sz w:val="24"/>
          <w:szCs w:val="24"/>
        </w:rPr>
        <w:t>O que se extrai é que</w:t>
      </w:r>
      <w:r w:rsidR="005F1846">
        <w:rPr>
          <w:rFonts w:ascii="Times New Roman" w:hAnsi="Times New Roman"/>
          <w:sz w:val="24"/>
          <w:szCs w:val="24"/>
        </w:rPr>
        <w:t xml:space="preserve"> </w:t>
      </w:r>
      <w:r w:rsidR="00170564">
        <w:rPr>
          <w:rFonts w:ascii="Times New Roman" w:hAnsi="Times New Roman"/>
          <w:sz w:val="24"/>
          <w:szCs w:val="24"/>
        </w:rPr>
        <w:t xml:space="preserve">a intervenção </w:t>
      </w:r>
      <w:r w:rsidR="006A00AC">
        <w:rPr>
          <w:rFonts w:ascii="Times New Roman" w:hAnsi="Times New Roman"/>
          <w:sz w:val="24"/>
          <w:szCs w:val="24"/>
        </w:rPr>
        <w:t xml:space="preserve">é </w:t>
      </w:r>
      <w:r w:rsidR="00170564">
        <w:rPr>
          <w:rFonts w:ascii="Times New Roman" w:hAnsi="Times New Roman"/>
          <w:sz w:val="24"/>
          <w:szCs w:val="24"/>
        </w:rPr>
        <w:t>medida desarrazoada, desproporcional, uma vez que o interesse p</w:t>
      </w:r>
      <w:r w:rsidR="00FE3A27">
        <w:rPr>
          <w:rFonts w:ascii="Times New Roman" w:hAnsi="Times New Roman"/>
          <w:sz w:val="24"/>
          <w:szCs w:val="24"/>
        </w:rPr>
        <w:t>úblico é deveras afetado em funç</w:t>
      </w:r>
      <w:r w:rsidR="00892A6C">
        <w:rPr>
          <w:rFonts w:ascii="Times New Roman" w:hAnsi="Times New Roman"/>
          <w:sz w:val="24"/>
          <w:szCs w:val="24"/>
        </w:rPr>
        <w:t>ão do pagamento dos precatórios</w:t>
      </w:r>
      <w:r w:rsidR="005F1846">
        <w:rPr>
          <w:rFonts w:ascii="Times New Roman" w:hAnsi="Times New Roman"/>
          <w:sz w:val="24"/>
          <w:szCs w:val="24"/>
        </w:rPr>
        <w:t>. Mas também, esse entendimento continua a deixar o credor em maus lençóis.</w:t>
      </w:r>
    </w:p>
    <w:p w:rsidR="00195BB8" w:rsidRPr="00527279" w:rsidRDefault="00195BB8" w:rsidP="00195BB8">
      <w:pPr>
        <w:pStyle w:val="SemEspaamento"/>
        <w:spacing w:line="360" w:lineRule="auto"/>
        <w:ind w:firstLine="1701"/>
        <w:jc w:val="both"/>
      </w:pPr>
    </w:p>
    <w:p w:rsidR="00E73FA4" w:rsidRDefault="0096415B" w:rsidP="00C0538C">
      <w:pPr>
        <w:pStyle w:val="Standard"/>
        <w:spacing w:line="360" w:lineRule="auto"/>
        <w:jc w:val="both"/>
        <w:rPr>
          <w:rFonts w:ascii="Times New Roman" w:hAnsi="Times New Roman"/>
          <w:b/>
          <w:sz w:val="24"/>
          <w:szCs w:val="24"/>
        </w:rPr>
      </w:pPr>
      <w:r>
        <w:rPr>
          <w:rFonts w:ascii="Times New Roman" w:hAnsi="Times New Roman"/>
          <w:b/>
          <w:sz w:val="24"/>
          <w:szCs w:val="24"/>
        </w:rPr>
        <w:t>CONSIDERAÇÕES FINAIS</w:t>
      </w:r>
    </w:p>
    <w:p w:rsidR="0096415B" w:rsidRDefault="0096415B">
      <w:pPr>
        <w:pStyle w:val="Standard"/>
        <w:spacing w:after="0" w:line="360" w:lineRule="auto"/>
        <w:ind w:firstLine="1134"/>
        <w:jc w:val="both"/>
        <w:rPr>
          <w:rFonts w:ascii="Times New Roman" w:hAnsi="Times New Roman"/>
          <w:b/>
          <w:sz w:val="24"/>
          <w:szCs w:val="24"/>
        </w:rPr>
      </w:pPr>
    </w:p>
    <w:p w:rsidR="00A10BFB" w:rsidRPr="00CC364F" w:rsidRDefault="006A00AC">
      <w:pPr>
        <w:pStyle w:val="Standard"/>
        <w:spacing w:after="0" w:line="360" w:lineRule="auto"/>
        <w:ind w:firstLine="1134"/>
        <w:jc w:val="both"/>
        <w:rPr>
          <w:rFonts w:ascii="Times New Roman" w:hAnsi="Times New Roman"/>
          <w:sz w:val="24"/>
          <w:szCs w:val="24"/>
        </w:rPr>
      </w:pPr>
      <w:r w:rsidRPr="006A00AC">
        <w:rPr>
          <w:rFonts w:ascii="Times New Roman" w:hAnsi="Times New Roman"/>
          <w:sz w:val="24"/>
          <w:szCs w:val="24"/>
        </w:rPr>
        <w:t xml:space="preserve">Viu-se </w:t>
      </w:r>
      <w:r>
        <w:rPr>
          <w:rFonts w:ascii="Times New Roman" w:hAnsi="Times New Roman"/>
          <w:sz w:val="24"/>
          <w:szCs w:val="24"/>
        </w:rPr>
        <w:t xml:space="preserve">que </w:t>
      </w:r>
      <w:r w:rsidR="00CC364F">
        <w:rPr>
          <w:rFonts w:ascii="Times New Roman" w:hAnsi="Times New Roman"/>
          <w:sz w:val="24"/>
          <w:szCs w:val="24"/>
        </w:rPr>
        <w:t xml:space="preserve">no Brasil existe um regime de pagamento de dívidas da Fazenda Pública </w:t>
      </w:r>
      <w:r w:rsidR="00CC364F">
        <w:rPr>
          <w:rFonts w:ascii="Times New Roman" w:hAnsi="Times New Roman"/>
          <w:i/>
          <w:sz w:val="24"/>
          <w:szCs w:val="24"/>
        </w:rPr>
        <w:t>sui generis</w:t>
      </w:r>
      <w:r w:rsidR="00CC364F">
        <w:rPr>
          <w:rFonts w:ascii="Times New Roman" w:hAnsi="Times New Roman"/>
          <w:sz w:val="24"/>
          <w:szCs w:val="24"/>
        </w:rPr>
        <w:t>. O regime de precatórios recai sobre créditos, a exceção das de pequeno valor, devidos independente da natureza</w:t>
      </w:r>
      <w:r w:rsidR="004A4F69">
        <w:rPr>
          <w:rFonts w:ascii="Times New Roman" w:hAnsi="Times New Roman"/>
          <w:sz w:val="24"/>
          <w:szCs w:val="24"/>
        </w:rPr>
        <w:t>. Tal regime é previsto é previsto constitucionalmente e decorre da impenhorabilidade e inalienabilidade dos bens públicos.</w:t>
      </w:r>
    </w:p>
    <w:p w:rsidR="00033391" w:rsidRDefault="004A4F69">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Sabe-se também que um dos grandes problemas desse regime é a má vontade e o endividamento exacerbado dos entes públicos o que o torna ineficaz. Além disso, as medidas cabíveis como o sequestro/arresto e a intervenção se revelam medidas ineficazes</w:t>
      </w:r>
      <w:r w:rsidR="00033391">
        <w:rPr>
          <w:rFonts w:ascii="Times New Roman" w:hAnsi="Times New Roman"/>
          <w:sz w:val="24"/>
          <w:szCs w:val="24"/>
        </w:rPr>
        <w:t>.</w:t>
      </w:r>
    </w:p>
    <w:p w:rsidR="004A4F69" w:rsidRDefault="004A4F69">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 </w:t>
      </w:r>
      <w:r w:rsidR="00033391">
        <w:rPr>
          <w:rFonts w:ascii="Times New Roman" w:hAnsi="Times New Roman"/>
          <w:sz w:val="24"/>
          <w:szCs w:val="24"/>
        </w:rPr>
        <w:t>O</w:t>
      </w:r>
      <w:r>
        <w:rPr>
          <w:rFonts w:ascii="Times New Roman" w:hAnsi="Times New Roman"/>
          <w:sz w:val="24"/>
          <w:szCs w:val="24"/>
        </w:rPr>
        <w:t xml:space="preserve"> sequestro/arresto </w:t>
      </w:r>
      <w:r w:rsidR="00033391">
        <w:rPr>
          <w:rFonts w:ascii="Times New Roman" w:hAnsi="Times New Roman"/>
          <w:sz w:val="24"/>
          <w:szCs w:val="24"/>
        </w:rPr>
        <w:t xml:space="preserve">se limita a apenas três hipóteses: não alocação orçamentária suficiente, preterição na ordem de pagamento e vencimento do parcelamento. </w:t>
      </w:r>
    </w:p>
    <w:p w:rsidR="00033391" w:rsidRDefault="00033391">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O pedido de intervenção, por seu turno, é entendido como uma medida extrema, logo, desproporcional.</w:t>
      </w:r>
    </w:p>
    <w:p w:rsidR="00A10BFB" w:rsidRDefault="00033391">
      <w:pPr>
        <w:pStyle w:val="Standard"/>
        <w:spacing w:after="0" w:line="360" w:lineRule="auto"/>
        <w:ind w:firstLine="1134"/>
        <w:jc w:val="both"/>
        <w:rPr>
          <w:rFonts w:ascii="Times New Roman" w:hAnsi="Times New Roman"/>
          <w:sz w:val="24"/>
          <w:szCs w:val="24"/>
        </w:rPr>
      </w:pPr>
      <w:r>
        <w:rPr>
          <w:rFonts w:ascii="Times New Roman" w:hAnsi="Times New Roman"/>
          <w:sz w:val="24"/>
          <w:szCs w:val="24"/>
        </w:rPr>
        <w:t xml:space="preserve">O fato é que o credor da Fazenda Pública ainda está em maus lençóis e aparentemente não se vislumbra tão cedo uma solução ao problema. </w:t>
      </w:r>
    </w:p>
    <w:p w:rsidR="00033391" w:rsidRDefault="00033391">
      <w:pPr>
        <w:pStyle w:val="Standard"/>
        <w:spacing w:after="0" w:line="360" w:lineRule="auto"/>
        <w:ind w:firstLine="1134"/>
        <w:jc w:val="both"/>
        <w:rPr>
          <w:rFonts w:ascii="Times New Roman" w:hAnsi="Times New Roman"/>
          <w:sz w:val="24"/>
          <w:szCs w:val="24"/>
        </w:rPr>
      </w:pPr>
    </w:p>
    <w:p w:rsidR="00033391" w:rsidRDefault="00033391">
      <w:pPr>
        <w:pStyle w:val="Standard"/>
        <w:spacing w:after="0" w:line="360" w:lineRule="auto"/>
        <w:ind w:firstLine="1134"/>
        <w:jc w:val="both"/>
        <w:rPr>
          <w:rFonts w:ascii="Times New Roman" w:hAnsi="Times New Roman"/>
          <w:b/>
          <w:sz w:val="24"/>
          <w:szCs w:val="24"/>
        </w:rPr>
      </w:pPr>
      <w:bookmarkStart w:id="20" w:name="_GoBack"/>
      <w:bookmarkEnd w:id="20"/>
    </w:p>
    <w:p w:rsidR="00E73FA4" w:rsidRDefault="0020558E">
      <w:pPr>
        <w:pStyle w:val="Standard"/>
        <w:spacing w:after="0" w:line="360" w:lineRule="auto"/>
        <w:jc w:val="both"/>
        <w:rPr>
          <w:rFonts w:ascii="Times New Roman" w:hAnsi="Times New Roman"/>
          <w:b/>
          <w:sz w:val="24"/>
          <w:szCs w:val="24"/>
        </w:rPr>
      </w:pPr>
      <w:r>
        <w:rPr>
          <w:rFonts w:ascii="Times New Roman" w:hAnsi="Times New Roman"/>
          <w:b/>
          <w:sz w:val="24"/>
          <w:szCs w:val="24"/>
        </w:rPr>
        <w:lastRenderedPageBreak/>
        <w:t>REFERÊNCIAS</w:t>
      </w:r>
    </w:p>
    <w:p w:rsidR="00C6463D" w:rsidRDefault="00C6463D" w:rsidP="00C6463D">
      <w:pPr>
        <w:pStyle w:val="Standard"/>
        <w:spacing w:after="0" w:line="360" w:lineRule="auto"/>
        <w:ind w:firstLine="1134"/>
        <w:jc w:val="both"/>
        <w:rPr>
          <w:rFonts w:ascii="Times New Roman" w:hAnsi="Times New Roman"/>
          <w:sz w:val="24"/>
          <w:szCs w:val="24"/>
        </w:rPr>
      </w:pPr>
    </w:p>
    <w:p w:rsidR="00C6463D" w:rsidRPr="00C6463D" w:rsidRDefault="00C6463D" w:rsidP="00C6463D">
      <w:pPr>
        <w:pStyle w:val="Standard"/>
        <w:spacing w:after="0" w:line="360" w:lineRule="auto"/>
        <w:ind w:firstLine="1134"/>
        <w:jc w:val="both"/>
        <w:rPr>
          <w:rFonts w:ascii="Times New Roman" w:hAnsi="Times New Roman"/>
          <w:sz w:val="24"/>
          <w:szCs w:val="24"/>
        </w:rPr>
      </w:pPr>
    </w:p>
    <w:p w:rsidR="00CD2C14" w:rsidRDefault="00CD2C14" w:rsidP="001965EF">
      <w:pPr>
        <w:jc w:val="both"/>
        <w:rPr>
          <w:rFonts w:cs="Times New Roman"/>
        </w:rPr>
      </w:pPr>
      <w:r w:rsidRPr="00E3360E">
        <w:rPr>
          <w:rFonts w:cs="Times New Roman"/>
          <w:bCs/>
          <w:kern w:val="0"/>
          <w:szCs w:val="20"/>
          <w:lang w:bidi="ar-SA"/>
        </w:rPr>
        <w:t>ABRAHAM</w:t>
      </w:r>
      <w:r>
        <w:rPr>
          <w:rFonts w:cs="Times New Roman"/>
          <w:bCs/>
          <w:kern w:val="0"/>
          <w:szCs w:val="20"/>
          <w:lang w:bidi="ar-SA"/>
        </w:rPr>
        <w:t>,</w:t>
      </w:r>
      <w:r w:rsidRPr="00E3360E">
        <w:rPr>
          <w:rFonts w:cs="Times New Roman"/>
          <w:bCs/>
          <w:kern w:val="0"/>
          <w:szCs w:val="20"/>
          <w:lang w:bidi="ar-SA"/>
        </w:rPr>
        <w:t xml:space="preserve"> Marcus</w:t>
      </w:r>
      <w:r>
        <w:rPr>
          <w:rFonts w:cs="Times New Roman"/>
          <w:bCs/>
          <w:kern w:val="0"/>
          <w:szCs w:val="20"/>
          <w:lang w:bidi="ar-SA"/>
        </w:rPr>
        <w:t xml:space="preserve">. </w:t>
      </w:r>
      <w:r w:rsidRPr="00CD2C14">
        <w:rPr>
          <w:rFonts w:cs="Times New Roman"/>
          <w:b/>
          <w:bCs/>
          <w:kern w:val="0"/>
          <w:szCs w:val="20"/>
          <w:lang w:bidi="ar-SA"/>
        </w:rPr>
        <w:t xml:space="preserve">Reflexões sobre a EC 62/2009: a compensação </w:t>
      </w:r>
      <w:r>
        <w:rPr>
          <w:rFonts w:cs="Times New Roman"/>
          <w:b/>
          <w:bCs/>
          <w:kern w:val="0"/>
          <w:szCs w:val="20"/>
          <w:lang w:bidi="ar-SA"/>
        </w:rPr>
        <w:t>de precatórios com créditos da F</w:t>
      </w:r>
      <w:r w:rsidRPr="00CD2C14">
        <w:rPr>
          <w:rFonts w:cs="Times New Roman"/>
          <w:b/>
          <w:bCs/>
          <w:kern w:val="0"/>
          <w:szCs w:val="20"/>
          <w:lang w:bidi="ar-SA"/>
        </w:rPr>
        <w:t>azen</w:t>
      </w:r>
      <w:r>
        <w:rPr>
          <w:rFonts w:cs="Times New Roman"/>
          <w:b/>
          <w:bCs/>
          <w:kern w:val="0"/>
          <w:szCs w:val="20"/>
          <w:lang w:bidi="ar-SA"/>
        </w:rPr>
        <w:t>da P</w:t>
      </w:r>
      <w:r w:rsidRPr="00CD2C14">
        <w:rPr>
          <w:rFonts w:cs="Times New Roman"/>
          <w:b/>
          <w:bCs/>
          <w:kern w:val="0"/>
          <w:szCs w:val="20"/>
          <w:lang w:bidi="ar-SA"/>
        </w:rPr>
        <w:t>ública</w:t>
      </w:r>
      <w:r>
        <w:rPr>
          <w:rFonts w:cs="Times New Roman"/>
          <w:bCs/>
          <w:kern w:val="0"/>
          <w:szCs w:val="20"/>
          <w:lang w:bidi="ar-SA"/>
        </w:rPr>
        <w:t>.</w:t>
      </w:r>
      <w:r w:rsidR="001C0EE9">
        <w:rPr>
          <w:rFonts w:cs="Times New Roman"/>
          <w:bCs/>
          <w:kern w:val="0"/>
          <w:szCs w:val="20"/>
          <w:lang w:bidi="ar-SA"/>
        </w:rPr>
        <w:t xml:space="preserve"> </w:t>
      </w:r>
      <w:r w:rsidR="001C0EE9" w:rsidRPr="001C0EE9">
        <w:rPr>
          <w:rFonts w:cs="Times New Roman"/>
          <w:kern w:val="0"/>
          <w:szCs w:val="20"/>
          <w:lang w:bidi="ar-SA"/>
        </w:rPr>
        <w:t>Revista Tributária e de Finanças Públicas | vol. 94 | p. 226</w:t>
      </w:r>
      <w:r w:rsidR="00A300D6">
        <w:rPr>
          <w:rFonts w:cs="Times New Roman"/>
          <w:kern w:val="0"/>
          <w:szCs w:val="20"/>
          <w:lang w:bidi="ar-SA"/>
        </w:rPr>
        <w:t>.</w:t>
      </w:r>
      <w:r>
        <w:rPr>
          <w:rFonts w:cs="Times New Roman"/>
          <w:bCs/>
          <w:kern w:val="0"/>
          <w:szCs w:val="20"/>
          <w:lang w:bidi="ar-SA"/>
        </w:rPr>
        <w:t xml:space="preserve"> </w:t>
      </w:r>
      <w:r w:rsidRPr="00E3360E">
        <w:rPr>
          <w:rFonts w:cs="Times New Roman"/>
          <w:bCs/>
          <w:kern w:val="0"/>
          <w:szCs w:val="20"/>
          <w:lang w:bidi="ar-SA"/>
        </w:rPr>
        <w:t xml:space="preserve"> </w:t>
      </w:r>
    </w:p>
    <w:p w:rsidR="00C6177D" w:rsidRDefault="00C6177D" w:rsidP="001965EF">
      <w:pPr>
        <w:jc w:val="both"/>
        <w:rPr>
          <w:rFonts w:cs="Times New Roman"/>
        </w:rPr>
      </w:pPr>
    </w:p>
    <w:p w:rsidR="00C6177D" w:rsidRDefault="00C6177D" w:rsidP="001965EF">
      <w:pPr>
        <w:jc w:val="both"/>
        <w:rPr>
          <w:rFonts w:cs="Times New Roman"/>
        </w:rPr>
      </w:pPr>
      <w:r w:rsidRPr="00604CB2">
        <w:rPr>
          <w:rFonts w:cs="Times New Roman"/>
        </w:rPr>
        <w:t xml:space="preserve">ALEXY, Robert. </w:t>
      </w:r>
      <w:r w:rsidRPr="00B41434">
        <w:rPr>
          <w:rFonts w:cs="Times New Roman"/>
          <w:b/>
        </w:rPr>
        <w:t>Teoria dos direitos fundamentais</w:t>
      </w:r>
      <w:r w:rsidRPr="00604CB2">
        <w:rPr>
          <w:rFonts w:cs="Times New Roman"/>
        </w:rPr>
        <w:t>. 2 e</w:t>
      </w:r>
      <w:r>
        <w:rPr>
          <w:rFonts w:cs="Times New Roman"/>
        </w:rPr>
        <w:t>d. São Paulo: Malheiros, 2011</w:t>
      </w:r>
      <w:r w:rsidR="00A300D6">
        <w:rPr>
          <w:rFonts w:cs="Times New Roman"/>
        </w:rPr>
        <w:t>.</w:t>
      </w:r>
    </w:p>
    <w:p w:rsidR="00C6177D" w:rsidRDefault="00C6177D" w:rsidP="001965EF">
      <w:pPr>
        <w:jc w:val="both"/>
        <w:rPr>
          <w:rFonts w:cs="Times New Roman"/>
        </w:rPr>
      </w:pPr>
    </w:p>
    <w:p w:rsidR="001965EF" w:rsidRDefault="001965EF" w:rsidP="001965EF">
      <w:pPr>
        <w:jc w:val="both"/>
        <w:rPr>
          <w:rFonts w:cs="Times New Roman"/>
        </w:rPr>
      </w:pPr>
      <w:r>
        <w:rPr>
          <w:rFonts w:cs="Times New Roman"/>
        </w:rPr>
        <w:t xml:space="preserve">ASSIS, Araken de. </w:t>
      </w:r>
      <w:r w:rsidRPr="00CA2FCB">
        <w:rPr>
          <w:rFonts w:cs="Times New Roman"/>
          <w:b/>
        </w:rPr>
        <w:t>Manual da execução</w:t>
      </w:r>
      <w:r>
        <w:rPr>
          <w:rFonts w:cs="Times New Roman"/>
        </w:rPr>
        <w:t xml:space="preserve">. 14ª ed. São Paulo. RT, </w:t>
      </w:r>
      <w:r w:rsidR="00A300D6">
        <w:rPr>
          <w:rFonts w:cs="Times New Roman"/>
        </w:rPr>
        <w:t>2012.</w:t>
      </w:r>
    </w:p>
    <w:p w:rsidR="001965EF" w:rsidRDefault="001965EF" w:rsidP="001965EF">
      <w:pPr>
        <w:jc w:val="both"/>
        <w:rPr>
          <w:rFonts w:cs="Times New Roman"/>
        </w:rPr>
      </w:pPr>
    </w:p>
    <w:p w:rsidR="001965EF" w:rsidRDefault="001965EF" w:rsidP="001965EF">
      <w:pPr>
        <w:jc w:val="both"/>
        <w:rPr>
          <w:rFonts w:cs="Times New Roman"/>
        </w:rPr>
      </w:pPr>
      <w:r>
        <w:rPr>
          <w:rFonts w:cs="Times New Roman"/>
        </w:rPr>
        <w:t xml:space="preserve">CUNHA, Leonardo Carneiro da. </w:t>
      </w:r>
      <w:r w:rsidRPr="001965EF">
        <w:rPr>
          <w:rFonts w:cs="Times New Roman"/>
          <w:b/>
        </w:rPr>
        <w:t>A Fazenda Pública em Juízo</w:t>
      </w:r>
      <w:r>
        <w:rPr>
          <w:rFonts w:cs="Times New Roman"/>
        </w:rPr>
        <w:t>.  – 11. e</w:t>
      </w:r>
      <w:r w:rsidR="00A300D6">
        <w:rPr>
          <w:rFonts w:cs="Times New Roman"/>
        </w:rPr>
        <w:t>d. – São Paulo: Dialética, 2013.</w:t>
      </w:r>
    </w:p>
    <w:p w:rsidR="001965EF" w:rsidRDefault="001965EF" w:rsidP="001965EF">
      <w:pPr>
        <w:jc w:val="both"/>
        <w:rPr>
          <w:rFonts w:cs="Times New Roman"/>
        </w:rPr>
      </w:pPr>
    </w:p>
    <w:p w:rsidR="001965EF" w:rsidRDefault="001965EF" w:rsidP="001965EF">
      <w:pPr>
        <w:jc w:val="both"/>
        <w:rPr>
          <w:rFonts w:cs="Times New Roman"/>
        </w:rPr>
      </w:pPr>
      <w:r>
        <w:rPr>
          <w:rFonts w:cs="Times New Roman"/>
        </w:rPr>
        <w:t xml:space="preserve">DIDIER JR, Fredie. </w:t>
      </w:r>
      <w:r>
        <w:rPr>
          <w:rFonts w:cs="Times New Roman"/>
          <w:b/>
        </w:rPr>
        <w:t>Curso de Direito Processual Civil: execução</w:t>
      </w:r>
      <w:r>
        <w:rPr>
          <w:rFonts w:cs="Times New Roman"/>
        </w:rPr>
        <w:t>. Vol. 5, 4.</w:t>
      </w:r>
      <w:r w:rsidR="00A300D6">
        <w:rPr>
          <w:rFonts w:cs="Times New Roman"/>
        </w:rPr>
        <w:t xml:space="preserve"> ed. – Salvador: JusPodvm, 2012.</w:t>
      </w:r>
    </w:p>
    <w:p w:rsidR="001965EF" w:rsidRPr="001965EF" w:rsidRDefault="001965EF" w:rsidP="001965EF">
      <w:pPr>
        <w:jc w:val="both"/>
        <w:rPr>
          <w:rFonts w:cs="Times New Roman"/>
        </w:rPr>
      </w:pPr>
    </w:p>
    <w:p w:rsidR="001965EF" w:rsidRDefault="001965EF" w:rsidP="001965EF">
      <w:pPr>
        <w:jc w:val="both"/>
        <w:rPr>
          <w:rFonts w:cs="Times New Roman"/>
        </w:rPr>
      </w:pPr>
      <w:r>
        <w:rPr>
          <w:rFonts w:cs="Times New Roman"/>
        </w:rPr>
        <w:t xml:space="preserve">FRANCIULLI, Domingos. </w:t>
      </w:r>
      <w:r w:rsidRPr="00CA2FCB">
        <w:rPr>
          <w:rFonts w:cs="Times New Roman"/>
          <w:b/>
        </w:rPr>
        <w:t>Notas sobre o precatório na execução contra a fazenda pública</w:t>
      </w:r>
      <w:r>
        <w:rPr>
          <w:rFonts w:cs="Times New Roman"/>
        </w:rPr>
        <w:t>. Vol. 768. Revistas dos</w:t>
      </w:r>
      <w:r w:rsidR="00A300D6">
        <w:rPr>
          <w:rFonts w:cs="Times New Roman"/>
        </w:rPr>
        <w:t xml:space="preserve"> tribunais online.</w:t>
      </w:r>
    </w:p>
    <w:p w:rsidR="00BD3620" w:rsidRDefault="001C0EE9" w:rsidP="00BD3620">
      <w:pPr>
        <w:rPr>
          <w:rFonts w:cs="Times New Roman"/>
          <w:bCs/>
          <w:kern w:val="0"/>
          <w:szCs w:val="20"/>
          <w:lang w:bidi="ar-SA"/>
        </w:rPr>
      </w:pPr>
      <w:r>
        <w:rPr>
          <w:rFonts w:cs="Times New Roman"/>
          <w:bCs/>
          <w:kern w:val="0"/>
          <w:szCs w:val="20"/>
          <w:lang w:bidi="ar-SA"/>
        </w:rPr>
        <w:t xml:space="preserve"> </w:t>
      </w:r>
    </w:p>
    <w:p w:rsidR="00CD2C14" w:rsidRDefault="001C0EE9" w:rsidP="001965EF">
      <w:pPr>
        <w:jc w:val="both"/>
        <w:rPr>
          <w:rFonts w:cs="Times New Roman"/>
          <w:kern w:val="0"/>
          <w:szCs w:val="20"/>
          <w:lang w:bidi="ar-SA"/>
        </w:rPr>
      </w:pPr>
      <w:r w:rsidRPr="00E3360E">
        <w:rPr>
          <w:rFonts w:cs="Times New Roman"/>
          <w:bCs/>
          <w:kern w:val="0"/>
          <w:szCs w:val="20"/>
          <w:lang w:bidi="ar-SA"/>
        </w:rPr>
        <w:t>GIORA JUNIOR</w:t>
      </w:r>
      <w:r>
        <w:rPr>
          <w:rFonts w:cs="Times New Roman"/>
          <w:bCs/>
          <w:kern w:val="0"/>
          <w:szCs w:val="20"/>
          <w:lang w:bidi="ar-SA"/>
        </w:rPr>
        <w:t>,</w:t>
      </w:r>
      <w:r w:rsidRPr="00E3360E">
        <w:rPr>
          <w:rFonts w:cs="Times New Roman"/>
          <w:bCs/>
          <w:kern w:val="0"/>
          <w:szCs w:val="20"/>
          <w:lang w:bidi="ar-SA"/>
        </w:rPr>
        <w:t xml:space="preserve"> </w:t>
      </w:r>
      <w:r w:rsidR="00CD2C14" w:rsidRPr="00E3360E">
        <w:rPr>
          <w:rFonts w:cs="Times New Roman"/>
          <w:bCs/>
          <w:kern w:val="0"/>
          <w:szCs w:val="20"/>
          <w:lang w:bidi="ar-SA"/>
        </w:rPr>
        <w:t>Romeu</w:t>
      </w:r>
      <w:r>
        <w:rPr>
          <w:rFonts w:cs="Times New Roman"/>
          <w:bCs/>
          <w:kern w:val="0"/>
          <w:szCs w:val="20"/>
          <w:lang w:bidi="ar-SA"/>
        </w:rPr>
        <w:t xml:space="preserve">. </w:t>
      </w:r>
      <w:r w:rsidRPr="001C0EE9">
        <w:rPr>
          <w:rFonts w:cs="Times New Roman"/>
          <w:b/>
          <w:bCs/>
          <w:kern w:val="0"/>
          <w:szCs w:val="20"/>
          <w:lang w:bidi="ar-SA"/>
        </w:rPr>
        <w:t>Os precatórios</w:t>
      </w:r>
      <w:r>
        <w:rPr>
          <w:rFonts w:cs="Times New Roman"/>
          <w:bCs/>
          <w:kern w:val="0"/>
          <w:szCs w:val="20"/>
          <w:lang w:bidi="ar-SA"/>
        </w:rPr>
        <w:t xml:space="preserve">. </w:t>
      </w:r>
      <w:r w:rsidRPr="001C0EE9">
        <w:rPr>
          <w:rFonts w:cs="Times New Roman"/>
          <w:kern w:val="0"/>
          <w:szCs w:val="20"/>
          <w:lang w:bidi="ar-SA"/>
        </w:rPr>
        <w:t>Revista Tributária e de Finanças Públicas | vol. 76 | p. 226 | Set / 2007</w:t>
      </w:r>
      <w:r w:rsidR="00A300D6">
        <w:rPr>
          <w:rFonts w:cs="Times New Roman"/>
          <w:kern w:val="0"/>
          <w:szCs w:val="20"/>
          <w:lang w:bidi="ar-SA"/>
        </w:rPr>
        <w:t>.</w:t>
      </w:r>
    </w:p>
    <w:p w:rsidR="00BD3620" w:rsidRDefault="00BD3620" w:rsidP="001965EF">
      <w:pPr>
        <w:jc w:val="both"/>
        <w:rPr>
          <w:rFonts w:cs="Times New Roman"/>
          <w:kern w:val="0"/>
          <w:szCs w:val="20"/>
          <w:lang w:bidi="ar-SA"/>
        </w:rPr>
      </w:pPr>
    </w:p>
    <w:p w:rsidR="00BD3620" w:rsidRPr="001C0EE9" w:rsidRDefault="00BD3620" w:rsidP="001965EF">
      <w:pPr>
        <w:jc w:val="both"/>
        <w:rPr>
          <w:szCs w:val="23"/>
        </w:rPr>
      </w:pPr>
    </w:p>
    <w:p w:rsidR="00CD2C14" w:rsidRDefault="00CD2C14" w:rsidP="001965EF">
      <w:pPr>
        <w:jc w:val="both"/>
        <w:rPr>
          <w:szCs w:val="23"/>
        </w:rPr>
      </w:pPr>
    </w:p>
    <w:p w:rsidR="00CD2C14" w:rsidRDefault="00CD2C14" w:rsidP="001965EF">
      <w:pPr>
        <w:jc w:val="both"/>
      </w:pPr>
    </w:p>
    <w:sectPr w:rsidR="00CD2C14" w:rsidSect="00B33A6C">
      <w:headerReference w:type="default" r:id="rId8"/>
      <w:pgSz w:w="11906" w:h="16838"/>
      <w:pgMar w:top="1701" w:right="1134" w:bottom="1134" w:left="1701"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ED" w:rsidRDefault="003B19ED">
      <w:r>
        <w:separator/>
      </w:r>
    </w:p>
  </w:endnote>
  <w:endnote w:type="continuationSeparator" w:id="0">
    <w:p w:rsidR="003B19ED" w:rsidRDefault="003B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Arial Rounded MT 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ED" w:rsidRDefault="003B19ED">
      <w:r>
        <w:rPr>
          <w:color w:val="000000"/>
        </w:rPr>
        <w:separator/>
      </w:r>
    </w:p>
  </w:footnote>
  <w:footnote w:type="continuationSeparator" w:id="0">
    <w:p w:rsidR="003B19ED" w:rsidRDefault="003B19ED">
      <w:r>
        <w:continuationSeparator/>
      </w:r>
    </w:p>
  </w:footnote>
  <w:footnote w:id="1">
    <w:p w:rsidR="00E73FA4" w:rsidRDefault="0020558E" w:rsidP="00B33A6C">
      <w:pPr>
        <w:widowControl/>
        <w:suppressAutoHyphens w:val="0"/>
        <w:autoSpaceDE w:val="0"/>
        <w:adjustRightInd w:val="0"/>
        <w:textAlignment w:val="auto"/>
      </w:pPr>
      <w:r>
        <w:rPr>
          <w:rStyle w:val="Refdenotaderodap"/>
        </w:rPr>
        <w:footnoteRef/>
      </w:r>
      <w:r>
        <w:rPr>
          <w:rFonts w:eastAsia="Times New Roman"/>
          <w:sz w:val="20"/>
          <w:szCs w:val="20"/>
        </w:rPr>
        <w:t xml:space="preserve"> </w:t>
      </w:r>
      <w:r>
        <w:rPr>
          <w:sz w:val="20"/>
          <w:szCs w:val="20"/>
        </w:rPr>
        <w:t xml:space="preserve">Trabalho apresentado à disciplina de </w:t>
      </w:r>
      <w:r w:rsidR="001475F2">
        <w:rPr>
          <w:rFonts w:cs="Times New Roman"/>
          <w:sz w:val="20"/>
          <w:szCs w:val="20"/>
        </w:rPr>
        <w:t xml:space="preserve">Execução no Processo Civil </w:t>
      </w:r>
      <w:r>
        <w:rPr>
          <w:sz w:val="20"/>
          <w:szCs w:val="20"/>
        </w:rPr>
        <w:t>para obtenção parcial de nota.</w:t>
      </w:r>
    </w:p>
  </w:footnote>
  <w:footnote w:id="2">
    <w:p w:rsidR="00E73FA4" w:rsidRDefault="0020558E">
      <w:pPr>
        <w:pStyle w:val="Footnote"/>
        <w:spacing w:after="0" w:line="240" w:lineRule="auto"/>
        <w:jc w:val="both"/>
      </w:pPr>
      <w:r>
        <w:rPr>
          <w:rStyle w:val="Refdenotaderodap"/>
        </w:rPr>
        <w:footnoteRef/>
      </w:r>
      <w:r>
        <w:rPr>
          <w:rFonts w:ascii="Times New Roman" w:eastAsia="Times New Roman" w:hAnsi="Times New Roman"/>
          <w:sz w:val="20"/>
          <w:szCs w:val="20"/>
        </w:rPr>
        <w:t xml:space="preserve"> </w:t>
      </w:r>
      <w:r w:rsidR="00962A1B">
        <w:rPr>
          <w:rFonts w:ascii="Times New Roman" w:hAnsi="Times New Roman"/>
          <w:sz w:val="20"/>
          <w:szCs w:val="20"/>
        </w:rPr>
        <w:t>Estudante do 7</w:t>
      </w:r>
      <w:r>
        <w:rPr>
          <w:rFonts w:ascii="Times New Roman" w:hAnsi="Times New Roman"/>
          <w:sz w:val="20"/>
          <w:szCs w:val="20"/>
        </w:rPr>
        <w:t>º período do curso de Direito da Unidade de Ensino Superior Dom Bosco –UNDB, e-mail: noronha.felipe1@gmail.com</w:t>
      </w:r>
    </w:p>
  </w:footnote>
  <w:footnote w:id="3">
    <w:p w:rsidR="00E73FA4" w:rsidRDefault="0020558E">
      <w:pPr>
        <w:pStyle w:val="Footnote"/>
        <w:spacing w:after="0" w:line="240" w:lineRule="auto"/>
        <w:jc w:val="both"/>
      </w:pPr>
      <w:r>
        <w:rPr>
          <w:rStyle w:val="Refdenotaderodap"/>
        </w:rPr>
        <w:footnoteRef/>
      </w:r>
      <w:r>
        <w:rPr>
          <w:rFonts w:ascii="Times New Roman" w:eastAsia="Times New Roman" w:hAnsi="Times New Roman"/>
          <w:sz w:val="20"/>
          <w:szCs w:val="20"/>
        </w:rPr>
        <w:t xml:space="preserve"> </w:t>
      </w:r>
      <w:r w:rsidR="00962A1B">
        <w:rPr>
          <w:rFonts w:ascii="Times New Roman" w:hAnsi="Times New Roman"/>
          <w:sz w:val="20"/>
          <w:szCs w:val="20"/>
        </w:rPr>
        <w:t>Estudante do 7</w:t>
      </w:r>
      <w:r>
        <w:rPr>
          <w:rFonts w:ascii="Times New Roman" w:hAnsi="Times New Roman"/>
          <w:sz w:val="20"/>
          <w:szCs w:val="20"/>
        </w:rPr>
        <w:t xml:space="preserve">º período do curso de Direito da Unidade de Ensino Superior Dom Bosco –UNDB, e-mail: </w:t>
      </w:r>
      <w:r w:rsidR="00962A1B" w:rsidRPr="00962A1B">
        <w:rPr>
          <w:rFonts w:ascii="Times New Roman" w:hAnsi="Times New Roman"/>
          <w:sz w:val="20"/>
          <w:szCs w:val="20"/>
          <w:shd w:val="clear" w:color="auto" w:fill="FFFFFF"/>
        </w:rPr>
        <w:t>thiele_araujo0@hotmail.com</w:t>
      </w:r>
    </w:p>
  </w:footnote>
  <w:footnote w:id="4">
    <w:p w:rsidR="001475F2" w:rsidRDefault="001475F2">
      <w:pPr>
        <w:pStyle w:val="Textodenotaderodap"/>
      </w:pPr>
      <w:r>
        <w:rPr>
          <w:rStyle w:val="Refdenotaderodap"/>
        </w:rPr>
        <w:footnoteRef/>
      </w:r>
      <w:r>
        <w:t xml:space="preserve"> Professor especialista, orientador</w:t>
      </w:r>
    </w:p>
  </w:footnote>
  <w:footnote w:id="5">
    <w:p w:rsidR="00AB451A" w:rsidRDefault="00AB451A">
      <w:pPr>
        <w:pStyle w:val="Textodenotaderodap"/>
      </w:pPr>
      <w:r>
        <w:rPr>
          <w:rStyle w:val="Refdenotaderodap"/>
        </w:rPr>
        <w:footnoteRef/>
      </w:r>
      <w:r>
        <w:t xml:space="preserve"> </w:t>
      </w:r>
      <w:r w:rsidRPr="00AB451A">
        <w:rPr>
          <w:b/>
          <w:bCs/>
          <w:color w:val="000000"/>
          <w:szCs w:val="27"/>
        </w:rPr>
        <w:t>Art.</w:t>
      </w:r>
      <w:bookmarkStart w:id="0" w:name="Art._646"/>
      <w:r w:rsidRPr="00AB451A">
        <w:rPr>
          <w:rStyle w:val="apple-converted-space"/>
          <w:color w:val="000000"/>
          <w:szCs w:val="27"/>
        </w:rPr>
        <w:t> </w:t>
      </w:r>
      <w:r w:rsidRPr="00AB451A">
        <w:rPr>
          <w:b/>
          <w:bCs/>
          <w:color w:val="000000"/>
          <w:szCs w:val="27"/>
        </w:rPr>
        <w:t>646</w:t>
      </w:r>
      <w:bookmarkEnd w:id="0"/>
      <w:r w:rsidRPr="00AB451A">
        <w:rPr>
          <w:rStyle w:val="apple-converted-space"/>
          <w:color w:val="000000"/>
          <w:szCs w:val="27"/>
        </w:rPr>
        <w:t> </w:t>
      </w:r>
      <w:r w:rsidRPr="00AB451A">
        <w:rPr>
          <w:color w:val="000000"/>
          <w:szCs w:val="27"/>
        </w:rPr>
        <w:t>- A execução por quantia certa tem por objeto expropriar bens do devedor, a fim de satisfazer o direito do credor (Art. 591)</w:t>
      </w:r>
    </w:p>
  </w:footnote>
  <w:footnote w:id="6">
    <w:p w:rsidR="00AB451A" w:rsidRPr="00AB451A" w:rsidRDefault="00AB451A" w:rsidP="00AB451A">
      <w:pPr>
        <w:pStyle w:val="NormalWeb"/>
        <w:spacing w:before="0" w:after="0"/>
        <w:jc w:val="both"/>
        <w:rPr>
          <w:color w:val="000000"/>
          <w:kern w:val="0"/>
          <w:sz w:val="20"/>
          <w:szCs w:val="27"/>
        </w:rPr>
      </w:pPr>
      <w:r>
        <w:rPr>
          <w:rStyle w:val="Refdenotaderodap"/>
        </w:rPr>
        <w:footnoteRef/>
      </w:r>
      <w:r>
        <w:t xml:space="preserve"> </w:t>
      </w:r>
      <w:bookmarkStart w:id="1" w:name="Art._647"/>
      <w:r w:rsidRPr="00AB451A">
        <w:rPr>
          <w:b/>
          <w:bCs/>
          <w:color w:val="000000"/>
          <w:kern w:val="0"/>
          <w:sz w:val="20"/>
          <w:szCs w:val="27"/>
        </w:rPr>
        <w:t>Art.</w:t>
      </w:r>
      <w:r w:rsidRPr="00AB451A">
        <w:rPr>
          <w:b/>
          <w:color w:val="000000"/>
          <w:kern w:val="0"/>
          <w:sz w:val="20"/>
          <w:szCs w:val="27"/>
        </w:rPr>
        <w:t> </w:t>
      </w:r>
      <w:r w:rsidRPr="00AB451A">
        <w:rPr>
          <w:b/>
          <w:bCs/>
          <w:color w:val="000000"/>
          <w:kern w:val="0"/>
          <w:sz w:val="20"/>
          <w:szCs w:val="27"/>
        </w:rPr>
        <w:t>647</w:t>
      </w:r>
      <w:bookmarkEnd w:id="1"/>
      <w:r>
        <w:rPr>
          <w:color w:val="000000"/>
          <w:kern w:val="0"/>
          <w:sz w:val="20"/>
          <w:szCs w:val="27"/>
        </w:rPr>
        <w:t xml:space="preserve"> </w:t>
      </w:r>
      <w:r w:rsidRPr="00AB451A">
        <w:rPr>
          <w:color w:val="000000"/>
          <w:kern w:val="0"/>
          <w:sz w:val="20"/>
          <w:szCs w:val="27"/>
        </w:rPr>
        <w:t>- A expropriação consiste:</w:t>
      </w:r>
    </w:p>
    <w:p w:rsidR="00AB451A" w:rsidRPr="00AB451A" w:rsidRDefault="00AB451A" w:rsidP="00AB451A">
      <w:pPr>
        <w:widowControl/>
        <w:suppressAutoHyphens w:val="0"/>
        <w:autoSpaceDN/>
        <w:jc w:val="both"/>
        <w:textAlignment w:val="auto"/>
        <w:rPr>
          <w:rFonts w:eastAsia="Times New Roman" w:cs="Times New Roman"/>
          <w:color w:val="000000"/>
          <w:kern w:val="0"/>
          <w:sz w:val="20"/>
          <w:szCs w:val="27"/>
          <w:lang w:eastAsia="pt-BR" w:bidi="ar-SA"/>
        </w:rPr>
      </w:pPr>
      <w:r w:rsidRPr="00AB451A">
        <w:rPr>
          <w:rFonts w:eastAsia="Times New Roman" w:cs="Times New Roman"/>
          <w:b/>
          <w:bCs/>
          <w:color w:val="000000"/>
          <w:kern w:val="0"/>
          <w:sz w:val="20"/>
          <w:szCs w:val="27"/>
          <w:lang w:eastAsia="pt-BR" w:bidi="ar-SA"/>
        </w:rPr>
        <w:t>I</w:t>
      </w:r>
      <w:r w:rsidRPr="00AB451A">
        <w:rPr>
          <w:rFonts w:eastAsia="Times New Roman" w:cs="Times New Roman"/>
          <w:color w:val="000000"/>
          <w:kern w:val="0"/>
          <w:sz w:val="20"/>
          <w:szCs w:val="27"/>
          <w:lang w:eastAsia="pt-BR" w:bidi="ar-SA"/>
        </w:rPr>
        <w:t> - na adjudicação em favor do exeqüente ou das pessoas indicadas no § 2º do art. 685-A desta Lei</w:t>
      </w:r>
      <w:r>
        <w:rPr>
          <w:rFonts w:eastAsia="Times New Roman" w:cs="Times New Roman"/>
          <w:color w:val="000000"/>
          <w:kern w:val="0"/>
          <w:sz w:val="20"/>
          <w:szCs w:val="27"/>
          <w:lang w:eastAsia="pt-BR" w:bidi="ar-SA"/>
        </w:rPr>
        <w:t>;</w:t>
      </w:r>
    </w:p>
    <w:p w:rsidR="00AB451A" w:rsidRPr="00AB451A" w:rsidRDefault="00AB451A" w:rsidP="00AB451A">
      <w:pPr>
        <w:widowControl/>
        <w:suppressAutoHyphens w:val="0"/>
        <w:autoSpaceDN/>
        <w:jc w:val="both"/>
        <w:textAlignment w:val="auto"/>
        <w:rPr>
          <w:color w:val="000000"/>
          <w:sz w:val="20"/>
          <w:szCs w:val="27"/>
        </w:rPr>
      </w:pPr>
      <w:r w:rsidRPr="00AB451A">
        <w:rPr>
          <w:b/>
          <w:bCs/>
          <w:color w:val="000000"/>
          <w:sz w:val="20"/>
          <w:szCs w:val="27"/>
        </w:rPr>
        <w:t>II</w:t>
      </w:r>
      <w:bookmarkStart w:id="2" w:name="II_-_na_adju"/>
      <w:r w:rsidRPr="00AB451A">
        <w:rPr>
          <w:rStyle w:val="apple-converted-space"/>
          <w:color w:val="000000"/>
          <w:sz w:val="20"/>
          <w:szCs w:val="27"/>
        </w:rPr>
        <w:t> </w:t>
      </w:r>
      <w:r w:rsidRPr="00AB451A">
        <w:rPr>
          <w:color w:val="000000"/>
          <w:sz w:val="20"/>
          <w:szCs w:val="27"/>
        </w:rPr>
        <w:t>-</w:t>
      </w:r>
      <w:bookmarkEnd w:id="2"/>
      <w:r w:rsidRPr="00AB451A">
        <w:rPr>
          <w:rStyle w:val="apple-converted-space"/>
          <w:color w:val="000000"/>
          <w:sz w:val="20"/>
          <w:szCs w:val="27"/>
        </w:rPr>
        <w:t> </w:t>
      </w:r>
      <w:r w:rsidRPr="00AB451A">
        <w:rPr>
          <w:color w:val="000000"/>
          <w:sz w:val="20"/>
          <w:szCs w:val="27"/>
        </w:rPr>
        <w:t>na alienação por iniciativa particular;</w:t>
      </w:r>
    </w:p>
    <w:p w:rsidR="00AB451A" w:rsidRPr="00AB451A" w:rsidRDefault="00AB451A" w:rsidP="00AB451A">
      <w:pPr>
        <w:widowControl/>
        <w:suppressAutoHyphens w:val="0"/>
        <w:autoSpaceDN/>
        <w:jc w:val="both"/>
        <w:textAlignment w:val="auto"/>
        <w:rPr>
          <w:color w:val="000000"/>
          <w:sz w:val="20"/>
          <w:szCs w:val="27"/>
        </w:rPr>
      </w:pPr>
      <w:bookmarkStart w:id="3" w:name="III_-_no_usufruto_de_imó"/>
      <w:r w:rsidRPr="00AB451A">
        <w:rPr>
          <w:b/>
          <w:bCs/>
          <w:color w:val="000000"/>
          <w:sz w:val="20"/>
          <w:szCs w:val="27"/>
        </w:rPr>
        <w:t>III</w:t>
      </w:r>
      <w:bookmarkEnd w:id="3"/>
      <w:r w:rsidRPr="00AB451A">
        <w:rPr>
          <w:rStyle w:val="apple-converted-space"/>
          <w:color w:val="000000"/>
          <w:sz w:val="20"/>
          <w:szCs w:val="27"/>
        </w:rPr>
        <w:t> </w:t>
      </w:r>
      <w:r w:rsidRPr="00AB451A">
        <w:rPr>
          <w:color w:val="000000"/>
          <w:sz w:val="20"/>
          <w:szCs w:val="27"/>
        </w:rPr>
        <w:t>- na alienação em hasta pública;</w:t>
      </w:r>
    </w:p>
    <w:p w:rsidR="00AB451A" w:rsidRPr="00AB451A" w:rsidRDefault="00AB451A" w:rsidP="00AB451A">
      <w:pPr>
        <w:widowControl/>
        <w:suppressAutoHyphens w:val="0"/>
        <w:autoSpaceDN/>
        <w:jc w:val="both"/>
        <w:textAlignment w:val="auto"/>
        <w:rPr>
          <w:rFonts w:eastAsia="Times New Roman" w:cs="Times New Roman"/>
          <w:color w:val="000000"/>
          <w:kern w:val="0"/>
          <w:sz w:val="20"/>
          <w:szCs w:val="27"/>
          <w:lang w:eastAsia="pt-BR" w:bidi="ar-SA"/>
        </w:rPr>
      </w:pPr>
      <w:r w:rsidRPr="00AB451A">
        <w:rPr>
          <w:rStyle w:val="Forte"/>
          <w:color w:val="000000"/>
          <w:sz w:val="20"/>
          <w:szCs w:val="27"/>
        </w:rPr>
        <w:t>IV</w:t>
      </w:r>
      <w:r w:rsidRPr="00AB451A">
        <w:rPr>
          <w:rStyle w:val="apple-converted-space"/>
          <w:color w:val="000000"/>
          <w:sz w:val="20"/>
          <w:szCs w:val="27"/>
        </w:rPr>
        <w:t> </w:t>
      </w:r>
      <w:r w:rsidRPr="00AB451A">
        <w:rPr>
          <w:color w:val="000000"/>
          <w:sz w:val="20"/>
          <w:szCs w:val="27"/>
        </w:rPr>
        <w:t>- no usufruto de bem móvel ou imóvel.</w:t>
      </w:r>
    </w:p>
    <w:p w:rsidR="00AB451A" w:rsidRDefault="00AB451A">
      <w:pPr>
        <w:pStyle w:val="Textodenotaderodap"/>
      </w:pPr>
    </w:p>
  </w:footnote>
  <w:footnote w:id="7">
    <w:p w:rsidR="00AB451A" w:rsidRDefault="00AB451A" w:rsidP="00AB451A">
      <w:pPr>
        <w:pStyle w:val="Textodenotaderodap"/>
      </w:pPr>
      <w:r>
        <w:rPr>
          <w:rStyle w:val="Refdenotaderodap"/>
        </w:rPr>
        <w:footnoteRef/>
      </w:r>
      <w:r>
        <w:t xml:space="preserve"> </w:t>
      </w:r>
      <w:r>
        <w:rPr>
          <w:b/>
        </w:rPr>
        <w:t>Art 591</w:t>
      </w:r>
      <w:r w:rsidR="001475F2">
        <w:rPr>
          <w:b/>
        </w:rPr>
        <w:t xml:space="preserve"> - </w:t>
      </w:r>
      <w:r>
        <w:t xml:space="preserve">O devedor responde, para o cumprimento de suas obrigações, com todos os seus bens presentes e futuros, salvo as restrições estabelecidas em lei. </w:t>
      </w:r>
    </w:p>
  </w:footnote>
  <w:footnote w:id="8">
    <w:p w:rsidR="00AB451A" w:rsidRPr="00AB451A" w:rsidRDefault="00AB451A" w:rsidP="00AB451A">
      <w:pPr>
        <w:pStyle w:val="NormalWeb"/>
        <w:spacing w:before="0" w:after="0"/>
        <w:jc w:val="both"/>
        <w:rPr>
          <w:color w:val="000000"/>
          <w:sz w:val="20"/>
          <w:szCs w:val="27"/>
        </w:rPr>
      </w:pPr>
      <w:r>
        <w:rPr>
          <w:rStyle w:val="Refdenotaderodap"/>
        </w:rPr>
        <w:footnoteRef/>
      </w:r>
      <w:r>
        <w:t xml:space="preserve"> </w:t>
      </w:r>
      <w:bookmarkStart w:id="4" w:name="Art._99"/>
      <w:r w:rsidRPr="00AB451A">
        <w:rPr>
          <w:rStyle w:val="Forte"/>
          <w:color w:val="000000"/>
          <w:sz w:val="20"/>
          <w:szCs w:val="27"/>
        </w:rPr>
        <w:t>Art. 99</w:t>
      </w:r>
      <w:bookmarkEnd w:id="4"/>
      <w:r w:rsidR="001475F2">
        <w:rPr>
          <w:color w:val="000000"/>
          <w:sz w:val="20"/>
          <w:szCs w:val="27"/>
        </w:rPr>
        <w:t xml:space="preserve"> - </w:t>
      </w:r>
      <w:r w:rsidRPr="00AB451A">
        <w:rPr>
          <w:color w:val="000000"/>
          <w:sz w:val="20"/>
          <w:szCs w:val="27"/>
        </w:rPr>
        <w:t>São bens públicos:</w:t>
      </w:r>
    </w:p>
    <w:p w:rsidR="00AB451A" w:rsidRPr="00AB451A" w:rsidRDefault="00AB451A" w:rsidP="00AB451A">
      <w:pPr>
        <w:pStyle w:val="NormalWeb"/>
        <w:spacing w:before="0" w:after="0"/>
        <w:jc w:val="both"/>
        <w:rPr>
          <w:color w:val="000000"/>
          <w:sz w:val="20"/>
          <w:szCs w:val="27"/>
        </w:rPr>
      </w:pPr>
      <w:r w:rsidRPr="00AB451A">
        <w:rPr>
          <w:rStyle w:val="Forte"/>
          <w:color w:val="000000"/>
          <w:sz w:val="20"/>
          <w:szCs w:val="27"/>
        </w:rPr>
        <w:t>I</w:t>
      </w:r>
      <w:r w:rsidRPr="00AB451A">
        <w:rPr>
          <w:rStyle w:val="apple-converted-space"/>
          <w:color w:val="000000"/>
          <w:sz w:val="20"/>
          <w:szCs w:val="27"/>
        </w:rPr>
        <w:t> </w:t>
      </w:r>
      <w:r w:rsidRPr="00AB451A">
        <w:rPr>
          <w:color w:val="000000"/>
          <w:sz w:val="20"/>
          <w:szCs w:val="27"/>
        </w:rPr>
        <w:t>- os de uso comum do povo, tais como rios, mares, estradas, ruas e praças;</w:t>
      </w:r>
    </w:p>
    <w:p w:rsidR="00AB451A" w:rsidRPr="00AB451A" w:rsidRDefault="00AB451A" w:rsidP="00AB451A">
      <w:pPr>
        <w:pStyle w:val="NormalWeb"/>
        <w:spacing w:before="0" w:after="0"/>
        <w:jc w:val="both"/>
        <w:rPr>
          <w:color w:val="000000"/>
          <w:sz w:val="20"/>
          <w:szCs w:val="27"/>
        </w:rPr>
      </w:pPr>
      <w:r w:rsidRPr="00AB451A">
        <w:rPr>
          <w:rStyle w:val="Forte"/>
          <w:color w:val="000000"/>
          <w:sz w:val="20"/>
          <w:szCs w:val="27"/>
        </w:rPr>
        <w:t>II</w:t>
      </w:r>
      <w:r w:rsidRPr="00AB451A">
        <w:rPr>
          <w:rStyle w:val="apple-converted-space"/>
          <w:color w:val="000000"/>
          <w:sz w:val="20"/>
          <w:szCs w:val="27"/>
        </w:rPr>
        <w:t> </w:t>
      </w:r>
      <w:r w:rsidRPr="00AB451A">
        <w:rPr>
          <w:color w:val="000000"/>
          <w:sz w:val="20"/>
          <w:szCs w:val="27"/>
        </w:rPr>
        <w:t>- os de uso especial, tais como edifícios ou terrenos destinados a serviço ou estabelecimento da administração federal, estadual, territorial ou municipal, inclusive os de suas autarquias;</w:t>
      </w:r>
    </w:p>
    <w:p w:rsidR="00AB451A" w:rsidRDefault="00AB451A" w:rsidP="00AB451A">
      <w:pPr>
        <w:pStyle w:val="NormalWeb"/>
        <w:spacing w:before="0" w:after="0"/>
        <w:jc w:val="both"/>
        <w:rPr>
          <w:color w:val="000000"/>
          <w:sz w:val="20"/>
          <w:szCs w:val="27"/>
        </w:rPr>
      </w:pPr>
      <w:r w:rsidRPr="00AB451A">
        <w:rPr>
          <w:rStyle w:val="Forte"/>
          <w:color w:val="000000"/>
          <w:sz w:val="20"/>
          <w:szCs w:val="27"/>
        </w:rPr>
        <w:t>III</w:t>
      </w:r>
      <w:r w:rsidRPr="00AB451A">
        <w:rPr>
          <w:rStyle w:val="apple-converted-space"/>
          <w:color w:val="000000"/>
          <w:sz w:val="20"/>
          <w:szCs w:val="27"/>
        </w:rPr>
        <w:t> </w:t>
      </w:r>
      <w:r w:rsidRPr="00AB451A">
        <w:rPr>
          <w:color w:val="000000"/>
          <w:sz w:val="20"/>
          <w:szCs w:val="27"/>
        </w:rPr>
        <w:t>- os dominicais, que constituem o patrimônio das pessoas jurídicas de direito público, como objeto de direito pessoal, ou real, de cada uma dessas entidades.</w:t>
      </w:r>
    </w:p>
    <w:p w:rsidR="00AB451A" w:rsidRPr="00AB451A" w:rsidRDefault="00AB451A" w:rsidP="00AB451A">
      <w:pPr>
        <w:pStyle w:val="NormalWeb"/>
        <w:spacing w:before="0" w:after="0"/>
        <w:jc w:val="both"/>
        <w:rPr>
          <w:color w:val="000000"/>
          <w:sz w:val="14"/>
          <w:szCs w:val="27"/>
        </w:rPr>
      </w:pPr>
      <w:bookmarkStart w:id="5" w:name="Parágrafo_único._Não_disp"/>
      <w:r w:rsidRPr="00AB451A">
        <w:rPr>
          <w:rStyle w:val="Forte"/>
          <w:color w:val="000000"/>
          <w:sz w:val="20"/>
          <w:szCs w:val="27"/>
        </w:rPr>
        <w:t>Parágrafo único</w:t>
      </w:r>
      <w:r w:rsidRPr="00AB451A">
        <w:rPr>
          <w:color w:val="000000"/>
          <w:sz w:val="20"/>
          <w:szCs w:val="27"/>
        </w:rPr>
        <w:t>. Não disp</w:t>
      </w:r>
      <w:bookmarkEnd w:id="5"/>
      <w:r w:rsidRPr="00AB451A">
        <w:rPr>
          <w:color w:val="000000"/>
          <w:sz w:val="20"/>
          <w:szCs w:val="27"/>
        </w:rPr>
        <w:t>ondo a lei em contrário, consideram-se dominicais os bens pertencentes às pessoas jurídicas de direito público a que se tenha dado estrutura de direito privado.</w:t>
      </w:r>
    </w:p>
    <w:p w:rsidR="00AB451A" w:rsidRPr="00AB451A" w:rsidRDefault="00AB451A">
      <w:pPr>
        <w:pStyle w:val="Textodenotaderodap"/>
        <w:rPr>
          <w:sz w:val="14"/>
        </w:rPr>
      </w:pPr>
    </w:p>
  </w:footnote>
  <w:footnote w:id="9">
    <w:p w:rsidR="00AB451A" w:rsidRDefault="00AB451A">
      <w:pPr>
        <w:pStyle w:val="Textodenotaderodap"/>
      </w:pPr>
      <w:r>
        <w:rPr>
          <w:rStyle w:val="Refdenotaderodap"/>
        </w:rPr>
        <w:footnoteRef/>
      </w:r>
      <w:r>
        <w:t xml:space="preserve"> </w:t>
      </w:r>
      <w:bookmarkStart w:id="6" w:name="Art._100"/>
      <w:r w:rsidRPr="00AB451A">
        <w:rPr>
          <w:rStyle w:val="Forte"/>
          <w:color w:val="000000"/>
          <w:szCs w:val="27"/>
        </w:rPr>
        <w:t>Art. 100</w:t>
      </w:r>
      <w:bookmarkEnd w:id="6"/>
      <w:r w:rsidRPr="00AB451A">
        <w:rPr>
          <w:color w:val="000000"/>
          <w:szCs w:val="27"/>
        </w:rPr>
        <w:t>. Os bens públicos de uso comum do povo e os de uso especial são inalienáveis, enquanto conservarem a sua qualificação, na forma que a lei determinar.</w:t>
      </w:r>
    </w:p>
  </w:footnote>
  <w:footnote w:id="10">
    <w:p w:rsidR="001475F2" w:rsidRPr="00AC176A" w:rsidRDefault="001475F2" w:rsidP="001475F2">
      <w:pPr>
        <w:pStyle w:val="NormalWeb"/>
        <w:spacing w:before="0" w:after="0"/>
        <w:jc w:val="both"/>
        <w:rPr>
          <w:sz w:val="20"/>
          <w:szCs w:val="20"/>
        </w:rPr>
      </w:pPr>
      <w:r w:rsidRPr="001475F2">
        <w:rPr>
          <w:rStyle w:val="Refdenotaderodap"/>
          <w:sz w:val="20"/>
        </w:rPr>
        <w:footnoteRef/>
      </w:r>
      <w:r w:rsidRPr="001475F2">
        <w:rPr>
          <w:sz w:val="20"/>
        </w:rPr>
        <w:t xml:space="preserve"> </w:t>
      </w:r>
      <w:r w:rsidRPr="001475F2">
        <w:rPr>
          <w:b/>
          <w:bCs/>
          <w:color w:val="000000"/>
          <w:sz w:val="20"/>
          <w:szCs w:val="20"/>
        </w:rPr>
        <w:t>Art.</w:t>
      </w:r>
      <w:bookmarkStart w:id="7" w:name="Art._730"/>
      <w:r w:rsidRPr="001475F2">
        <w:rPr>
          <w:rStyle w:val="apple-converted-space"/>
          <w:color w:val="000000"/>
          <w:sz w:val="20"/>
          <w:szCs w:val="20"/>
        </w:rPr>
        <w:t> </w:t>
      </w:r>
      <w:r w:rsidRPr="001475F2">
        <w:rPr>
          <w:b/>
          <w:bCs/>
          <w:color w:val="000000"/>
          <w:sz w:val="20"/>
          <w:szCs w:val="20"/>
        </w:rPr>
        <w:t>730</w:t>
      </w:r>
      <w:bookmarkEnd w:id="7"/>
      <w:r w:rsidRPr="001475F2">
        <w:rPr>
          <w:rStyle w:val="apple-converted-space"/>
          <w:color w:val="000000"/>
          <w:sz w:val="20"/>
          <w:szCs w:val="20"/>
        </w:rPr>
        <w:t> </w:t>
      </w:r>
      <w:r w:rsidRPr="001475F2">
        <w:rPr>
          <w:color w:val="000000"/>
          <w:sz w:val="20"/>
          <w:szCs w:val="20"/>
        </w:rPr>
        <w:t>- Na execução por quantia certa contra a Fazenda Pública, citar-se-á a devedora para opor embargos em</w:t>
      </w:r>
      <w:r w:rsidRPr="001475F2">
        <w:rPr>
          <w:rStyle w:val="apple-converted-space"/>
          <w:color w:val="000000"/>
          <w:sz w:val="20"/>
          <w:szCs w:val="20"/>
        </w:rPr>
        <w:t> </w:t>
      </w:r>
      <w:r w:rsidRPr="001475F2">
        <w:rPr>
          <w:strike/>
          <w:color w:val="000000"/>
          <w:sz w:val="20"/>
          <w:szCs w:val="20"/>
        </w:rPr>
        <w:t>10 (dez)</w:t>
      </w:r>
      <w:r w:rsidRPr="001475F2">
        <w:rPr>
          <w:rStyle w:val="apple-converted-space"/>
          <w:color w:val="000000"/>
          <w:sz w:val="20"/>
          <w:szCs w:val="20"/>
        </w:rPr>
        <w:t> </w:t>
      </w:r>
      <w:r w:rsidRPr="001475F2">
        <w:rPr>
          <w:color w:val="000000"/>
          <w:sz w:val="20"/>
          <w:szCs w:val="20"/>
        </w:rPr>
        <w:t xml:space="preserve">dias; se esta não os opuser, no prazo legal, observar-se-ão as seguintes regras: </w:t>
      </w:r>
      <w:r w:rsidRPr="00AC176A">
        <w:rPr>
          <w:sz w:val="20"/>
          <w:szCs w:val="20"/>
        </w:rPr>
        <w:t>(</w:t>
      </w:r>
      <w:hyperlink r:id="rId1" w:anchor="Art. 4º" w:history="1">
        <w:r w:rsidRPr="00AC176A">
          <w:rPr>
            <w:rStyle w:val="Hyperlink"/>
            <w:color w:val="auto"/>
            <w:sz w:val="20"/>
            <w:szCs w:val="20"/>
          </w:rPr>
          <w:t>Prazo alterado para 30 dias pela MP-002.180-035-2001</w:t>
        </w:r>
      </w:hyperlink>
      <w:r w:rsidRPr="00AC176A">
        <w:rPr>
          <w:sz w:val="20"/>
          <w:szCs w:val="20"/>
        </w:rPr>
        <w:t>)</w:t>
      </w:r>
    </w:p>
    <w:p w:rsidR="001475F2" w:rsidRPr="001475F2" w:rsidRDefault="001475F2" w:rsidP="001475F2">
      <w:pPr>
        <w:pStyle w:val="NormalWeb"/>
        <w:spacing w:before="0" w:after="0"/>
        <w:jc w:val="both"/>
        <w:rPr>
          <w:color w:val="000000"/>
          <w:sz w:val="20"/>
          <w:szCs w:val="20"/>
        </w:rPr>
      </w:pPr>
      <w:r w:rsidRPr="001475F2">
        <w:rPr>
          <w:b/>
          <w:bCs/>
          <w:color w:val="000000"/>
          <w:sz w:val="20"/>
          <w:szCs w:val="20"/>
        </w:rPr>
        <w:t>I</w:t>
      </w:r>
      <w:bookmarkStart w:id="8" w:name="I_-_o_juiz_r"/>
      <w:r w:rsidRPr="001475F2">
        <w:rPr>
          <w:rStyle w:val="apple-converted-space"/>
          <w:color w:val="000000"/>
          <w:sz w:val="20"/>
          <w:szCs w:val="20"/>
        </w:rPr>
        <w:t> </w:t>
      </w:r>
      <w:r w:rsidRPr="001475F2">
        <w:rPr>
          <w:color w:val="000000"/>
          <w:sz w:val="20"/>
          <w:szCs w:val="20"/>
        </w:rPr>
        <w:t>- o juiz r</w:t>
      </w:r>
      <w:bookmarkEnd w:id="8"/>
      <w:r w:rsidRPr="001475F2">
        <w:rPr>
          <w:color w:val="000000"/>
          <w:sz w:val="20"/>
          <w:szCs w:val="20"/>
        </w:rPr>
        <w:t>equisitará o pagamento por intermédio do presidente do tribunal competente;</w:t>
      </w:r>
    </w:p>
    <w:p w:rsidR="001475F2" w:rsidRPr="001475F2" w:rsidRDefault="001475F2" w:rsidP="001475F2">
      <w:pPr>
        <w:pStyle w:val="NormalWeb"/>
        <w:spacing w:before="0" w:after="0"/>
        <w:jc w:val="both"/>
        <w:rPr>
          <w:color w:val="000000"/>
          <w:sz w:val="20"/>
          <w:szCs w:val="20"/>
        </w:rPr>
      </w:pPr>
      <w:r w:rsidRPr="001475F2">
        <w:rPr>
          <w:b/>
          <w:bCs/>
          <w:color w:val="000000"/>
          <w:sz w:val="20"/>
          <w:szCs w:val="20"/>
        </w:rPr>
        <w:t>II</w:t>
      </w:r>
      <w:bookmarkStart w:id="9" w:name="II_-_far-s"/>
      <w:r w:rsidRPr="001475F2">
        <w:rPr>
          <w:rStyle w:val="apple-converted-space"/>
          <w:color w:val="000000"/>
          <w:sz w:val="20"/>
          <w:szCs w:val="20"/>
        </w:rPr>
        <w:t> </w:t>
      </w:r>
      <w:r w:rsidRPr="001475F2">
        <w:rPr>
          <w:color w:val="000000"/>
          <w:sz w:val="20"/>
          <w:szCs w:val="20"/>
        </w:rPr>
        <w:t>- far-s</w:t>
      </w:r>
      <w:bookmarkEnd w:id="9"/>
      <w:r w:rsidRPr="001475F2">
        <w:rPr>
          <w:color w:val="000000"/>
          <w:sz w:val="20"/>
          <w:szCs w:val="20"/>
        </w:rPr>
        <w:t>e-á o pagamento na ordem de apresentação do precatório e à conta do respectivo crédito</w:t>
      </w:r>
    </w:p>
    <w:p w:rsidR="001475F2" w:rsidRDefault="001475F2">
      <w:pPr>
        <w:pStyle w:val="Textodenotaderodap"/>
      </w:pPr>
    </w:p>
  </w:footnote>
  <w:footnote w:id="11">
    <w:p w:rsidR="001475F2" w:rsidRDefault="001475F2">
      <w:pPr>
        <w:pStyle w:val="Textodenotaderodap"/>
      </w:pPr>
      <w:r>
        <w:rPr>
          <w:rStyle w:val="Refdenotaderodap"/>
        </w:rPr>
        <w:footnoteRef/>
      </w:r>
      <w:r>
        <w:t xml:space="preserve"> </w:t>
      </w:r>
      <w:r w:rsidRPr="001475F2">
        <w:rPr>
          <w:b/>
          <w:bCs/>
          <w:color w:val="000000"/>
          <w:szCs w:val="27"/>
        </w:rPr>
        <w:t>Art.</w:t>
      </w:r>
      <w:bookmarkStart w:id="10" w:name="Art._731"/>
      <w:r w:rsidRPr="001475F2">
        <w:rPr>
          <w:rStyle w:val="apple-converted-space"/>
          <w:color w:val="000000"/>
          <w:szCs w:val="27"/>
        </w:rPr>
        <w:t> </w:t>
      </w:r>
      <w:r w:rsidRPr="001475F2">
        <w:rPr>
          <w:b/>
          <w:bCs/>
          <w:color w:val="000000"/>
          <w:szCs w:val="27"/>
        </w:rPr>
        <w:t>731</w:t>
      </w:r>
      <w:bookmarkEnd w:id="10"/>
      <w:r w:rsidRPr="001475F2">
        <w:rPr>
          <w:rStyle w:val="apple-converted-space"/>
          <w:b/>
          <w:bCs/>
          <w:color w:val="000000"/>
          <w:szCs w:val="27"/>
        </w:rPr>
        <w:t> </w:t>
      </w:r>
      <w:r w:rsidRPr="001475F2">
        <w:rPr>
          <w:color w:val="000000"/>
          <w:szCs w:val="27"/>
        </w:rPr>
        <w:t>- Se o credor for preterido no seu direito de preferência, o presidente do tribunal, que expediu a ordem, poderá, depois de ouvido o chefe do Ministério Público, ordenar o seqüestro da quantia necessária para satisfazer o débito</w:t>
      </w:r>
    </w:p>
  </w:footnote>
  <w:footnote w:id="12">
    <w:p w:rsidR="00FC0E6E" w:rsidRDefault="00FC0E6E" w:rsidP="00FC0E6E">
      <w:pPr>
        <w:pStyle w:val="NormalWeb"/>
        <w:spacing w:before="0" w:after="0"/>
        <w:jc w:val="both"/>
        <w:rPr>
          <w:color w:val="000000"/>
          <w:sz w:val="20"/>
          <w:szCs w:val="27"/>
        </w:rPr>
      </w:pPr>
      <w:r w:rsidRPr="00FC0E6E">
        <w:rPr>
          <w:rStyle w:val="Refdenotaderodap"/>
          <w:sz w:val="20"/>
        </w:rPr>
        <w:footnoteRef/>
      </w:r>
      <w:r w:rsidRPr="00FC0E6E">
        <w:rPr>
          <w:sz w:val="20"/>
        </w:rPr>
        <w:t xml:space="preserve"> </w:t>
      </w:r>
      <w:bookmarkStart w:id="11" w:name="Art._741"/>
      <w:r w:rsidRPr="00FC0E6E">
        <w:rPr>
          <w:b/>
          <w:bCs/>
          <w:color w:val="000000"/>
          <w:sz w:val="20"/>
          <w:szCs w:val="27"/>
        </w:rPr>
        <w:t>Art. 741</w:t>
      </w:r>
      <w:bookmarkEnd w:id="11"/>
      <w:r w:rsidRPr="00FC0E6E">
        <w:rPr>
          <w:rStyle w:val="apple-converted-space"/>
          <w:b/>
          <w:bCs/>
          <w:color w:val="000000"/>
          <w:sz w:val="20"/>
          <w:szCs w:val="27"/>
        </w:rPr>
        <w:t> </w:t>
      </w:r>
      <w:r w:rsidRPr="00FC0E6E">
        <w:rPr>
          <w:b/>
          <w:bCs/>
          <w:color w:val="000000"/>
          <w:sz w:val="20"/>
          <w:szCs w:val="27"/>
        </w:rPr>
        <w:t>-</w:t>
      </w:r>
      <w:r w:rsidRPr="00FC0E6E">
        <w:rPr>
          <w:rStyle w:val="apple-converted-space"/>
          <w:b/>
          <w:bCs/>
          <w:color w:val="000000"/>
          <w:sz w:val="20"/>
          <w:szCs w:val="27"/>
        </w:rPr>
        <w:t> </w:t>
      </w:r>
      <w:r w:rsidRPr="00FC0E6E">
        <w:rPr>
          <w:color w:val="000000"/>
          <w:sz w:val="20"/>
          <w:szCs w:val="27"/>
        </w:rPr>
        <w:t xml:space="preserve">Na execução contra a Fazenda Pública, os embargos só poderão versar sobre: </w:t>
      </w:r>
      <w:bookmarkStart w:id="12" w:name="I_-_fal"/>
    </w:p>
    <w:p w:rsidR="00FC0E6E" w:rsidRPr="00FC0E6E" w:rsidRDefault="00FC0E6E" w:rsidP="00FC0E6E">
      <w:pPr>
        <w:pStyle w:val="NormalWeb"/>
        <w:spacing w:before="0" w:after="0"/>
        <w:jc w:val="both"/>
        <w:rPr>
          <w:color w:val="000000"/>
          <w:sz w:val="20"/>
          <w:szCs w:val="27"/>
        </w:rPr>
      </w:pPr>
      <w:r w:rsidRPr="00FC0E6E">
        <w:rPr>
          <w:b/>
          <w:bCs/>
          <w:color w:val="000000"/>
          <w:sz w:val="20"/>
          <w:szCs w:val="27"/>
        </w:rPr>
        <w:t>I</w:t>
      </w:r>
      <w:bookmarkEnd w:id="12"/>
      <w:r w:rsidRPr="00FC0E6E">
        <w:rPr>
          <w:rStyle w:val="apple-converted-space"/>
          <w:color w:val="000000"/>
          <w:sz w:val="20"/>
          <w:szCs w:val="27"/>
        </w:rPr>
        <w:t> </w:t>
      </w:r>
      <w:r w:rsidRPr="00FC0E6E">
        <w:rPr>
          <w:color w:val="000000"/>
          <w:sz w:val="20"/>
          <w:szCs w:val="27"/>
        </w:rPr>
        <w:t>- falta ou nulidade da citação, s</w:t>
      </w:r>
      <w:r>
        <w:rPr>
          <w:color w:val="000000"/>
          <w:sz w:val="20"/>
          <w:szCs w:val="27"/>
        </w:rPr>
        <w:t>e o processo correu à revelia;</w:t>
      </w:r>
    </w:p>
    <w:p w:rsidR="00FC0E6E" w:rsidRPr="00FC0E6E" w:rsidRDefault="00FC0E6E" w:rsidP="00FC0E6E">
      <w:pPr>
        <w:pStyle w:val="NormalWeb"/>
        <w:spacing w:before="0" w:after="0"/>
        <w:jc w:val="both"/>
        <w:rPr>
          <w:color w:val="000000"/>
          <w:sz w:val="20"/>
          <w:szCs w:val="27"/>
        </w:rPr>
      </w:pPr>
      <w:r w:rsidRPr="00FC0E6E">
        <w:rPr>
          <w:b/>
          <w:bCs/>
          <w:color w:val="000000"/>
          <w:sz w:val="20"/>
          <w:szCs w:val="27"/>
        </w:rPr>
        <w:t>II</w:t>
      </w:r>
      <w:bookmarkStart w:id="13" w:name="II_-_inexigibilida"/>
      <w:r w:rsidRPr="00FC0E6E">
        <w:rPr>
          <w:rStyle w:val="apple-converted-space"/>
          <w:color w:val="000000"/>
          <w:sz w:val="20"/>
          <w:szCs w:val="27"/>
        </w:rPr>
        <w:t> </w:t>
      </w:r>
      <w:r w:rsidRPr="00FC0E6E">
        <w:rPr>
          <w:color w:val="000000"/>
          <w:sz w:val="20"/>
          <w:szCs w:val="27"/>
        </w:rPr>
        <w:t>- inexigibilida</w:t>
      </w:r>
      <w:bookmarkEnd w:id="13"/>
      <w:r w:rsidRPr="00FC0E6E">
        <w:rPr>
          <w:color w:val="000000"/>
          <w:sz w:val="20"/>
          <w:szCs w:val="27"/>
        </w:rPr>
        <w:t>de do título;</w:t>
      </w:r>
    </w:p>
    <w:p w:rsidR="00FC0E6E" w:rsidRPr="00FC0E6E" w:rsidRDefault="00FC0E6E" w:rsidP="00FC0E6E">
      <w:pPr>
        <w:pStyle w:val="NormalWeb"/>
        <w:spacing w:before="0" w:after="0"/>
        <w:jc w:val="both"/>
        <w:rPr>
          <w:color w:val="000000"/>
          <w:sz w:val="20"/>
          <w:szCs w:val="27"/>
        </w:rPr>
      </w:pPr>
      <w:r w:rsidRPr="00FC0E6E">
        <w:rPr>
          <w:b/>
          <w:bCs/>
          <w:color w:val="000000"/>
          <w:sz w:val="20"/>
          <w:szCs w:val="27"/>
        </w:rPr>
        <w:t>III</w:t>
      </w:r>
      <w:bookmarkStart w:id="14" w:name="III_-_ilegitim"/>
      <w:r w:rsidRPr="00FC0E6E">
        <w:rPr>
          <w:rStyle w:val="apple-converted-space"/>
          <w:color w:val="000000"/>
          <w:sz w:val="20"/>
          <w:szCs w:val="27"/>
        </w:rPr>
        <w:t> </w:t>
      </w:r>
      <w:r w:rsidRPr="00FC0E6E">
        <w:rPr>
          <w:color w:val="000000"/>
          <w:sz w:val="20"/>
          <w:szCs w:val="27"/>
        </w:rPr>
        <w:t>- ilegitim</w:t>
      </w:r>
      <w:bookmarkEnd w:id="14"/>
      <w:r w:rsidRPr="00FC0E6E">
        <w:rPr>
          <w:color w:val="000000"/>
          <w:sz w:val="20"/>
          <w:szCs w:val="27"/>
        </w:rPr>
        <w:t>idade das partes;</w:t>
      </w:r>
    </w:p>
    <w:p w:rsidR="00FC0E6E" w:rsidRPr="00FC0E6E" w:rsidRDefault="00FC0E6E" w:rsidP="00FC0E6E">
      <w:pPr>
        <w:pStyle w:val="NormalWeb"/>
        <w:spacing w:before="0" w:after="0"/>
        <w:jc w:val="both"/>
        <w:rPr>
          <w:color w:val="000000"/>
          <w:sz w:val="20"/>
          <w:szCs w:val="27"/>
        </w:rPr>
      </w:pPr>
      <w:r w:rsidRPr="00FC0E6E">
        <w:rPr>
          <w:b/>
          <w:bCs/>
          <w:color w:val="000000"/>
          <w:sz w:val="20"/>
          <w:szCs w:val="27"/>
        </w:rPr>
        <w:t>IV</w:t>
      </w:r>
      <w:bookmarkStart w:id="15" w:name="IV_-_cumulaç"/>
      <w:r w:rsidRPr="00FC0E6E">
        <w:rPr>
          <w:rStyle w:val="apple-converted-space"/>
          <w:color w:val="000000"/>
          <w:sz w:val="20"/>
          <w:szCs w:val="27"/>
        </w:rPr>
        <w:t> </w:t>
      </w:r>
      <w:r w:rsidRPr="00FC0E6E">
        <w:rPr>
          <w:color w:val="000000"/>
          <w:sz w:val="20"/>
          <w:szCs w:val="27"/>
        </w:rPr>
        <w:t>- cumulaç</w:t>
      </w:r>
      <w:bookmarkEnd w:id="15"/>
      <w:r w:rsidRPr="00FC0E6E">
        <w:rPr>
          <w:color w:val="000000"/>
          <w:sz w:val="20"/>
          <w:szCs w:val="27"/>
        </w:rPr>
        <w:t>ão indevida de execuções;</w:t>
      </w:r>
    </w:p>
    <w:p w:rsidR="00FC0E6E" w:rsidRPr="00FC0E6E" w:rsidRDefault="00FC0E6E" w:rsidP="00FC0E6E">
      <w:pPr>
        <w:pStyle w:val="NormalWeb"/>
        <w:spacing w:before="0" w:after="0"/>
        <w:jc w:val="both"/>
        <w:rPr>
          <w:color w:val="000000"/>
          <w:sz w:val="20"/>
          <w:szCs w:val="27"/>
        </w:rPr>
      </w:pPr>
      <w:bookmarkStart w:id="16" w:name="V_-_excesso_da_exe"/>
      <w:r w:rsidRPr="00FC0E6E">
        <w:rPr>
          <w:b/>
          <w:bCs/>
          <w:color w:val="000000"/>
          <w:sz w:val="20"/>
          <w:szCs w:val="27"/>
        </w:rPr>
        <w:t>V</w:t>
      </w:r>
      <w:bookmarkEnd w:id="16"/>
      <w:r w:rsidRPr="00FC0E6E">
        <w:rPr>
          <w:rStyle w:val="apple-converted-space"/>
          <w:color w:val="000000"/>
          <w:sz w:val="20"/>
          <w:szCs w:val="27"/>
        </w:rPr>
        <w:t> </w:t>
      </w:r>
      <w:r>
        <w:rPr>
          <w:color w:val="000000"/>
          <w:sz w:val="20"/>
          <w:szCs w:val="27"/>
        </w:rPr>
        <w:t>- excesso de execução;</w:t>
      </w:r>
    </w:p>
    <w:p w:rsidR="00FC0E6E" w:rsidRPr="00FC0E6E" w:rsidRDefault="00FC0E6E" w:rsidP="00FC0E6E">
      <w:pPr>
        <w:pStyle w:val="NormalWeb"/>
        <w:spacing w:before="0" w:after="0"/>
        <w:jc w:val="both"/>
        <w:rPr>
          <w:color w:val="000000"/>
          <w:sz w:val="20"/>
          <w:szCs w:val="27"/>
        </w:rPr>
      </w:pPr>
      <w:bookmarkStart w:id="17" w:name="VI_-_qual"/>
      <w:r w:rsidRPr="00FC0E6E">
        <w:rPr>
          <w:b/>
          <w:bCs/>
          <w:color w:val="000000"/>
          <w:sz w:val="20"/>
          <w:szCs w:val="27"/>
        </w:rPr>
        <w:t>VI</w:t>
      </w:r>
      <w:bookmarkEnd w:id="17"/>
      <w:r w:rsidRPr="00FC0E6E">
        <w:rPr>
          <w:rStyle w:val="apple-converted-space"/>
          <w:color w:val="000000"/>
          <w:sz w:val="20"/>
          <w:szCs w:val="27"/>
        </w:rPr>
        <w:t> </w:t>
      </w:r>
      <w:r w:rsidRPr="00FC0E6E">
        <w:rPr>
          <w:color w:val="000000"/>
          <w:sz w:val="20"/>
          <w:szCs w:val="27"/>
        </w:rPr>
        <w:t>- qualquer causa impeditiva, modificativa ou extintiva da obrigação, como pagamento, novação, compensação, transação ou prescrição, desde que superveniente à</w:t>
      </w:r>
      <w:r>
        <w:rPr>
          <w:color w:val="000000"/>
          <w:sz w:val="20"/>
          <w:szCs w:val="27"/>
        </w:rPr>
        <w:t xml:space="preserve"> sentença;</w:t>
      </w:r>
    </w:p>
    <w:p w:rsidR="00FC0E6E" w:rsidRPr="00FC0E6E" w:rsidRDefault="00FC0E6E" w:rsidP="00FC0E6E">
      <w:pPr>
        <w:pStyle w:val="NormalWeb"/>
        <w:spacing w:before="0" w:after="0"/>
        <w:jc w:val="both"/>
        <w:rPr>
          <w:color w:val="000000"/>
          <w:sz w:val="20"/>
          <w:szCs w:val="27"/>
        </w:rPr>
      </w:pPr>
      <w:r w:rsidRPr="00FC0E6E">
        <w:rPr>
          <w:b/>
          <w:bCs/>
          <w:color w:val="000000"/>
          <w:sz w:val="20"/>
          <w:szCs w:val="27"/>
        </w:rPr>
        <w:t>VII</w:t>
      </w:r>
      <w:bookmarkStart w:id="18" w:name="VII_-_incompetência_do_juí"/>
      <w:r w:rsidRPr="00FC0E6E">
        <w:rPr>
          <w:rStyle w:val="apple-converted-space"/>
          <w:color w:val="000000"/>
          <w:sz w:val="20"/>
          <w:szCs w:val="27"/>
        </w:rPr>
        <w:t> </w:t>
      </w:r>
      <w:r w:rsidRPr="00FC0E6E">
        <w:rPr>
          <w:color w:val="000000"/>
          <w:sz w:val="20"/>
          <w:szCs w:val="27"/>
        </w:rPr>
        <w:t>- incompetência do juí</w:t>
      </w:r>
      <w:bookmarkEnd w:id="18"/>
      <w:r w:rsidRPr="00FC0E6E">
        <w:rPr>
          <w:color w:val="000000"/>
          <w:sz w:val="20"/>
          <w:szCs w:val="27"/>
        </w:rPr>
        <w:t>zo da execução, bem como suspeição ou impedimento do juiz.</w:t>
      </w:r>
    </w:p>
    <w:p w:rsidR="00FC0E6E" w:rsidRDefault="00FC0E6E">
      <w:pPr>
        <w:pStyle w:val="Textodenotaderodap"/>
      </w:pPr>
      <w:bookmarkStart w:id="19" w:name="Parágrafo_único._Para_efe"/>
      <w:r w:rsidRPr="00FC0E6E">
        <w:rPr>
          <w:rStyle w:val="Forte"/>
          <w:color w:val="000000"/>
          <w:szCs w:val="27"/>
        </w:rPr>
        <w:t>Parágrafo único</w:t>
      </w:r>
      <w:bookmarkEnd w:id="19"/>
      <w:r w:rsidRPr="00FC0E6E">
        <w:rPr>
          <w:color w:val="000000"/>
          <w:szCs w:val="27"/>
        </w:rPr>
        <w:t>. Para efeito do disposto no inciso II do caput deste artigo, considera-se também inexigível o título judicial fundado em lei ou ato normativo declarados inconstitucionais pelo Supremo Tribunal Federal, ou fundado em aplicação ou interpretação da lei ou ato normativo tidas pelo Supremo Tribunal Federal como incompatíveis com a Constituição Federal.</w:t>
      </w:r>
    </w:p>
  </w:footnote>
  <w:footnote w:id="13">
    <w:p w:rsidR="008C78FA" w:rsidRPr="008C78FA" w:rsidRDefault="008C78FA">
      <w:pPr>
        <w:pStyle w:val="Textodenotaderodap"/>
      </w:pPr>
      <w:r>
        <w:rPr>
          <w:rStyle w:val="Refdenotaderodap"/>
        </w:rPr>
        <w:footnoteRef/>
      </w:r>
      <w:r>
        <w:t xml:space="preserve"> </w:t>
      </w:r>
      <w:r w:rsidRPr="008C78FA">
        <w:rPr>
          <w:b/>
        </w:rPr>
        <w:t>STJ,</w:t>
      </w:r>
      <w:r>
        <w:t xml:space="preserve"> </w:t>
      </w:r>
      <w:r>
        <w:rPr>
          <w:b/>
        </w:rPr>
        <w:t xml:space="preserve">Súmula 279: </w:t>
      </w:r>
      <w:r>
        <w:t>É cabível execução por título extrajudicial contra a Fazenda Pública</w:t>
      </w:r>
    </w:p>
  </w:footnote>
  <w:footnote w:id="14">
    <w:p w:rsidR="00761557" w:rsidRPr="00761557" w:rsidRDefault="00761557" w:rsidP="00593ED0">
      <w:pPr>
        <w:pStyle w:val="Textodenotaderodap"/>
        <w:jc w:val="both"/>
        <w:rPr>
          <w:szCs w:val="20"/>
        </w:rPr>
      </w:pPr>
      <w:r w:rsidRPr="00761557">
        <w:rPr>
          <w:rStyle w:val="Refdenotaderodap"/>
          <w:szCs w:val="20"/>
        </w:rPr>
        <w:footnoteRef/>
      </w:r>
      <w:r w:rsidRPr="00761557">
        <w:rPr>
          <w:szCs w:val="20"/>
        </w:rPr>
        <w:t xml:space="preserve"> </w:t>
      </w:r>
      <w:r>
        <w:rPr>
          <w:b/>
          <w:szCs w:val="20"/>
        </w:rPr>
        <w:t xml:space="preserve">Súmla 144 - </w:t>
      </w:r>
      <w:r w:rsidRPr="00761557">
        <w:rPr>
          <w:color w:val="000000"/>
          <w:szCs w:val="20"/>
        </w:rPr>
        <w:t>Os créditos de natureza alimentícia gozam de preferência, desvinculados os precatórios da ordem cronológica dos créditos de natureza diversa.</w:t>
      </w:r>
    </w:p>
  </w:footnote>
  <w:footnote w:id="15">
    <w:p w:rsidR="00501768" w:rsidRDefault="00501768" w:rsidP="00593ED0">
      <w:pPr>
        <w:pStyle w:val="Textodenotaderodap"/>
        <w:jc w:val="both"/>
      </w:pPr>
      <w:r>
        <w:rPr>
          <w:rStyle w:val="Refdenotaderodap"/>
        </w:rPr>
        <w:footnoteRef/>
      </w:r>
      <w:r>
        <w:t xml:space="preserve"> </w:t>
      </w:r>
      <w:r w:rsidR="00593ED0" w:rsidRPr="00593ED0">
        <w:rPr>
          <w:rStyle w:val="apple-converted-space"/>
          <w:b/>
          <w:color w:val="000000"/>
          <w:szCs w:val="27"/>
        </w:rPr>
        <w:t xml:space="preserve">Súmula 655 - </w:t>
      </w:r>
      <w:r w:rsidR="00593ED0" w:rsidRPr="00593ED0">
        <w:rPr>
          <w:color w:val="000000"/>
          <w:szCs w:val="27"/>
        </w:rPr>
        <w:t>A exceção prevista no art. 100, caput, da Constituição, em favor dos créditos de natureza alimentícia, não dispensa a expedição de precatório, limitando-se a isentá-los da observância da ordem cronológica dos precatórios decorrentes de condenações de outra natureza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666836472"/>
      <w:docPartObj>
        <w:docPartGallery w:val="Page Numbers (Top of Page)"/>
        <w:docPartUnique/>
      </w:docPartObj>
    </w:sdtPr>
    <w:sdtEndPr/>
    <w:sdtContent>
      <w:p w:rsidR="00EA5C20" w:rsidRPr="00EA5C20" w:rsidRDefault="00EA5C20">
        <w:pPr>
          <w:pStyle w:val="Cabealho"/>
          <w:jc w:val="right"/>
          <w:rPr>
            <w:rFonts w:ascii="Times New Roman" w:hAnsi="Times New Roman" w:cs="Times New Roman"/>
            <w:sz w:val="20"/>
          </w:rPr>
        </w:pPr>
        <w:r w:rsidRPr="00EA5C20">
          <w:rPr>
            <w:rFonts w:ascii="Times New Roman" w:hAnsi="Times New Roman" w:cs="Times New Roman"/>
            <w:sz w:val="20"/>
          </w:rPr>
          <w:fldChar w:fldCharType="begin"/>
        </w:r>
        <w:r w:rsidRPr="00EA5C20">
          <w:rPr>
            <w:rFonts w:ascii="Times New Roman" w:hAnsi="Times New Roman" w:cs="Times New Roman"/>
            <w:sz w:val="20"/>
          </w:rPr>
          <w:instrText>PAGE   \* MERGEFORMAT</w:instrText>
        </w:r>
        <w:r w:rsidRPr="00EA5C20">
          <w:rPr>
            <w:rFonts w:ascii="Times New Roman" w:hAnsi="Times New Roman" w:cs="Times New Roman"/>
            <w:sz w:val="20"/>
          </w:rPr>
          <w:fldChar w:fldCharType="separate"/>
        </w:r>
        <w:r w:rsidR="00033391">
          <w:rPr>
            <w:rFonts w:ascii="Times New Roman" w:hAnsi="Times New Roman" w:cs="Times New Roman"/>
            <w:noProof/>
            <w:sz w:val="20"/>
          </w:rPr>
          <w:t>11</w:t>
        </w:r>
        <w:r w:rsidRPr="00EA5C20">
          <w:rPr>
            <w:rFonts w:ascii="Times New Roman" w:hAnsi="Times New Roman" w:cs="Times New Roman"/>
            <w:sz w:val="20"/>
          </w:rPr>
          <w:fldChar w:fldCharType="end"/>
        </w:r>
      </w:p>
    </w:sdtContent>
  </w:sdt>
  <w:p w:rsidR="00143089" w:rsidRDefault="003B19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33459"/>
    <w:multiLevelType w:val="hybridMultilevel"/>
    <w:tmpl w:val="5E5095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173CCD"/>
    <w:multiLevelType w:val="multilevel"/>
    <w:tmpl w:val="65AAA00C"/>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nsid w:val="45B43AF6"/>
    <w:multiLevelType w:val="hybridMultilevel"/>
    <w:tmpl w:val="71F2B7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64A14D8"/>
    <w:multiLevelType w:val="hybridMultilevel"/>
    <w:tmpl w:val="BBBA6C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A4"/>
    <w:rsid w:val="00033391"/>
    <w:rsid w:val="00045684"/>
    <w:rsid w:val="00062B19"/>
    <w:rsid w:val="000758D8"/>
    <w:rsid w:val="000865B5"/>
    <w:rsid w:val="00092541"/>
    <w:rsid w:val="00095F20"/>
    <w:rsid w:val="000B223D"/>
    <w:rsid w:val="000B2C39"/>
    <w:rsid w:val="000B7201"/>
    <w:rsid w:val="000B7651"/>
    <w:rsid w:val="000D282F"/>
    <w:rsid w:val="000D702C"/>
    <w:rsid w:val="000F3260"/>
    <w:rsid w:val="00111875"/>
    <w:rsid w:val="001124AC"/>
    <w:rsid w:val="00122519"/>
    <w:rsid w:val="00123F83"/>
    <w:rsid w:val="001445F8"/>
    <w:rsid w:val="00144600"/>
    <w:rsid w:val="001475F2"/>
    <w:rsid w:val="001511F6"/>
    <w:rsid w:val="00151613"/>
    <w:rsid w:val="001656A3"/>
    <w:rsid w:val="00170564"/>
    <w:rsid w:val="00183B51"/>
    <w:rsid w:val="00185BD8"/>
    <w:rsid w:val="00190B19"/>
    <w:rsid w:val="00195BB8"/>
    <w:rsid w:val="001965EF"/>
    <w:rsid w:val="001B408C"/>
    <w:rsid w:val="001C0EE9"/>
    <w:rsid w:val="001D22EC"/>
    <w:rsid w:val="001E5BF9"/>
    <w:rsid w:val="0020034B"/>
    <w:rsid w:val="0020165A"/>
    <w:rsid w:val="00202FA7"/>
    <w:rsid w:val="0020558E"/>
    <w:rsid w:val="00207898"/>
    <w:rsid w:val="0021111B"/>
    <w:rsid w:val="00211303"/>
    <w:rsid w:val="0022026A"/>
    <w:rsid w:val="002303FD"/>
    <w:rsid w:val="00236C1C"/>
    <w:rsid w:val="00237D3A"/>
    <w:rsid w:val="00256987"/>
    <w:rsid w:val="002578AA"/>
    <w:rsid w:val="00260466"/>
    <w:rsid w:val="00267F9D"/>
    <w:rsid w:val="002701B1"/>
    <w:rsid w:val="00270A00"/>
    <w:rsid w:val="00275079"/>
    <w:rsid w:val="00275E77"/>
    <w:rsid w:val="002856CF"/>
    <w:rsid w:val="00287C88"/>
    <w:rsid w:val="00297C6F"/>
    <w:rsid w:val="002A5B06"/>
    <w:rsid w:val="002B7E5B"/>
    <w:rsid w:val="002B7E71"/>
    <w:rsid w:val="002C4DFF"/>
    <w:rsid w:val="002E68B7"/>
    <w:rsid w:val="002F6228"/>
    <w:rsid w:val="003030C9"/>
    <w:rsid w:val="00317021"/>
    <w:rsid w:val="003254B7"/>
    <w:rsid w:val="00326682"/>
    <w:rsid w:val="00342A1C"/>
    <w:rsid w:val="00351A09"/>
    <w:rsid w:val="00360F37"/>
    <w:rsid w:val="003A12D8"/>
    <w:rsid w:val="003A26E3"/>
    <w:rsid w:val="003A7A61"/>
    <w:rsid w:val="003B19ED"/>
    <w:rsid w:val="003B6651"/>
    <w:rsid w:val="003D02DE"/>
    <w:rsid w:val="003D4F78"/>
    <w:rsid w:val="003E04CA"/>
    <w:rsid w:val="003F6160"/>
    <w:rsid w:val="003F7A8A"/>
    <w:rsid w:val="00410655"/>
    <w:rsid w:val="00414696"/>
    <w:rsid w:val="004211D1"/>
    <w:rsid w:val="004249CC"/>
    <w:rsid w:val="00425482"/>
    <w:rsid w:val="0043418B"/>
    <w:rsid w:val="00435AAE"/>
    <w:rsid w:val="00451339"/>
    <w:rsid w:val="00467D65"/>
    <w:rsid w:val="00470BB6"/>
    <w:rsid w:val="00482A6A"/>
    <w:rsid w:val="00486B6B"/>
    <w:rsid w:val="00486F36"/>
    <w:rsid w:val="00493B09"/>
    <w:rsid w:val="004A1562"/>
    <w:rsid w:val="004A4F69"/>
    <w:rsid w:val="004C5163"/>
    <w:rsid w:val="004F458F"/>
    <w:rsid w:val="00501132"/>
    <w:rsid w:val="00501768"/>
    <w:rsid w:val="0050377A"/>
    <w:rsid w:val="005119FD"/>
    <w:rsid w:val="00521C95"/>
    <w:rsid w:val="00523EE0"/>
    <w:rsid w:val="005268FA"/>
    <w:rsid w:val="00527279"/>
    <w:rsid w:val="00530EBC"/>
    <w:rsid w:val="00530F20"/>
    <w:rsid w:val="005335A4"/>
    <w:rsid w:val="00554CFE"/>
    <w:rsid w:val="00573F16"/>
    <w:rsid w:val="0058561B"/>
    <w:rsid w:val="005929A3"/>
    <w:rsid w:val="00593ED0"/>
    <w:rsid w:val="005A0843"/>
    <w:rsid w:val="005A778A"/>
    <w:rsid w:val="005B4B6C"/>
    <w:rsid w:val="005C09B2"/>
    <w:rsid w:val="005D2200"/>
    <w:rsid w:val="005D4105"/>
    <w:rsid w:val="005E0CCB"/>
    <w:rsid w:val="005F1846"/>
    <w:rsid w:val="005F2A74"/>
    <w:rsid w:val="005F2AC9"/>
    <w:rsid w:val="006021EE"/>
    <w:rsid w:val="006071E0"/>
    <w:rsid w:val="00627C2B"/>
    <w:rsid w:val="00630447"/>
    <w:rsid w:val="00635752"/>
    <w:rsid w:val="00637864"/>
    <w:rsid w:val="006424A3"/>
    <w:rsid w:val="00647A87"/>
    <w:rsid w:val="00647B33"/>
    <w:rsid w:val="00687BC2"/>
    <w:rsid w:val="006A00AC"/>
    <w:rsid w:val="006A11DE"/>
    <w:rsid w:val="006B6F53"/>
    <w:rsid w:val="006B7886"/>
    <w:rsid w:val="006B7ECF"/>
    <w:rsid w:val="006E03BA"/>
    <w:rsid w:val="006E190A"/>
    <w:rsid w:val="006E36D4"/>
    <w:rsid w:val="006E7521"/>
    <w:rsid w:val="006E7E40"/>
    <w:rsid w:val="006F33E6"/>
    <w:rsid w:val="006F43C3"/>
    <w:rsid w:val="006F5B68"/>
    <w:rsid w:val="006F7107"/>
    <w:rsid w:val="00723383"/>
    <w:rsid w:val="00723B9E"/>
    <w:rsid w:val="00725883"/>
    <w:rsid w:val="00747A2C"/>
    <w:rsid w:val="00756495"/>
    <w:rsid w:val="00757EBE"/>
    <w:rsid w:val="00761557"/>
    <w:rsid w:val="00772654"/>
    <w:rsid w:val="00772FF9"/>
    <w:rsid w:val="0077754F"/>
    <w:rsid w:val="00785626"/>
    <w:rsid w:val="0079305E"/>
    <w:rsid w:val="00794E3A"/>
    <w:rsid w:val="007A19B5"/>
    <w:rsid w:val="007B643B"/>
    <w:rsid w:val="007B78A8"/>
    <w:rsid w:val="007C0685"/>
    <w:rsid w:val="007C54E7"/>
    <w:rsid w:val="007E0C92"/>
    <w:rsid w:val="007E10A2"/>
    <w:rsid w:val="00804E4C"/>
    <w:rsid w:val="00805DEA"/>
    <w:rsid w:val="00812129"/>
    <w:rsid w:val="00826601"/>
    <w:rsid w:val="008279A1"/>
    <w:rsid w:val="008332FB"/>
    <w:rsid w:val="00837EE6"/>
    <w:rsid w:val="00853640"/>
    <w:rsid w:val="008701A8"/>
    <w:rsid w:val="008703E7"/>
    <w:rsid w:val="00883A52"/>
    <w:rsid w:val="00883C46"/>
    <w:rsid w:val="00892A6C"/>
    <w:rsid w:val="00894482"/>
    <w:rsid w:val="008A4C41"/>
    <w:rsid w:val="008B3952"/>
    <w:rsid w:val="008C71B0"/>
    <w:rsid w:val="008C78FA"/>
    <w:rsid w:val="008D0971"/>
    <w:rsid w:val="008E7A03"/>
    <w:rsid w:val="008F1113"/>
    <w:rsid w:val="008F77F9"/>
    <w:rsid w:val="00907561"/>
    <w:rsid w:val="00912863"/>
    <w:rsid w:val="00961B66"/>
    <w:rsid w:val="00962A1B"/>
    <w:rsid w:val="00962B43"/>
    <w:rsid w:val="0096415B"/>
    <w:rsid w:val="00971B41"/>
    <w:rsid w:val="00973A6A"/>
    <w:rsid w:val="00981EFC"/>
    <w:rsid w:val="00994CE6"/>
    <w:rsid w:val="00997F10"/>
    <w:rsid w:val="009A691A"/>
    <w:rsid w:val="009B2CB7"/>
    <w:rsid w:val="009B32ED"/>
    <w:rsid w:val="009D614E"/>
    <w:rsid w:val="009E47BB"/>
    <w:rsid w:val="009E7360"/>
    <w:rsid w:val="009F3FF1"/>
    <w:rsid w:val="009F4458"/>
    <w:rsid w:val="009F5585"/>
    <w:rsid w:val="00A018ED"/>
    <w:rsid w:val="00A10BFB"/>
    <w:rsid w:val="00A2577C"/>
    <w:rsid w:val="00A2647D"/>
    <w:rsid w:val="00A300D6"/>
    <w:rsid w:val="00A33DDF"/>
    <w:rsid w:val="00A3598F"/>
    <w:rsid w:val="00A44281"/>
    <w:rsid w:val="00A476DA"/>
    <w:rsid w:val="00A62805"/>
    <w:rsid w:val="00A650D2"/>
    <w:rsid w:val="00A66315"/>
    <w:rsid w:val="00A67342"/>
    <w:rsid w:val="00A86D73"/>
    <w:rsid w:val="00AA43EE"/>
    <w:rsid w:val="00AB451A"/>
    <w:rsid w:val="00AC176A"/>
    <w:rsid w:val="00AE5F53"/>
    <w:rsid w:val="00AF013B"/>
    <w:rsid w:val="00AF0B66"/>
    <w:rsid w:val="00B14E07"/>
    <w:rsid w:val="00B17DC5"/>
    <w:rsid w:val="00B2305F"/>
    <w:rsid w:val="00B23C04"/>
    <w:rsid w:val="00B33A6C"/>
    <w:rsid w:val="00B3477C"/>
    <w:rsid w:val="00B45281"/>
    <w:rsid w:val="00B653D6"/>
    <w:rsid w:val="00B72325"/>
    <w:rsid w:val="00B769E9"/>
    <w:rsid w:val="00B76E83"/>
    <w:rsid w:val="00B92CBD"/>
    <w:rsid w:val="00BB1A5B"/>
    <w:rsid w:val="00BD3620"/>
    <w:rsid w:val="00BD6444"/>
    <w:rsid w:val="00BE4615"/>
    <w:rsid w:val="00BF0339"/>
    <w:rsid w:val="00C0538C"/>
    <w:rsid w:val="00C07590"/>
    <w:rsid w:val="00C077A6"/>
    <w:rsid w:val="00C13C25"/>
    <w:rsid w:val="00C16EE7"/>
    <w:rsid w:val="00C27C5C"/>
    <w:rsid w:val="00C320B8"/>
    <w:rsid w:val="00C36BFF"/>
    <w:rsid w:val="00C47D0F"/>
    <w:rsid w:val="00C6177D"/>
    <w:rsid w:val="00C61C16"/>
    <w:rsid w:val="00C6463D"/>
    <w:rsid w:val="00C650A2"/>
    <w:rsid w:val="00C73CB4"/>
    <w:rsid w:val="00C770C4"/>
    <w:rsid w:val="00C80D0F"/>
    <w:rsid w:val="00C83E86"/>
    <w:rsid w:val="00C87783"/>
    <w:rsid w:val="00C9062D"/>
    <w:rsid w:val="00C90F06"/>
    <w:rsid w:val="00CA6685"/>
    <w:rsid w:val="00CB16F3"/>
    <w:rsid w:val="00CC364F"/>
    <w:rsid w:val="00CD2C14"/>
    <w:rsid w:val="00CE14A7"/>
    <w:rsid w:val="00CF06E4"/>
    <w:rsid w:val="00CF42A3"/>
    <w:rsid w:val="00CF7BC4"/>
    <w:rsid w:val="00D17DD3"/>
    <w:rsid w:val="00D23D79"/>
    <w:rsid w:val="00D24903"/>
    <w:rsid w:val="00D25B30"/>
    <w:rsid w:val="00D26A13"/>
    <w:rsid w:val="00D27BB4"/>
    <w:rsid w:val="00D304D2"/>
    <w:rsid w:val="00D42948"/>
    <w:rsid w:val="00D433DA"/>
    <w:rsid w:val="00D62FA5"/>
    <w:rsid w:val="00D64B50"/>
    <w:rsid w:val="00D655D8"/>
    <w:rsid w:val="00D742AC"/>
    <w:rsid w:val="00D906E5"/>
    <w:rsid w:val="00D972FB"/>
    <w:rsid w:val="00DB5515"/>
    <w:rsid w:val="00DD2795"/>
    <w:rsid w:val="00DD5F7F"/>
    <w:rsid w:val="00DD6BC9"/>
    <w:rsid w:val="00E13B2F"/>
    <w:rsid w:val="00E13D45"/>
    <w:rsid w:val="00E2129B"/>
    <w:rsid w:val="00E2446F"/>
    <w:rsid w:val="00E30308"/>
    <w:rsid w:val="00E3360E"/>
    <w:rsid w:val="00E517C2"/>
    <w:rsid w:val="00E54044"/>
    <w:rsid w:val="00E623AF"/>
    <w:rsid w:val="00E6553A"/>
    <w:rsid w:val="00E73FA4"/>
    <w:rsid w:val="00E879BC"/>
    <w:rsid w:val="00EA047C"/>
    <w:rsid w:val="00EA143E"/>
    <w:rsid w:val="00EA268F"/>
    <w:rsid w:val="00EA5C20"/>
    <w:rsid w:val="00ED2EB7"/>
    <w:rsid w:val="00ED718F"/>
    <w:rsid w:val="00ED7CCA"/>
    <w:rsid w:val="00EF22D5"/>
    <w:rsid w:val="00EF5882"/>
    <w:rsid w:val="00F02662"/>
    <w:rsid w:val="00F02FC3"/>
    <w:rsid w:val="00F034A6"/>
    <w:rsid w:val="00F06C46"/>
    <w:rsid w:val="00F074B2"/>
    <w:rsid w:val="00F1671F"/>
    <w:rsid w:val="00F24475"/>
    <w:rsid w:val="00F3362F"/>
    <w:rsid w:val="00F43DD6"/>
    <w:rsid w:val="00F4416D"/>
    <w:rsid w:val="00F46A52"/>
    <w:rsid w:val="00F50B04"/>
    <w:rsid w:val="00F57772"/>
    <w:rsid w:val="00F6069D"/>
    <w:rsid w:val="00F62659"/>
    <w:rsid w:val="00F67780"/>
    <w:rsid w:val="00F90CF6"/>
    <w:rsid w:val="00FA1E91"/>
    <w:rsid w:val="00FB4934"/>
    <w:rsid w:val="00FC0C36"/>
    <w:rsid w:val="00FC0E6E"/>
    <w:rsid w:val="00FD5D0D"/>
    <w:rsid w:val="00FE2E8E"/>
    <w:rsid w:val="00FE3A27"/>
    <w:rsid w:val="00FF10A7"/>
    <w:rsid w:val="00FF3828"/>
    <w:rsid w:val="00FF5FF3"/>
    <w:rsid w:val="00FF7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64243-DDD8-4A54-A076-F5665DD8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Textbody"/>
    <w:pPr>
      <w:spacing w:before="280" w:after="280" w:line="240" w:lineRule="auto"/>
      <w:outlineLvl w:val="0"/>
    </w:pPr>
    <w:rPr>
      <w:rFonts w:ascii="Times New Roman" w:eastAsia="Times New Roman" w:hAnsi="Times New Roman"/>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spacing w:after="200" w:line="276" w:lineRule="auto"/>
    </w:pPr>
    <w:rPr>
      <w:rFonts w:ascii="Calibri, 'Arial Rounded MT Bold" w:eastAsia="Calibri, 'Arial Rounded MT Bold" w:hAnsi="Calibri, 'Arial Rounded MT Bold"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grafodaLista">
    <w:name w:val="List Paragraph"/>
    <w:basedOn w:val="Standard"/>
    <w:pPr>
      <w:ind w:left="720"/>
    </w:pPr>
  </w:style>
  <w:style w:type="paragraph" w:customStyle="1" w:styleId="Default">
    <w:name w:val="Default"/>
    <w:pPr>
      <w:suppressAutoHyphens/>
      <w:autoSpaceDE w:val="0"/>
    </w:pPr>
    <w:rPr>
      <w:rFonts w:ascii="Calibri, 'Arial Rounded MT Bold" w:eastAsia="Calibri, 'Arial Rounded MT Bold" w:hAnsi="Calibri, 'Arial Rounded MT Bold" w:cs="Times New Roman"/>
      <w:color w:val="000000"/>
      <w:sz w:val="20"/>
      <w:szCs w:val="20"/>
      <w:lang w:eastAsia="pt-BR" w:bidi="ar-SA"/>
    </w:rPr>
  </w:style>
  <w:style w:type="paragraph" w:styleId="Textodebalo">
    <w:name w:val="Balloon Text"/>
    <w:basedOn w:val="Standard"/>
    <w:pPr>
      <w:spacing w:after="0" w:line="240" w:lineRule="auto"/>
    </w:pPr>
    <w:rPr>
      <w:rFonts w:ascii="Segoe UI" w:hAnsi="Segoe UI" w:cs="Segoe UI"/>
      <w:sz w:val="18"/>
      <w:szCs w:val="18"/>
    </w:rPr>
  </w:style>
  <w:style w:type="paragraph" w:styleId="Rodap">
    <w:name w:val="footer"/>
    <w:basedOn w:val="Standard"/>
    <w:pPr>
      <w:tabs>
        <w:tab w:val="center" w:pos="4252"/>
        <w:tab w:val="right" w:pos="8504"/>
      </w:tabs>
    </w:pPr>
  </w:style>
  <w:style w:type="paragraph" w:customStyle="1" w:styleId="Footnote">
    <w:name w:val="Footnote"/>
    <w:basedOn w:val="Standard"/>
  </w:style>
  <w:style w:type="paragraph" w:styleId="Cabealho">
    <w:name w:val="header"/>
    <w:basedOn w:val="Standard"/>
    <w:uiPriority w:val="99"/>
    <w:pPr>
      <w:tabs>
        <w:tab w:val="center" w:pos="4419"/>
        <w:tab w:val="right" w:pos="8838"/>
      </w:tabs>
      <w:spacing w:after="0" w:line="240" w:lineRule="auto"/>
    </w:pPr>
    <w:rPr>
      <w:rFonts w:ascii="Arial" w:eastAsia="Times New Roman" w:hAnsi="Arial" w:cs="Arial"/>
      <w:sz w:val="28"/>
      <w:szCs w:val="24"/>
      <w:lang w:eastAsia="ar-SA"/>
    </w:rPr>
  </w:style>
  <w:style w:type="paragraph" w:styleId="NormalWeb">
    <w:name w:val="Normal (Web)"/>
    <w:basedOn w:val="Standard"/>
    <w:uiPriority w:val="99"/>
    <w:pPr>
      <w:spacing w:before="240" w:after="240" w:line="240" w:lineRule="auto"/>
    </w:pPr>
    <w:rPr>
      <w:rFonts w:ascii="Times New Roman" w:eastAsia="Times New Roman" w:hAnsi="Times New Roman"/>
      <w:sz w:val="24"/>
      <w:szCs w:val="24"/>
      <w:lang w:eastAsia="pt-BR"/>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TextodebaloChar">
    <w:name w:val="Texto de balão Char"/>
    <w:rPr>
      <w:rFonts w:ascii="Segoe UI" w:hAnsi="Segoe UI" w:cs="Segoe UI"/>
      <w:sz w:val="18"/>
      <w:szCs w:val="18"/>
      <w:lang w:eastAsia="en-US"/>
    </w:rPr>
  </w:style>
  <w:style w:type="character" w:customStyle="1" w:styleId="Ttulo1Char">
    <w:name w:val="Título 1 Char"/>
    <w:rPr>
      <w:rFonts w:ascii="Times New Roman" w:eastAsia="Times New Roman" w:hAnsi="Times New Roman" w:cs="Times New Roman"/>
      <w:b/>
      <w:bCs/>
      <w:kern w:val="3"/>
      <w:sz w:val="48"/>
      <w:szCs w:val="48"/>
    </w:rPr>
  </w:style>
  <w:style w:type="character" w:customStyle="1" w:styleId="RodapChar">
    <w:name w:val="Rodapé Char"/>
    <w:rPr>
      <w:sz w:val="22"/>
      <w:szCs w:val="22"/>
      <w:lang w:eastAsia="en-US"/>
    </w:rPr>
  </w:style>
  <w:style w:type="character" w:customStyle="1" w:styleId="TextodenotaderodapChar">
    <w:name w:val="Texto de nota de rodapé Char"/>
    <w:rPr>
      <w:lang w:eastAsia="en-US"/>
    </w:rPr>
  </w:style>
  <w:style w:type="character" w:customStyle="1" w:styleId="CabealhoChar">
    <w:name w:val="Cabeçalho Char"/>
    <w:uiPriority w:val="99"/>
    <w:rPr>
      <w:rFonts w:ascii="Arial" w:eastAsia="Times New Roman" w:hAnsi="Arial" w:cs="Arial"/>
      <w:sz w:val="28"/>
      <w:szCs w:val="24"/>
      <w:lang w:eastAsia="ar-SA"/>
    </w:rPr>
  </w:style>
  <w:style w:type="character" w:styleId="Nmerodepgina">
    <w:name w:val="page number"/>
    <w:basedOn w:val="Fontepargpadro"/>
  </w:style>
  <w:style w:type="character" w:customStyle="1" w:styleId="Internetlink">
    <w:name w:val="Internet link"/>
    <w:rPr>
      <w:color w:val="0000FF"/>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styleId="Refdenotaderodap">
    <w:name w:val="footnote reference"/>
    <w:basedOn w:val="Fontepargpadro"/>
    <w:rPr>
      <w:position w:val="0"/>
      <w:vertAlign w:val="superscript"/>
    </w:rPr>
  </w:style>
  <w:style w:type="numbering" w:customStyle="1" w:styleId="WW8Num1">
    <w:name w:val="WW8Num1"/>
    <w:basedOn w:val="Semlista"/>
    <w:pPr>
      <w:numPr>
        <w:numId w:val="1"/>
      </w:numPr>
    </w:pPr>
  </w:style>
  <w:style w:type="character" w:customStyle="1" w:styleId="apple-converted-space">
    <w:name w:val="apple-converted-space"/>
    <w:basedOn w:val="Fontepargpadro"/>
    <w:rsid w:val="00144600"/>
  </w:style>
  <w:style w:type="character" w:styleId="nfase">
    <w:name w:val="Emphasis"/>
    <w:basedOn w:val="Fontepargpadro"/>
    <w:uiPriority w:val="20"/>
    <w:qFormat/>
    <w:rsid w:val="00144600"/>
    <w:rPr>
      <w:i/>
      <w:iCs/>
    </w:rPr>
  </w:style>
  <w:style w:type="character" w:styleId="Forte">
    <w:name w:val="Strong"/>
    <w:basedOn w:val="Fontepargpadro"/>
    <w:uiPriority w:val="22"/>
    <w:qFormat/>
    <w:rsid w:val="00144600"/>
    <w:rPr>
      <w:b/>
      <w:bCs/>
    </w:rPr>
  </w:style>
  <w:style w:type="paragraph" w:customStyle="1" w:styleId="texto2">
    <w:name w:val="texto2"/>
    <w:basedOn w:val="Normal"/>
    <w:rsid w:val="00183B51"/>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5A778A"/>
    <w:rPr>
      <w:color w:val="0563C1" w:themeColor="hyperlink"/>
      <w:u w:val="single"/>
    </w:rPr>
  </w:style>
  <w:style w:type="paragraph" w:styleId="SemEspaamento">
    <w:name w:val="No Spacing"/>
    <w:uiPriority w:val="1"/>
    <w:qFormat/>
    <w:rsid w:val="00287C88"/>
    <w:pPr>
      <w:suppressAutoHyphens/>
    </w:pPr>
    <w:rPr>
      <w:szCs w:val="21"/>
    </w:rPr>
  </w:style>
  <w:style w:type="table" w:styleId="Tabelacomgrade">
    <w:name w:val="Table Grid"/>
    <w:basedOn w:val="Tabelanormal"/>
    <w:uiPriority w:val="39"/>
    <w:rsid w:val="00EF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1"/>
    <w:uiPriority w:val="99"/>
    <w:semiHidden/>
    <w:unhideWhenUsed/>
    <w:rsid w:val="00270A00"/>
    <w:rPr>
      <w:sz w:val="20"/>
      <w:szCs w:val="18"/>
    </w:rPr>
  </w:style>
  <w:style w:type="character" w:customStyle="1" w:styleId="TextodenotaderodapChar1">
    <w:name w:val="Texto de nota de rodapé Char1"/>
    <w:basedOn w:val="Fontepargpadro"/>
    <w:link w:val="Textodenotaderodap"/>
    <w:uiPriority w:val="99"/>
    <w:semiHidden/>
    <w:rsid w:val="00270A00"/>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157390">
      <w:bodyDiv w:val="1"/>
      <w:marLeft w:val="0"/>
      <w:marRight w:val="0"/>
      <w:marTop w:val="0"/>
      <w:marBottom w:val="0"/>
      <w:divBdr>
        <w:top w:val="none" w:sz="0" w:space="0" w:color="auto"/>
        <w:left w:val="none" w:sz="0" w:space="0" w:color="auto"/>
        <w:bottom w:val="none" w:sz="0" w:space="0" w:color="auto"/>
        <w:right w:val="none" w:sz="0" w:space="0" w:color="auto"/>
      </w:divBdr>
      <w:divsChild>
        <w:div w:id="17087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101118">
      <w:bodyDiv w:val="1"/>
      <w:marLeft w:val="0"/>
      <w:marRight w:val="0"/>
      <w:marTop w:val="0"/>
      <w:marBottom w:val="0"/>
      <w:divBdr>
        <w:top w:val="none" w:sz="0" w:space="0" w:color="auto"/>
        <w:left w:val="none" w:sz="0" w:space="0" w:color="auto"/>
        <w:bottom w:val="none" w:sz="0" w:space="0" w:color="auto"/>
        <w:right w:val="none" w:sz="0" w:space="0" w:color="auto"/>
      </w:divBdr>
    </w:div>
    <w:div w:id="1294671213">
      <w:bodyDiv w:val="1"/>
      <w:marLeft w:val="0"/>
      <w:marRight w:val="0"/>
      <w:marTop w:val="0"/>
      <w:marBottom w:val="0"/>
      <w:divBdr>
        <w:top w:val="none" w:sz="0" w:space="0" w:color="auto"/>
        <w:left w:val="none" w:sz="0" w:space="0" w:color="auto"/>
        <w:bottom w:val="none" w:sz="0" w:space="0" w:color="auto"/>
        <w:right w:val="none" w:sz="0" w:space="0" w:color="auto"/>
      </w:divBdr>
    </w:div>
    <w:div w:id="1415931832">
      <w:bodyDiv w:val="1"/>
      <w:marLeft w:val="0"/>
      <w:marRight w:val="0"/>
      <w:marTop w:val="0"/>
      <w:marBottom w:val="0"/>
      <w:divBdr>
        <w:top w:val="none" w:sz="0" w:space="0" w:color="auto"/>
        <w:left w:val="none" w:sz="0" w:space="0" w:color="auto"/>
        <w:bottom w:val="none" w:sz="0" w:space="0" w:color="auto"/>
        <w:right w:val="none" w:sz="0" w:space="0" w:color="auto"/>
      </w:divBdr>
      <w:divsChild>
        <w:div w:id="1153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710334">
      <w:bodyDiv w:val="1"/>
      <w:marLeft w:val="0"/>
      <w:marRight w:val="0"/>
      <w:marTop w:val="0"/>
      <w:marBottom w:val="0"/>
      <w:divBdr>
        <w:top w:val="none" w:sz="0" w:space="0" w:color="auto"/>
        <w:left w:val="none" w:sz="0" w:space="0" w:color="auto"/>
        <w:bottom w:val="none" w:sz="0" w:space="0" w:color="auto"/>
        <w:right w:val="none" w:sz="0" w:space="0" w:color="auto"/>
      </w:divBdr>
      <w:divsChild>
        <w:div w:id="143066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79031">
      <w:bodyDiv w:val="1"/>
      <w:marLeft w:val="0"/>
      <w:marRight w:val="0"/>
      <w:marTop w:val="0"/>
      <w:marBottom w:val="0"/>
      <w:divBdr>
        <w:top w:val="none" w:sz="0" w:space="0" w:color="auto"/>
        <w:left w:val="none" w:sz="0" w:space="0" w:color="auto"/>
        <w:bottom w:val="none" w:sz="0" w:space="0" w:color="auto"/>
        <w:right w:val="none" w:sz="0" w:space="0" w:color="auto"/>
      </w:divBdr>
      <w:divsChild>
        <w:div w:id="9464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ji.com.br/medidas_provisorias/mp-002180-035-24-08-200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5BDB80-39A7-456F-BBAE-60A9685405C9}">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4822-D30D-4A0B-9BC3-82406380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11</Pages>
  <Words>3631</Words>
  <Characters>19610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1º CHECK DO PAPER DE PROCESSO DE CONHECIMENTO 1</vt:lpstr>
    </vt:vector>
  </TitlesOfParts>
  <Company>Microsoft</Company>
  <LinksUpToDate>false</LinksUpToDate>
  <CharactersWithSpaces>23195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1º CHECK DO PAPER DE PROCESSO DE CONHECIMENTO 1</dc:title>
  <dc:creator>Felipe Noronha</dc:creator>
  <cp:lastModifiedBy>FELIPE NORONHA</cp:lastModifiedBy>
  <cp:revision>122</cp:revision>
  <cp:lastPrinted>2014-10-08T15:33:00Z</cp:lastPrinted>
  <dcterms:created xsi:type="dcterms:W3CDTF">2014-10-28T18:28:00Z</dcterms:created>
  <dcterms:modified xsi:type="dcterms:W3CDTF">2014-11-07T02:15:00Z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