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FA4" w:rsidRDefault="001B00C4" w:rsidP="00573164">
      <w:pPr>
        <w:pStyle w:val="Standard"/>
        <w:spacing w:after="0" w:line="360" w:lineRule="auto"/>
        <w:ind w:firstLine="1134"/>
        <w:jc w:val="center"/>
      </w:pPr>
      <w:r w:rsidRPr="001B00C4">
        <w:rPr>
          <w:rFonts w:ascii="Times New Roman" w:hAnsi="Times New Roman"/>
          <w:i/>
          <w:noProof/>
          <w:sz w:val="20"/>
          <w:szCs w:val="20"/>
        </w:rPr>
        <mc:AlternateContent>
          <mc:Choice Requires="wps">
            <w:drawing>
              <wp:anchor distT="45720" distB="45720" distL="114300" distR="114300" simplePos="0" relativeHeight="251659264" behindDoc="1" locked="0" layoutInCell="1" allowOverlap="1" wp14:anchorId="246EB509" wp14:editId="4623EABE">
                <wp:simplePos x="0" y="0"/>
                <wp:positionH relativeFrom="column">
                  <wp:posOffset>3491865</wp:posOffset>
                </wp:positionH>
                <wp:positionV relativeFrom="paragraph">
                  <wp:posOffset>-556260</wp:posOffset>
                </wp:positionV>
                <wp:extent cx="2360930" cy="247650"/>
                <wp:effectExtent l="0" t="0" r="127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9525">
                          <a:noFill/>
                          <a:miter lim="800000"/>
                          <a:headEnd/>
                          <a:tailEnd/>
                        </a:ln>
                      </wps:spPr>
                      <wps:txbx>
                        <w:txbxContent>
                          <w:p w:rsidR="001B00C4" w:rsidRDefault="001B00C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46EB509" id="_x0000_t202" coordsize="21600,21600" o:spt="202" path="m,l,21600r21600,l21600,xe">
                <v:stroke joinstyle="miter"/>
                <v:path gradientshapeok="t" o:connecttype="rect"/>
              </v:shapetype>
              <v:shape id="Caixa de Texto 2" o:spid="_x0000_s1026" type="#_x0000_t202" style="position:absolute;left:0;text-align:left;margin-left:274.95pt;margin-top:-43.8pt;width:185.9pt;height:19.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" stroked="f">
                <v:textbox>
                  <w:txbxContent>
                    <w:p w:rsidR="001B00C4" w:rsidRDefault="001B00C4"/>
                  </w:txbxContent>
                </v:textbox>
              </v:shape>
            </w:pict>
          </mc:Fallback>
        </mc:AlternateContent>
      </w:r>
      <w:r w:rsidR="00573164" w:rsidRPr="00573164">
        <w:rPr>
          <w:rFonts w:ascii="Times New Roman" w:hAnsi="Times New Roman"/>
          <w:b/>
          <w:sz w:val="28"/>
          <w:szCs w:val="28"/>
        </w:rPr>
        <w:t>A FORMALIZAÇÃO DO INDICIAMENTO COM ADVENTO DA LEI 12.830/2013: AS LACUNAS ANTERIORES E COMO PASSA A SER FEITO O INDICIAMENTO</w:t>
      </w:r>
      <w:r w:rsidR="00B22137" w:rsidRPr="00573164">
        <w:rPr>
          <w:rStyle w:val="FootnoteSymbol"/>
          <w:rFonts w:ascii="Times New Roman" w:hAnsi="Times New Roman"/>
          <w:bCs/>
          <w:sz w:val="28"/>
        </w:rPr>
        <w:t xml:space="preserve"> </w:t>
      </w:r>
      <w:r w:rsidR="0020558E">
        <w:rPr>
          <w:rStyle w:val="FootnoteSymbol"/>
          <w:rFonts w:ascii="Times New Roman" w:hAnsi="Times New Roman"/>
          <w:bCs/>
        </w:rPr>
        <w:footnoteReference w:id="1"/>
      </w:r>
    </w:p>
    <w:p w:rsidR="00E73FA4" w:rsidRDefault="00E73FA4">
      <w:pPr>
        <w:pStyle w:val="Standard"/>
        <w:spacing w:after="0" w:line="240" w:lineRule="auto"/>
        <w:jc w:val="right"/>
        <w:rPr>
          <w:rFonts w:ascii="Times New Roman" w:hAnsi="Times New Roman"/>
          <w:i/>
          <w:sz w:val="20"/>
          <w:szCs w:val="20"/>
        </w:rPr>
      </w:pPr>
    </w:p>
    <w:p w:rsidR="00E73FA4" w:rsidRDefault="00E73FA4">
      <w:pPr>
        <w:pStyle w:val="Standard"/>
        <w:spacing w:after="0" w:line="240" w:lineRule="auto"/>
        <w:jc w:val="right"/>
        <w:rPr>
          <w:rFonts w:ascii="Times New Roman" w:hAnsi="Times New Roman"/>
          <w:i/>
          <w:sz w:val="20"/>
          <w:szCs w:val="20"/>
        </w:rPr>
      </w:pPr>
    </w:p>
    <w:p w:rsidR="00E73FA4" w:rsidRDefault="0020558E">
      <w:pPr>
        <w:pStyle w:val="Standard"/>
        <w:spacing w:after="0" w:line="240" w:lineRule="auto"/>
        <w:jc w:val="right"/>
      </w:pPr>
      <w:r>
        <w:rPr>
          <w:rFonts w:ascii="Times New Roman" w:hAnsi="Times New Roman"/>
          <w:i/>
          <w:sz w:val="20"/>
          <w:szCs w:val="20"/>
        </w:rPr>
        <w:t>Felipe Pereira Noronha</w:t>
      </w:r>
      <w:r>
        <w:rPr>
          <w:rStyle w:val="FootnoteSymbol"/>
          <w:rFonts w:ascii="Times New Roman" w:hAnsi="Times New Roman"/>
          <w:i/>
          <w:sz w:val="20"/>
          <w:szCs w:val="20"/>
        </w:rPr>
        <w:footnoteReference w:id="2"/>
      </w:r>
    </w:p>
    <w:p w:rsidR="00E73FA4" w:rsidRDefault="0020558E">
      <w:pPr>
        <w:pStyle w:val="Standard"/>
        <w:spacing w:after="0" w:line="240" w:lineRule="auto"/>
        <w:jc w:val="right"/>
      </w:pPr>
      <w:r>
        <w:rPr>
          <w:rFonts w:ascii="Times New Roman" w:hAnsi="Times New Roman"/>
          <w:i/>
          <w:sz w:val="20"/>
          <w:szCs w:val="20"/>
        </w:rPr>
        <w:t>Fernanda Colares Maciel Britto</w:t>
      </w:r>
      <w:r>
        <w:rPr>
          <w:rStyle w:val="FootnoteSymbol"/>
          <w:rFonts w:ascii="Times New Roman" w:hAnsi="Times New Roman"/>
          <w:i/>
          <w:sz w:val="20"/>
          <w:szCs w:val="20"/>
        </w:rPr>
        <w:footnoteReference w:id="3"/>
      </w:r>
    </w:p>
    <w:p w:rsidR="00E73FA4" w:rsidRDefault="00E73FA4">
      <w:pPr>
        <w:pStyle w:val="Standard"/>
        <w:spacing w:after="0" w:line="360" w:lineRule="auto"/>
        <w:jc w:val="both"/>
        <w:rPr>
          <w:rFonts w:ascii="Times New Roman" w:hAnsi="Times New Roman"/>
          <w:b/>
          <w:sz w:val="24"/>
          <w:szCs w:val="24"/>
        </w:rPr>
      </w:pPr>
    </w:p>
    <w:p w:rsidR="00B22137" w:rsidRDefault="00B22137">
      <w:pPr>
        <w:pStyle w:val="Standard"/>
        <w:spacing w:after="0" w:line="360" w:lineRule="auto"/>
        <w:jc w:val="both"/>
        <w:rPr>
          <w:rFonts w:ascii="Times New Roman" w:hAnsi="Times New Roman"/>
          <w:b/>
          <w:sz w:val="24"/>
          <w:szCs w:val="24"/>
        </w:rPr>
      </w:pPr>
    </w:p>
    <w:p w:rsidR="00B22137" w:rsidRDefault="00B22137" w:rsidP="00EF1D89">
      <w:pPr>
        <w:pStyle w:val="Standard"/>
        <w:spacing w:after="0" w:line="240" w:lineRule="auto"/>
        <w:ind w:left="4536"/>
        <w:jc w:val="center"/>
        <w:rPr>
          <w:rFonts w:ascii="Times New Roman" w:hAnsi="Times New Roman"/>
          <w:b/>
          <w:sz w:val="20"/>
          <w:szCs w:val="24"/>
        </w:rPr>
      </w:pPr>
      <w:r w:rsidRPr="00B22137">
        <w:rPr>
          <w:rFonts w:ascii="Times New Roman" w:hAnsi="Times New Roman"/>
          <w:b/>
          <w:sz w:val="20"/>
          <w:szCs w:val="24"/>
        </w:rPr>
        <w:t>SUMÁRIO</w:t>
      </w:r>
    </w:p>
    <w:p w:rsidR="002C1472" w:rsidRDefault="002C1472" w:rsidP="00EF1D89">
      <w:pPr>
        <w:pStyle w:val="Standard"/>
        <w:spacing w:after="0" w:line="240" w:lineRule="auto"/>
        <w:ind w:left="4536"/>
        <w:jc w:val="center"/>
        <w:rPr>
          <w:rFonts w:ascii="Times New Roman" w:hAnsi="Times New Roman"/>
          <w:b/>
          <w:sz w:val="20"/>
          <w:szCs w:val="24"/>
        </w:rPr>
      </w:pPr>
    </w:p>
    <w:p w:rsidR="00B22137" w:rsidRPr="005E5AC4" w:rsidRDefault="00B22137" w:rsidP="00EF1D89">
      <w:pPr>
        <w:pStyle w:val="Standard"/>
        <w:spacing w:after="0" w:line="240" w:lineRule="auto"/>
        <w:ind w:left="4536"/>
        <w:jc w:val="both"/>
        <w:rPr>
          <w:rFonts w:ascii="Times New Roman" w:eastAsia="Times New Roman" w:hAnsi="Times New Roman"/>
          <w:kern w:val="0"/>
          <w:sz w:val="20"/>
          <w:szCs w:val="20"/>
          <w:lang w:eastAsia="pt-BR"/>
        </w:rPr>
      </w:pPr>
      <w:r w:rsidRPr="005E5AC4">
        <w:rPr>
          <w:rFonts w:ascii="Times New Roman" w:hAnsi="Times New Roman"/>
          <w:b/>
          <w:sz w:val="20"/>
          <w:szCs w:val="20"/>
        </w:rPr>
        <w:t xml:space="preserve">INTRODUÇÃO; </w:t>
      </w:r>
      <w:r w:rsidR="005E5AC4" w:rsidRPr="005E5AC4">
        <w:rPr>
          <w:rFonts w:ascii="Times New Roman" w:hAnsi="Times New Roman"/>
          <w:b/>
          <w:sz w:val="20"/>
          <w:szCs w:val="20"/>
        </w:rPr>
        <w:t>1 DO INQUÉRITO POLICIAL</w:t>
      </w:r>
      <w:r w:rsidR="005E5AC4">
        <w:rPr>
          <w:rFonts w:ascii="Times New Roman" w:hAnsi="Times New Roman"/>
          <w:b/>
          <w:sz w:val="20"/>
          <w:szCs w:val="20"/>
        </w:rPr>
        <w:t xml:space="preserve">; </w:t>
      </w:r>
      <w:r w:rsidR="005E5AC4" w:rsidRPr="005E5AC4">
        <w:rPr>
          <w:rFonts w:ascii="Times New Roman" w:hAnsi="Times New Roman"/>
          <w:b/>
          <w:sz w:val="20"/>
          <w:szCs w:val="20"/>
        </w:rPr>
        <w:t xml:space="preserve">2 </w:t>
      </w:r>
      <w:r w:rsidR="009A286C">
        <w:rPr>
          <w:rFonts w:ascii="Times New Roman" w:hAnsi="Times New Roman"/>
          <w:b/>
          <w:sz w:val="20"/>
          <w:szCs w:val="20"/>
        </w:rPr>
        <w:t>DO INDICIAMENTO; 2.1 A</w:t>
      </w:r>
      <w:r w:rsidR="009A286C" w:rsidRPr="005E5AC4">
        <w:rPr>
          <w:rFonts w:ascii="Times New Roman" w:hAnsi="Times New Roman"/>
          <w:b/>
          <w:sz w:val="20"/>
          <w:szCs w:val="20"/>
        </w:rPr>
        <w:t xml:space="preserve"> controvérsia do interrogatório</w:t>
      </w:r>
      <w:r w:rsidR="005E5AC4" w:rsidRPr="009A286C">
        <w:rPr>
          <w:rFonts w:ascii="Times New Roman" w:hAnsi="Times New Roman"/>
          <w:b/>
          <w:sz w:val="20"/>
          <w:szCs w:val="20"/>
        </w:rPr>
        <w:t xml:space="preserve">; </w:t>
      </w:r>
      <w:r w:rsidR="009A286C" w:rsidRPr="009A286C">
        <w:rPr>
          <w:rFonts w:ascii="Times New Roman" w:hAnsi="Times New Roman"/>
          <w:b/>
          <w:sz w:val="20"/>
          <w:szCs w:val="20"/>
        </w:rPr>
        <w:t>2.2</w:t>
      </w:r>
      <w:r w:rsidR="005E5AC4" w:rsidRPr="009A286C">
        <w:rPr>
          <w:rFonts w:ascii="Times New Roman" w:hAnsi="Times New Roman"/>
          <w:b/>
          <w:sz w:val="20"/>
          <w:szCs w:val="20"/>
        </w:rPr>
        <w:t xml:space="preserve"> </w:t>
      </w:r>
      <w:r w:rsidR="009A286C">
        <w:rPr>
          <w:rFonts w:ascii="Times New Roman" w:hAnsi="Times New Roman"/>
          <w:b/>
          <w:sz w:val="20"/>
          <w:szCs w:val="20"/>
        </w:rPr>
        <w:t>O marco formal do indiciamento com o advento da Lei 12.830/2013;</w:t>
      </w:r>
      <w:r w:rsidR="005E5AC4" w:rsidRPr="005E5AC4">
        <w:rPr>
          <w:rFonts w:ascii="Times New Roman" w:eastAsia="Times New Roman" w:hAnsi="Times New Roman"/>
          <w:b/>
          <w:bCs/>
          <w:kern w:val="0"/>
          <w:sz w:val="20"/>
          <w:szCs w:val="20"/>
          <w:lang w:eastAsia="pt-BR"/>
        </w:rPr>
        <w:t xml:space="preserve"> </w:t>
      </w:r>
      <w:r w:rsidRPr="005E5AC4">
        <w:rPr>
          <w:rFonts w:ascii="Times New Roman" w:eastAsia="Times New Roman" w:hAnsi="Times New Roman"/>
          <w:b/>
          <w:bCs/>
          <w:kern w:val="0"/>
          <w:sz w:val="20"/>
          <w:szCs w:val="20"/>
          <w:lang w:eastAsia="pt-BR"/>
        </w:rPr>
        <w:t>CONSIDERAÇÕES FINAIS; REFERÊNCIAS</w:t>
      </w:r>
      <w:r w:rsidRPr="005E5AC4">
        <w:rPr>
          <w:rFonts w:ascii="Times New Roman" w:eastAsia="Times New Roman" w:hAnsi="Times New Roman"/>
          <w:kern w:val="0"/>
          <w:sz w:val="20"/>
          <w:szCs w:val="20"/>
          <w:lang w:eastAsia="pt-BR"/>
        </w:rPr>
        <w:t>    </w:t>
      </w:r>
    </w:p>
    <w:p w:rsidR="00B22137" w:rsidRDefault="00B22137" w:rsidP="005E5AC4">
      <w:pPr>
        <w:pStyle w:val="Standard"/>
        <w:spacing w:after="0" w:line="360" w:lineRule="auto"/>
        <w:jc w:val="both"/>
        <w:rPr>
          <w:rFonts w:ascii="Times New Roman" w:hAnsi="Times New Roman"/>
          <w:b/>
          <w:sz w:val="24"/>
          <w:szCs w:val="24"/>
        </w:rPr>
      </w:pPr>
    </w:p>
    <w:p w:rsidR="00B22137" w:rsidRDefault="00B22137">
      <w:pPr>
        <w:pStyle w:val="Standard"/>
        <w:spacing w:after="0" w:line="360" w:lineRule="auto"/>
        <w:jc w:val="both"/>
        <w:rPr>
          <w:rFonts w:ascii="Times New Roman" w:hAnsi="Times New Roman"/>
          <w:b/>
          <w:sz w:val="24"/>
          <w:szCs w:val="24"/>
        </w:rPr>
      </w:pPr>
    </w:p>
    <w:p w:rsidR="00B22137" w:rsidRDefault="00B22137" w:rsidP="00B22137">
      <w:pPr>
        <w:pStyle w:val="Standard"/>
        <w:spacing w:after="0" w:line="360" w:lineRule="auto"/>
        <w:jc w:val="center"/>
        <w:rPr>
          <w:rFonts w:ascii="Times New Roman" w:hAnsi="Times New Roman"/>
          <w:b/>
          <w:sz w:val="24"/>
          <w:szCs w:val="24"/>
        </w:rPr>
      </w:pPr>
      <w:r>
        <w:rPr>
          <w:rFonts w:ascii="Times New Roman" w:hAnsi="Times New Roman"/>
          <w:b/>
          <w:sz w:val="24"/>
          <w:szCs w:val="24"/>
        </w:rPr>
        <w:t>RESUMO</w:t>
      </w:r>
    </w:p>
    <w:p w:rsidR="002B3F52" w:rsidRDefault="002B3F52" w:rsidP="00B22137">
      <w:pPr>
        <w:pStyle w:val="Standard"/>
        <w:spacing w:after="0" w:line="360" w:lineRule="auto"/>
        <w:jc w:val="center"/>
        <w:rPr>
          <w:rFonts w:ascii="Times New Roman" w:hAnsi="Times New Roman"/>
          <w:b/>
          <w:sz w:val="24"/>
          <w:szCs w:val="24"/>
        </w:rPr>
      </w:pPr>
    </w:p>
    <w:p w:rsidR="00666A7D" w:rsidRPr="00BC677B" w:rsidRDefault="00666A7D" w:rsidP="00666A7D">
      <w:pPr>
        <w:pStyle w:val="Standard"/>
        <w:spacing w:after="0" w:line="240" w:lineRule="auto"/>
        <w:jc w:val="both"/>
        <w:rPr>
          <w:rFonts w:ascii="Times New Roman" w:hAnsi="Times New Roman"/>
          <w:sz w:val="24"/>
          <w:szCs w:val="24"/>
        </w:rPr>
      </w:pPr>
      <w:r>
        <w:rPr>
          <w:rFonts w:ascii="Times New Roman" w:hAnsi="Times New Roman"/>
          <w:sz w:val="24"/>
          <w:szCs w:val="24"/>
        </w:rPr>
        <w:t>No presente tr</w:t>
      </w:r>
      <w:r w:rsidR="002E0CB7">
        <w:rPr>
          <w:rFonts w:ascii="Times New Roman" w:hAnsi="Times New Roman"/>
          <w:sz w:val="24"/>
          <w:szCs w:val="24"/>
        </w:rPr>
        <w:t>abalho</w:t>
      </w:r>
      <w:r>
        <w:rPr>
          <w:rFonts w:ascii="Times New Roman" w:hAnsi="Times New Roman"/>
          <w:sz w:val="24"/>
          <w:szCs w:val="24"/>
        </w:rPr>
        <w:t xml:space="preserve"> será descrita a problemática relativa ao momento do indiciame</w:t>
      </w:r>
      <w:r w:rsidR="002E0CB7">
        <w:rPr>
          <w:rFonts w:ascii="Times New Roman" w:hAnsi="Times New Roman"/>
          <w:sz w:val="24"/>
          <w:szCs w:val="24"/>
        </w:rPr>
        <w:t>nto</w:t>
      </w:r>
      <w:r w:rsidR="00FE05FA">
        <w:rPr>
          <w:rFonts w:ascii="Times New Roman" w:hAnsi="Times New Roman"/>
          <w:sz w:val="24"/>
          <w:szCs w:val="24"/>
        </w:rPr>
        <w:t xml:space="preserve"> no inquérito policial antes e depois da Lei 12.830/2013</w:t>
      </w:r>
      <w:r>
        <w:rPr>
          <w:rFonts w:ascii="Times New Roman" w:hAnsi="Times New Roman"/>
          <w:sz w:val="24"/>
          <w:szCs w:val="24"/>
        </w:rPr>
        <w:t xml:space="preserve">. </w:t>
      </w:r>
      <w:r w:rsidR="00FE05FA">
        <w:rPr>
          <w:rFonts w:ascii="Times New Roman" w:hAnsi="Times New Roman"/>
          <w:sz w:val="24"/>
          <w:szCs w:val="24"/>
        </w:rPr>
        <w:t>Em face d</w:t>
      </w:r>
      <w:r>
        <w:rPr>
          <w:rFonts w:ascii="Times New Roman" w:hAnsi="Times New Roman"/>
          <w:sz w:val="24"/>
          <w:szCs w:val="24"/>
        </w:rPr>
        <w:t>a situação</w:t>
      </w:r>
      <w:r w:rsidR="00FE05FA">
        <w:rPr>
          <w:rFonts w:ascii="Times New Roman" w:hAnsi="Times New Roman"/>
          <w:sz w:val="24"/>
          <w:szCs w:val="24"/>
        </w:rPr>
        <w:t xml:space="preserve"> anterior</w:t>
      </w:r>
      <w:r>
        <w:rPr>
          <w:rFonts w:ascii="Times New Roman" w:hAnsi="Times New Roman"/>
          <w:sz w:val="24"/>
          <w:szCs w:val="24"/>
        </w:rPr>
        <w:t>, de não haver regulamentação expressa, levantavam-se diversas discussões quanto à necessidade de uma maior formalização do procedimento administrativo do indiciamento no âmbito das delegacias brasileiras, já que o indiciamento lidava diretamente com a supressão de garantias e direitos fundamentais inerentes à pessoa.</w:t>
      </w:r>
      <w:r w:rsidR="00FE05FA">
        <w:rPr>
          <w:rFonts w:ascii="Times New Roman" w:hAnsi="Times New Roman"/>
          <w:sz w:val="24"/>
          <w:szCs w:val="24"/>
        </w:rPr>
        <w:t xml:space="preserve"> Nesse sentido, o que se pretende no trabalho é a exposição de problemas de ordem prática e doutrinária a respeito </w:t>
      </w:r>
      <w:r w:rsidR="00A05EC6">
        <w:rPr>
          <w:rFonts w:ascii="Times New Roman" w:hAnsi="Times New Roman"/>
          <w:sz w:val="24"/>
          <w:szCs w:val="24"/>
        </w:rPr>
        <w:t xml:space="preserve">do momento de formalização do indiciamento de antes da Lei e o que suprimento da lacuna legal representa do ponto de vista prático para a atividade do delegado de polícia. </w:t>
      </w:r>
    </w:p>
    <w:p w:rsidR="00666A7D" w:rsidRDefault="00666A7D" w:rsidP="00666A7D">
      <w:pPr>
        <w:pStyle w:val="Standard"/>
        <w:spacing w:after="0" w:line="360" w:lineRule="auto"/>
        <w:jc w:val="center"/>
        <w:rPr>
          <w:rFonts w:ascii="Times New Roman" w:hAnsi="Times New Roman"/>
          <w:b/>
          <w:sz w:val="24"/>
          <w:szCs w:val="24"/>
        </w:rPr>
      </w:pPr>
    </w:p>
    <w:p w:rsidR="00B22137" w:rsidRDefault="00666A7D" w:rsidP="00666A7D">
      <w:pPr>
        <w:pStyle w:val="Standard"/>
        <w:spacing w:after="0" w:line="360" w:lineRule="auto"/>
        <w:rPr>
          <w:rFonts w:ascii="Times New Roman" w:hAnsi="Times New Roman"/>
          <w:sz w:val="24"/>
          <w:szCs w:val="24"/>
        </w:rPr>
      </w:pPr>
      <w:r>
        <w:rPr>
          <w:rFonts w:ascii="Times New Roman" w:hAnsi="Times New Roman"/>
          <w:b/>
          <w:sz w:val="24"/>
          <w:szCs w:val="24"/>
        </w:rPr>
        <w:t xml:space="preserve">Palavras-chave: </w:t>
      </w:r>
      <w:r>
        <w:rPr>
          <w:rFonts w:ascii="Times New Roman" w:hAnsi="Times New Roman"/>
          <w:sz w:val="24"/>
          <w:szCs w:val="24"/>
        </w:rPr>
        <w:t xml:space="preserve">Indiciamento. Inquérito Policial. Lei 12.830/2013. </w:t>
      </w:r>
      <w:r w:rsidR="00274A69">
        <w:rPr>
          <w:rFonts w:ascii="Times New Roman" w:hAnsi="Times New Roman"/>
          <w:sz w:val="24"/>
          <w:szCs w:val="24"/>
        </w:rPr>
        <w:t>Momento formal</w:t>
      </w:r>
      <w:bookmarkStart w:id="0" w:name="_GoBack"/>
      <w:bookmarkEnd w:id="0"/>
    </w:p>
    <w:p w:rsidR="00666A7D" w:rsidRDefault="00666A7D" w:rsidP="00666A7D">
      <w:pPr>
        <w:pStyle w:val="Standard"/>
        <w:spacing w:after="0" w:line="360" w:lineRule="auto"/>
        <w:rPr>
          <w:rFonts w:ascii="Times New Roman" w:hAnsi="Times New Roman"/>
          <w:b/>
          <w:sz w:val="24"/>
          <w:szCs w:val="24"/>
        </w:rPr>
      </w:pPr>
    </w:p>
    <w:p w:rsidR="00B22137" w:rsidRDefault="00B22137" w:rsidP="00B22137">
      <w:pPr>
        <w:pStyle w:val="Standard"/>
        <w:spacing w:after="0" w:line="360" w:lineRule="auto"/>
        <w:jc w:val="both"/>
        <w:rPr>
          <w:rFonts w:ascii="Times New Roman" w:hAnsi="Times New Roman"/>
          <w:b/>
          <w:sz w:val="24"/>
          <w:szCs w:val="24"/>
        </w:rPr>
      </w:pPr>
      <w:r>
        <w:rPr>
          <w:rFonts w:ascii="Times New Roman" w:hAnsi="Times New Roman"/>
          <w:b/>
          <w:sz w:val="24"/>
          <w:szCs w:val="24"/>
        </w:rPr>
        <w:t>INTRODUÇÃO</w:t>
      </w:r>
    </w:p>
    <w:p w:rsidR="00BF7D66" w:rsidRDefault="00BF7D66" w:rsidP="00B22137">
      <w:pPr>
        <w:pStyle w:val="Standard"/>
        <w:spacing w:after="0" w:line="360" w:lineRule="auto"/>
        <w:jc w:val="both"/>
        <w:rPr>
          <w:rFonts w:ascii="Times New Roman" w:hAnsi="Times New Roman"/>
          <w:sz w:val="24"/>
          <w:szCs w:val="24"/>
        </w:rPr>
      </w:pPr>
    </w:p>
    <w:p w:rsidR="002B3F52" w:rsidRDefault="002B3F52" w:rsidP="002B3F52">
      <w:pPr>
        <w:spacing w:line="360" w:lineRule="auto"/>
        <w:ind w:firstLine="1134"/>
        <w:jc w:val="both"/>
        <w:rPr>
          <w:color w:val="090909"/>
        </w:rPr>
      </w:pPr>
      <w:r>
        <w:rPr>
          <w:rFonts w:cs="Times New Roman"/>
        </w:rPr>
        <w:t xml:space="preserve">O indiciamento é uma mudança da qualidade do indivíduo no inquérito policial, que deixa de ser suspeito e passa ser indiciado. Porém o Código de Processo Civil possuía </w:t>
      </w:r>
      <w:r>
        <w:rPr>
          <w:rFonts w:cs="Times New Roman"/>
        </w:rPr>
        <w:lastRenderedPageBreak/>
        <w:t>lacuna quanto ao momento e à forma do indiciamento.</w:t>
      </w:r>
      <w:r>
        <w:rPr>
          <w:color w:val="090909"/>
        </w:rPr>
        <w:t xml:space="preserve"> </w:t>
      </w:r>
      <w:proofErr w:type="spellStart"/>
      <w:r>
        <w:rPr>
          <w:color w:val="090909"/>
        </w:rPr>
        <w:t>Aury</w:t>
      </w:r>
      <w:proofErr w:type="spellEnd"/>
      <w:r>
        <w:rPr>
          <w:color w:val="090909"/>
        </w:rPr>
        <w:t xml:space="preserve"> Lopes Jr destacou que um dos maiores problemas do inquérito policial era a falta de um indiciamento formal, ou seja, falta de previsão legal, distanciamento entre a normatividade e a efetividade (2013, p. 431). </w:t>
      </w:r>
    </w:p>
    <w:p w:rsidR="002B3F52" w:rsidRDefault="002B3F52" w:rsidP="002B3F52">
      <w:pPr>
        <w:spacing w:line="360" w:lineRule="auto"/>
        <w:ind w:firstLine="1134"/>
        <w:jc w:val="both"/>
        <w:rPr>
          <w:rFonts w:cs="Times New Roman"/>
        </w:rPr>
      </w:pPr>
      <w:r>
        <w:rPr>
          <w:rFonts w:cs="Times New Roman"/>
        </w:rPr>
        <w:t xml:space="preserve">Assim, a carência de legislação para o ato do indiciamento levava a doutrina e as autoridades a determinarem marcos para este ato, por exemplo, no caso de prisões preventivas e temporárias pelo mandado de prisão, no caso do flagrante delito pela nota de culpa. Essas possibilidades, porém, dizem respeito a medidas cautelares. A maior dificuldade surgia quando não havia privação da liberdade para, de alguma maneira, facilitar a formalização do indiciamento. </w:t>
      </w:r>
    </w:p>
    <w:p w:rsidR="002B3F52" w:rsidRDefault="002B3F52" w:rsidP="002B3F52">
      <w:pPr>
        <w:spacing w:line="360" w:lineRule="auto"/>
        <w:ind w:firstLine="1134"/>
        <w:jc w:val="both"/>
        <w:rPr>
          <w:rFonts w:cs="Times New Roman"/>
        </w:rPr>
      </w:pPr>
      <w:r>
        <w:rPr>
          <w:rFonts w:cs="Times New Roman"/>
        </w:rPr>
        <w:t xml:space="preserve">A partir dessa segunda possibilidade surge a discussão a respeito do interrogatório, diante da divergência ensejada pela sugestão de </w:t>
      </w:r>
      <w:proofErr w:type="spellStart"/>
      <w:r>
        <w:rPr>
          <w:rFonts w:cs="Times New Roman"/>
        </w:rPr>
        <w:t>Aury</w:t>
      </w:r>
      <w:proofErr w:type="spellEnd"/>
      <w:r>
        <w:rPr>
          <w:rFonts w:cs="Times New Roman"/>
        </w:rPr>
        <w:t xml:space="preserve"> Lopes Jr, qual seja, a de que o indiciamento é um consequência do interrogatório. Na medida em que alguns doutrinadores defendem ideia contrária, o interrogatório é consequência do indiciamento. </w:t>
      </w:r>
    </w:p>
    <w:p w:rsidR="002B3F52" w:rsidRDefault="002B3F52" w:rsidP="002B3F52">
      <w:pPr>
        <w:spacing w:line="360" w:lineRule="auto"/>
        <w:ind w:firstLine="1134"/>
        <w:jc w:val="both"/>
        <w:rPr>
          <w:rFonts w:cs="Times New Roman"/>
        </w:rPr>
      </w:pPr>
      <w:r>
        <w:rPr>
          <w:rFonts w:cs="Times New Roman"/>
        </w:rPr>
        <w:t xml:space="preserve">Mas essas questões foram sanadas com o advento da lei 12.830/ 2013 que em seu Artigo 2º, § 6º dispõe: </w:t>
      </w:r>
    </w:p>
    <w:p w:rsidR="002B3F52" w:rsidRDefault="002B3F52" w:rsidP="002B3F52">
      <w:pPr>
        <w:spacing w:line="360" w:lineRule="auto"/>
        <w:ind w:firstLine="1134"/>
        <w:jc w:val="both"/>
        <w:rPr>
          <w:rFonts w:cs="Times New Roman"/>
        </w:rPr>
      </w:pPr>
    </w:p>
    <w:p w:rsidR="002B3F52" w:rsidRPr="003F7CD8" w:rsidRDefault="002B3F52" w:rsidP="002B3F52">
      <w:pPr>
        <w:ind w:left="2268"/>
        <w:jc w:val="both"/>
        <w:rPr>
          <w:rFonts w:cs="Times New Roman"/>
          <w:color w:val="000000"/>
          <w:sz w:val="20"/>
        </w:rPr>
      </w:pPr>
      <w:r w:rsidRPr="003F7CD8">
        <w:rPr>
          <w:rFonts w:cs="Times New Roman"/>
          <w:color w:val="000000"/>
          <w:sz w:val="20"/>
        </w:rPr>
        <w:t>Art. 2</w:t>
      </w:r>
      <w:proofErr w:type="gramStart"/>
      <w:r w:rsidRPr="003F7CD8">
        <w:rPr>
          <w:rFonts w:cs="Times New Roman"/>
          <w:color w:val="000000"/>
          <w:sz w:val="20"/>
          <w:u w:val="single"/>
          <w:vertAlign w:val="superscript"/>
        </w:rPr>
        <w:t>o</w:t>
      </w:r>
      <w:r w:rsidRPr="003F7CD8">
        <w:rPr>
          <w:rStyle w:val="apple-converted-space"/>
          <w:rFonts w:cs="Times New Roman"/>
          <w:color w:val="000000"/>
          <w:sz w:val="20"/>
        </w:rPr>
        <w:t> </w:t>
      </w:r>
      <w:r w:rsidRPr="003F7CD8">
        <w:rPr>
          <w:rFonts w:cs="Times New Roman"/>
          <w:color w:val="000000"/>
          <w:sz w:val="20"/>
        </w:rPr>
        <w:t> As</w:t>
      </w:r>
      <w:proofErr w:type="gramEnd"/>
      <w:r w:rsidRPr="003F7CD8">
        <w:rPr>
          <w:rFonts w:cs="Times New Roman"/>
          <w:color w:val="000000"/>
          <w:sz w:val="20"/>
        </w:rPr>
        <w:t xml:space="preserve"> funções de polícia judiciária e a apuração de infrações penais exercidas pelo delegado de polícia são de natureza jurídica, essenciais e exclusivas de Estado.</w:t>
      </w:r>
    </w:p>
    <w:p w:rsidR="002B3F52" w:rsidRDefault="002B3F52" w:rsidP="002B3F52">
      <w:pPr>
        <w:ind w:left="2268"/>
        <w:jc w:val="both"/>
        <w:rPr>
          <w:rFonts w:cs="Times New Roman"/>
          <w:color w:val="000000"/>
          <w:sz w:val="20"/>
        </w:rPr>
      </w:pPr>
      <w:r w:rsidRPr="003F7CD8">
        <w:rPr>
          <w:rFonts w:cs="Times New Roman"/>
          <w:color w:val="000000"/>
          <w:sz w:val="20"/>
        </w:rPr>
        <w:t> § 6</w:t>
      </w:r>
      <w:proofErr w:type="gramStart"/>
      <w:r w:rsidRPr="003F7CD8">
        <w:rPr>
          <w:rFonts w:cs="Times New Roman"/>
          <w:color w:val="000000"/>
          <w:sz w:val="20"/>
          <w:u w:val="single"/>
          <w:vertAlign w:val="superscript"/>
        </w:rPr>
        <w:t>o</w:t>
      </w:r>
      <w:r w:rsidRPr="003F7CD8">
        <w:rPr>
          <w:rStyle w:val="apple-converted-space"/>
          <w:rFonts w:cs="Times New Roman"/>
          <w:color w:val="000000"/>
          <w:sz w:val="20"/>
        </w:rPr>
        <w:t> </w:t>
      </w:r>
      <w:r w:rsidRPr="003F7CD8">
        <w:rPr>
          <w:rFonts w:cs="Times New Roman"/>
          <w:color w:val="000000"/>
          <w:sz w:val="20"/>
        </w:rPr>
        <w:t> O</w:t>
      </w:r>
      <w:proofErr w:type="gramEnd"/>
      <w:r w:rsidRPr="003F7CD8">
        <w:rPr>
          <w:rFonts w:cs="Times New Roman"/>
          <w:color w:val="000000"/>
          <w:sz w:val="20"/>
        </w:rPr>
        <w:t xml:space="preserve"> indiciamento, privativo do delegado de polícia, dar-se-á por ato fundamentado, mediante análise técnico-jurídica do fato, que deverá indicar a autoria, materialidade e suas circunstâncias.</w:t>
      </w:r>
    </w:p>
    <w:p w:rsidR="002B3F52" w:rsidRPr="003F7CD8" w:rsidRDefault="002B3F52" w:rsidP="002B3F52">
      <w:pPr>
        <w:spacing w:line="360" w:lineRule="auto"/>
        <w:ind w:left="2268"/>
        <w:jc w:val="both"/>
        <w:rPr>
          <w:rFonts w:cs="Times New Roman"/>
        </w:rPr>
      </w:pPr>
    </w:p>
    <w:p w:rsidR="006E5AFA" w:rsidRPr="004C78DD" w:rsidRDefault="002B3F52" w:rsidP="002B3F52">
      <w:pPr>
        <w:spacing w:line="360" w:lineRule="auto"/>
        <w:ind w:firstLine="1134"/>
        <w:jc w:val="both"/>
        <w:rPr>
          <w:rFonts w:cs="Times New Roman"/>
          <w:sz w:val="20"/>
        </w:rPr>
      </w:pPr>
      <w:r>
        <w:rPr>
          <w:rFonts w:cs="Times New Roman"/>
        </w:rPr>
        <w:t>Destarte o que enseja a produção do artigo é a descrição das problemáticas encontradas quanto à formalização do indiciamento antes da previsão normativa e como passa a ser feito com advento da lei. Os autores vislumbram na produção do trabalho a oportunidade de aprofundar os conhecimentos acerca do inquérito policial.</w:t>
      </w:r>
    </w:p>
    <w:p w:rsidR="002B3F52" w:rsidRPr="00BF7D66" w:rsidRDefault="002B3F52" w:rsidP="002B3F52">
      <w:pPr>
        <w:pStyle w:val="Standard"/>
        <w:spacing w:after="0" w:line="360" w:lineRule="auto"/>
        <w:ind w:firstLine="1134"/>
        <w:jc w:val="both"/>
        <w:rPr>
          <w:rFonts w:ascii="Times New Roman" w:hAnsi="Times New Roman"/>
          <w:sz w:val="24"/>
          <w:szCs w:val="24"/>
        </w:rPr>
      </w:pPr>
    </w:p>
    <w:p w:rsidR="00573164" w:rsidRDefault="00573164" w:rsidP="00573164">
      <w:pPr>
        <w:pStyle w:val="Standard"/>
        <w:spacing w:after="0" w:line="360" w:lineRule="auto"/>
        <w:jc w:val="both"/>
        <w:rPr>
          <w:rFonts w:ascii="Times New Roman" w:hAnsi="Times New Roman"/>
          <w:b/>
          <w:sz w:val="24"/>
          <w:szCs w:val="24"/>
        </w:rPr>
      </w:pPr>
      <w:r w:rsidRPr="00573164">
        <w:rPr>
          <w:rFonts w:ascii="Times New Roman" w:hAnsi="Times New Roman"/>
          <w:b/>
          <w:sz w:val="24"/>
          <w:szCs w:val="24"/>
        </w:rPr>
        <w:t xml:space="preserve">1 </w:t>
      </w:r>
      <w:r>
        <w:rPr>
          <w:rFonts w:ascii="Times New Roman" w:hAnsi="Times New Roman"/>
          <w:b/>
          <w:sz w:val="24"/>
          <w:szCs w:val="24"/>
        </w:rPr>
        <w:t>DO INQUÉRITO POLICIAL</w:t>
      </w:r>
    </w:p>
    <w:p w:rsidR="002D1BCF" w:rsidRDefault="002D1BCF" w:rsidP="00573164">
      <w:pPr>
        <w:pStyle w:val="Standard"/>
        <w:spacing w:after="0" w:line="360" w:lineRule="auto"/>
        <w:jc w:val="both"/>
        <w:rPr>
          <w:rFonts w:ascii="Times New Roman" w:hAnsi="Times New Roman"/>
          <w:b/>
          <w:sz w:val="24"/>
          <w:szCs w:val="24"/>
        </w:rPr>
      </w:pPr>
    </w:p>
    <w:p w:rsidR="001C74EF" w:rsidRDefault="007410E9" w:rsidP="006E5AFA">
      <w:pPr>
        <w:spacing w:line="360" w:lineRule="auto"/>
        <w:ind w:firstLine="1134"/>
        <w:jc w:val="both"/>
        <w:rPr>
          <w:rFonts w:cs="Times New Roman"/>
        </w:rPr>
      </w:pPr>
      <w:r>
        <w:rPr>
          <w:rFonts w:cs="Times New Roman"/>
        </w:rPr>
        <w:t xml:space="preserve">O inquérito policial </w:t>
      </w:r>
      <w:r w:rsidR="00D2599A">
        <w:rPr>
          <w:rFonts w:cs="Times New Roman"/>
        </w:rPr>
        <w:t>tem a finalidade de produzir diligências investigativas pra colher todos os p</w:t>
      </w:r>
      <w:r w:rsidR="001C74EF">
        <w:rPr>
          <w:rFonts w:cs="Times New Roman"/>
        </w:rPr>
        <w:t>ossíveis pontos de vista sobre um</w:t>
      </w:r>
      <w:r w:rsidR="00D2599A">
        <w:rPr>
          <w:rFonts w:cs="Times New Roman"/>
        </w:rPr>
        <w:t xml:space="preserve"> fato, observando os direitos fundamentais dos envolvidos, confirmando (ou não) a autoria e </w:t>
      </w:r>
      <w:r w:rsidR="005F43B5">
        <w:rPr>
          <w:rFonts w:cs="Times New Roman"/>
        </w:rPr>
        <w:t xml:space="preserve">a </w:t>
      </w:r>
      <w:r w:rsidR="00D2599A">
        <w:rPr>
          <w:rFonts w:cs="Times New Roman"/>
        </w:rPr>
        <w:t>materialidade</w:t>
      </w:r>
      <w:r w:rsidR="001C74EF">
        <w:rPr>
          <w:rFonts w:cs="Times New Roman"/>
        </w:rPr>
        <w:t xml:space="preserve"> do</w:t>
      </w:r>
      <w:r w:rsidR="005F43B5">
        <w:rPr>
          <w:rFonts w:cs="Times New Roman"/>
        </w:rPr>
        <w:t xml:space="preserve"> crime</w:t>
      </w:r>
      <w:r w:rsidR="00D2599A">
        <w:rPr>
          <w:rFonts w:cs="Times New Roman"/>
        </w:rPr>
        <w:t>. Nesse sentido o que se pretende destacar é a ideia de imparcialidade e autonomia funcional do ofício do delegado de polícia, de modo que este</w:t>
      </w:r>
      <w:r w:rsidR="001C74EF">
        <w:rPr>
          <w:rFonts w:cs="Times New Roman"/>
        </w:rPr>
        <w:t>, enquanto autoridade que conduz o procedimento,</w:t>
      </w:r>
      <w:r w:rsidR="00D2599A">
        <w:rPr>
          <w:rFonts w:cs="Times New Roman"/>
        </w:rPr>
        <w:t xml:space="preserve"> não age a </w:t>
      </w:r>
      <w:r w:rsidR="005F43B5">
        <w:rPr>
          <w:rFonts w:cs="Times New Roman"/>
        </w:rPr>
        <w:t>serviço do Ministério Público e</w:t>
      </w:r>
      <w:r w:rsidR="00D2599A">
        <w:rPr>
          <w:rFonts w:cs="Times New Roman"/>
        </w:rPr>
        <w:t xml:space="preserve"> vítima</w:t>
      </w:r>
      <w:r w:rsidR="005F43B5">
        <w:rPr>
          <w:rFonts w:cs="Times New Roman"/>
        </w:rPr>
        <w:t xml:space="preserve"> ou</w:t>
      </w:r>
      <w:r w:rsidR="00D2599A">
        <w:rPr>
          <w:rFonts w:cs="Times New Roman"/>
        </w:rPr>
        <w:t xml:space="preserve"> contra o investigado</w:t>
      </w:r>
      <w:r w:rsidR="008C14AE">
        <w:rPr>
          <w:rFonts w:cs="Times New Roman"/>
        </w:rPr>
        <w:t xml:space="preserve">, uma vez </w:t>
      </w:r>
      <w:r w:rsidR="001C74EF">
        <w:rPr>
          <w:rFonts w:cs="Times New Roman"/>
        </w:rPr>
        <w:t xml:space="preserve">que </w:t>
      </w:r>
      <w:r w:rsidR="008C14AE">
        <w:rPr>
          <w:rFonts w:cs="Times New Roman"/>
        </w:rPr>
        <w:t xml:space="preserve">a conclusão do inquérito pode levar ou a seu arquivamento </w:t>
      </w:r>
      <w:r w:rsidR="00D73802">
        <w:rPr>
          <w:rFonts w:cs="Times New Roman"/>
        </w:rPr>
        <w:t>ou servir de base para a denúncia</w:t>
      </w:r>
      <w:r w:rsidR="008C14AE">
        <w:rPr>
          <w:rFonts w:cs="Times New Roman"/>
        </w:rPr>
        <w:t xml:space="preserve"> (</w:t>
      </w:r>
      <w:r w:rsidR="00A75726">
        <w:rPr>
          <w:rFonts w:cs="Times New Roman"/>
        </w:rPr>
        <w:t xml:space="preserve">ZANOTTI e </w:t>
      </w:r>
      <w:r w:rsidR="00A75726">
        <w:rPr>
          <w:rFonts w:cs="Times New Roman"/>
        </w:rPr>
        <w:lastRenderedPageBreak/>
        <w:t>SANTOS</w:t>
      </w:r>
      <w:r w:rsidR="008C14AE">
        <w:rPr>
          <w:rFonts w:cs="Times New Roman"/>
        </w:rPr>
        <w:t>, 2013, p.104)</w:t>
      </w:r>
      <w:r w:rsidR="00D2599A">
        <w:rPr>
          <w:rFonts w:cs="Times New Roman"/>
        </w:rPr>
        <w:t>.</w:t>
      </w:r>
      <w:r w:rsidR="008C14AE">
        <w:rPr>
          <w:rFonts w:cs="Times New Roman"/>
        </w:rPr>
        <w:t xml:space="preserve"> </w:t>
      </w:r>
      <w:r w:rsidR="00D2599A">
        <w:rPr>
          <w:rFonts w:cs="Times New Roman"/>
        </w:rPr>
        <w:t>Assim, trata-se de “procedimento administrativo de caráter meramente informativo” (</w:t>
      </w:r>
      <w:r w:rsidR="00A75726">
        <w:rPr>
          <w:rFonts w:cs="Times New Roman"/>
        </w:rPr>
        <w:t>ZANOTTI e SANTOS</w:t>
      </w:r>
      <w:r w:rsidR="00D2599A">
        <w:rPr>
          <w:rFonts w:cs="Times New Roman"/>
        </w:rPr>
        <w:t>, 2013, p. 105)</w:t>
      </w:r>
      <w:r w:rsidR="00402B1F">
        <w:rPr>
          <w:rFonts w:cs="Times New Roman"/>
        </w:rPr>
        <w:t>.</w:t>
      </w:r>
      <w:r w:rsidR="005918B2">
        <w:rPr>
          <w:rFonts w:cs="Times New Roman"/>
        </w:rPr>
        <w:t xml:space="preserve"> Por seu turno e corroborando, Eugênio </w:t>
      </w:r>
      <w:proofErr w:type="spellStart"/>
      <w:r w:rsidR="005918B2">
        <w:rPr>
          <w:rFonts w:cs="Times New Roman"/>
        </w:rPr>
        <w:t>Pacceli</w:t>
      </w:r>
      <w:proofErr w:type="spellEnd"/>
      <w:r w:rsidR="005918B2">
        <w:rPr>
          <w:rFonts w:cs="Times New Roman"/>
        </w:rPr>
        <w:t xml:space="preserve"> de Oliveira conceitua como</w:t>
      </w:r>
      <w:r w:rsidR="005918B2">
        <w:rPr>
          <w:rFonts w:cs="Times New Roman"/>
        </w:rPr>
        <w:t xml:space="preserve"> “procedimento tendente ao cabal e completo esclarecimento do caso penal, destinado pois, à formação do convencimento (</w:t>
      </w:r>
      <w:proofErr w:type="spellStart"/>
      <w:r w:rsidR="005918B2">
        <w:rPr>
          <w:rFonts w:cs="Times New Roman"/>
          <w:i/>
        </w:rPr>
        <w:t>oppinio</w:t>
      </w:r>
      <w:proofErr w:type="spellEnd"/>
      <w:r w:rsidR="005918B2">
        <w:rPr>
          <w:rFonts w:cs="Times New Roman"/>
          <w:i/>
        </w:rPr>
        <w:t xml:space="preserve"> delicti</w:t>
      </w:r>
      <w:r w:rsidR="005918B2">
        <w:rPr>
          <w:rFonts w:cs="Times New Roman"/>
        </w:rPr>
        <w:t>) do responsável pela acusação”</w:t>
      </w:r>
      <w:r w:rsidR="005918B2">
        <w:rPr>
          <w:rFonts w:cs="Times New Roman"/>
        </w:rPr>
        <w:t xml:space="preserve"> </w:t>
      </w:r>
      <w:r w:rsidR="005918B2">
        <w:rPr>
          <w:rFonts w:cs="Times New Roman"/>
        </w:rPr>
        <w:t xml:space="preserve">(2012, p. 53)”. </w:t>
      </w:r>
      <w:r>
        <w:rPr>
          <w:rFonts w:cs="Times New Roman"/>
        </w:rPr>
        <w:t xml:space="preserve"> </w:t>
      </w:r>
    </w:p>
    <w:p w:rsidR="005918B2" w:rsidRDefault="005918B2" w:rsidP="006E5AFA">
      <w:pPr>
        <w:spacing w:line="360" w:lineRule="auto"/>
        <w:ind w:firstLine="1134"/>
        <w:jc w:val="both"/>
        <w:rPr>
          <w:rFonts w:cs="Times New Roman"/>
        </w:rPr>
      </w:pPr>
      <w:r>
        <w:rPr>
          <w:rFonts w:cs="Times New Roman"/>
        </w:rPr>
        <w:t>Vê-se que</w:t>
      </w:r>
      <w:r w:rsidR="001C74EF">
        <w:rPr>
          <w:rFonts w:cs="Times New Roman"/>
        </w:rPr>
        <w:t xml:space="preserve"> a natureza administrativa é uma das características do inquérito policial,</w:t>
      </w:r>
      <w:r>
        <w:rPr>
          <w:rFonts w:cs="Times New Roman"/>
        </w:rPr>
        <w:t xml:space="preserve"> ponto de vista defendido na maioria da doutrina e da jurisprudência,</w:t>
      </w:r>
      <w:r w:rsidR="001C74EF">
        <w:rPr>
          <w:rFonts w:cs="Times New Roman"/>
        </w:rPr>
        <w:t xml:space="preserve"> muito embora haja discordância, por exemplo, por parte do ex-ministro do Supremo Tribunal Federal, Ayres Britto,</w:t>
      </w:r>
      <w:r>
        <w:rPr>
          <w:rFonts w:cs="Times New Roman"/>
        </w:rPr>
        <w:t xml:space="preserve"> que entende que o inquérito não tem nem natureza administrativa nem judicial, pois em ambas se permite o contraditório, assim ele entende ter uma natureza diferente, é um </w:t>
      </w:r>
      <w:proofErr w:type="spellStart"/>
      <w:r>
        <w:rPr>
          <w:rFonts w:cs="Times New Roman"/>
          <w:i/>
        </w:rPr>
        <w:t>tertium</w:t>
      </w:r>
      <w:proofErr w:type="spellEnd"/>
      <w:r>
        <w:rPr>
          <w:rFonts w:cs="Times New Roman"/>
          <w:i/>
        </w:rPr>
        <w:t xml:space="preserve"> genus</w:t>
      </w:r>
      <w:r>
        <w:rPr>
          <w:rFonts w:cs="Times New Roman"/>
        </w:rPr>
        <w:t xml:space="preserve">, um </w:t>
      </w:r>
      <w:proofErr w:type="spellStart"/>
      <w:r>
        <w:rPr>
          <w:rFonts w:cs="Times New Roman"/>
        </w:rPr>
        <w:t>pré</w:t>
      </w:r>
      <w:proofErr w:type="spellEnd"/>
      <w:r>
        <w:rPr>
          <w:rFonts w:cs="Times New Roman"/>
        </w:rPr>
        <w:t>-processo, ou a fase inquisitorial da investigação criminal (</w:t>
      </w:r>
      <w:r w:rsidR="00A75726">
        <w:rPr>
          <w:rFonts w:cs="Times New Roman"/>
        </w:rPr>
        <w:t>ZANOTTI e SANTOS</w:t>
      </w:r>
      <w:r>
        <w:rPr>
          <w:rFonts w:cs="Times New Roman"/>
        </w:rPr>
        <w:t>, 2013, p. 105).</w:t>
      </w:r>
    </w:p>
    <w:p w:rsidR="0083256A" w:rsidRDefault="00C55438" w:rsidP="006E5AFA">
      <w:pPr>
        <w:spacing w:line="360" w:lineRule="auto"/>
        <w:ind w:firstLine="1134"/>
        <w:jc w:val="both"/>
        <w:rPr>
          <w:rFonts w:cs="Times New Roman"/>
        </w:rPr>
      </w:pPr>
      <w:r>
        <w:rPr>
          <w:rFonts w:cs="Times New Roman"/>
        </w:rPr>
        <w:t>O inquérito policial também é uma ferramenta dispensável na medida que qualquer pessoa</w:t>
      </w:r>
      <w:r w:rsidR="00135F4D">
        <w:rPr>
          <w:rFonts w:cs="Times New Roman"/>
        </w:rPr>
        <w:t>, nos casos de ação penal pública,</w:t>
      </w:r>
      <w:r>
        <w:rPr>
          <w:rFonts w:cs="Times New Roman"/>
        </w:rPr>
        <w:t xml:space="preserve"> pode provocar o Ministéri</w:t>
      </w:r>
      <w:r w:rsidR="00F51B78">
        <w:rPr>
          <w:rFonts w:cs="Times New Roman"/>
        </w:rPr>
        <w:t>o Público a iniciar a ação</w:t>
      </w:r>
      <w:r>
        <w:rPr>
          <w:rFonts w:cs="Times New Roman"/>
        </w:rPr>
        <w:t xml:space="preserve">, conforme aduz o artigo </w:t>
      </w:r>
      <w:r w:rsidR="00ED1C0C">
        <w:rPr>
          <w:rFonts w:cs="Times New Roman"/>
        </w:rPr>
        <w:t>27</w:t>
      </w:r>
      <w:r w:rsidR="00ED1C0C">
        <w:rPr>
          <w:rStyle w:val="Refdenotaderodap"/>
          <w:rFonts w:cs="Times New Roman"/>
        </w:rPr>
        <w:footnoteReference w:id="4"/>
      </w:r>
      <w:r w:rsidR="00ED1C0C">
        <w:rPr>
          <w:rFonts w:cs="Times New Roman"/>
        </w:rPr>
        <w:t xml:space="preserve"> do Código de P</w:t>
      </w:r>
      <w:r w:rsidR="00F51B78">
        <w:rPr>
          <w:rFonts w:cs="Times New Roman"/>
        </w:rPr>
        <w:t>rocesso Penal</w:t>
      </w:r>
      <w:r w:rsidR="0083256A">
        <w:rPr>
          <w:rFonts w:cs="Times New Roman"/>
        </w:rPr>
        <w:t xml:space="preserve"> (CPP)</w:t>
      </w:r>
      <w:r w:rsidR="00C30CBF">
        <w:rPr>
          <w:rFonts w:cs="Times New Roman"/>
        </w:rPr>
        <w:t>, observando, por</w:t>
      </w:r>
      <w:r w:rsidR="00F51B78">
        <w:rPr>
          <w:rFonts w:cs="Times New Roman"/>
        </w:rPr>
        <w:t xml:space="preserve"> óbvio,</w:t>
      </w:r>
      <w:r w:rsidR="00ED1C0C">
        <w:rPr>
          <w:rFonts w:cs="Times New Roman"/>
        </w:rPr>
        <w:t xml:space="preserve"> o que preconiza o artigo 28</w:t>
      </w:r>
      <w:r w:rsidR="00ED1C0C">
        <w:rPr>
          <w:rStyle w:val="Refdenotaderodap"/>
          <w:rFonts w:cs="Times New Roman"/>
        </w:rPr>
        <w:footnoteReference w:id="5"/>
      </w:r>
      <w:r w:rsidR="00ED1C0C">
        <w:rPr>
          <w:rFonts w:cs="Times New Roman"/>
        </w:rPr>
        <w:t xml:space="preserve"> do aludido diploma.</w:t>
      </w:r>
    </w:p>
    <w:p w:rsidR="00C30CBF" w:rsidRDefault="0083256A" w:rsidP="006E5AFA">
      <w:pPr>
        <w:spacing w:line="360" w:lineRule="auto"/>
        <w:ind w:firstLine="1134"/>
        <w:jc w:val="both"/>
        <w:rPr>
          <w:rFonts w:cs="Times New Roman"/>
        </w:rPr>
      </w:pPr>
      <w:r>
        <w:rPr>
          <w:rFonts w:cs="Times New Roman"/>
        </w:rPr>
        <w:t>Vale lembrar que todas as peças do inquérito policial devem ser reduzidas a termo conforme o artigo 9</w:t>
      </w:r>
      <w:r w:rsidR="00C30CBF">
        <w:rPr>
          <w:rStyle w:val="Refdenotaderodap"/>
          <w:rFonts w:cs="Times New Roman"/>
        </w:rPr>
        <w:footnoteReference w:id="6"/>
      </w:r>
      <w:r>
        <w:rPr>
          <w:rFonts w:cs="Times New Roman"/>
        </w:rPr>
        <w:t xml:space="preserve"> do CPP, ou seja, a forma escrita também é uma característica do inquérito.</w:t>
      </w:r>
    </w:p>
    <w:p w:rsidR="00070CEA" w:rsidRDefault="00112CEB" w:rsidP="006E5AFA">
      <w:pPr>
        <w:spacing w:line="360" w:lineRule="auto"/>
        <w:ind w:firstLine="1134"/>
        <w:jc w:val="both"/>
        <w:rPr>
          <w:rFonts w:cs="Times New Roman"/>
        </w:rPr>
      </w:pPr>
      <w:r>
        <w:rPr>
          <w:rFonts w:cs="Times New Roman"/>
        </w:rPr>
        <w:t>O sigilo perante a imprensa e ao povo também é, na medida do possível, resguardado no inquérito</w:t>
      </w:r>
      <w:r w:rsidR="004341C1">
        <w:rPr>
          <w:rFonts w:cs="Times New Roman"/>
        </w:rPr>
        <w:t>, uma vez que o vazamento de informações pode atrapalhar o bom andamento das investigações policiais</w:t>
      </w:r>
      <w:r>
        <w:rPr>
          <w:rFonts w:cs="Times New Roman"/>
        </w:rPr>
        <w:t xml:space="preserve">.  </w:t>
      </w:r>
      <w:r w:rsidR="00666A7D">
        <w:rPr>
          <w:rFonts w:cs="Times New Roman"/>
        </w:rPr>
        <w:t>Quanto à figura do advogado esse s</w:t>
      </w:r>
      <w:r w:rsidR="00AF4F4B">
        <w:rPr>
          <w:rFonts w:cs="Times New Roman"/>
        </w:rPr>
        <w:t>igilo não é óbice desde que sejam observados</w:t>
      </w:r>
      <w:r w:rsidR="00666A7D">
        <w:rPr>
          <w:rFonts w:cs="Times New Roman"/>
        </w:rPr>
        <w:t xml:space="preserve"> três pressupostos: o interesse do representado; o exercício do direito de defesa; a documentação dos elementos de prova no inquérito</w:t>
      </w:r>
      <w:r w:rsidR="0010687B">
        <w:rPr>
          <w:rFonts w:cs="Times New Roman"/>
        </w:rPr>
        <w:t xml:space="preserve"> (ZANOTTI</w:t>
      </w:r>
      <w:r w:rsidR="00A75726">
        <w:rPr>
          <w:rFonts w:cs="Times New Roman"/>
        </w:rPr>
        <w:t xml:space="preserve"> e SANTOS</w:t>
      </w:r>
      <w:r w:rsidR="0010687B">
        <w:rPr>
          <w:rFonts w:cs="Times New Roman"/>
        </w:rPr>
        <w:t>, 2013, p106-108)</w:t>
      </w:r>
      <w:r w:rsidR="00666A7D">
        <w:rPr>
          <w:rFonts w:cs="Times New Roman"/>
        </w:rPr>
        <w:t>.</w:t>
      </w:r>
    </w:p>
    <w:p w:rsidR="00742355" w:rsidRDefault="00070CEA" w:rsidP="00742355">
      <w:pPr>
        <w:spacing w:line="360" w:lineRule="auto"/>
        <w:ind w:firstLine="1134"/>
        <w:jc w:val="both"/>
        <w:rPr>
          <w:rFonts w:cs="Times New Roman"/>
        </w:rPr>
      </w:pPr>
      <w:r>
        <w:rPr>
          <w:rFonts w:cs="Times New Roman"/>
        </w:rPr>
        <w:t xml:space="preserve">Outra característica do inquérito policial é que, como já dito, ele é inquisitivo, ou seja, </w:t>
      </w:r>
      <w:r w:rsidR="00742355">
        <w:rPr>
          <w:rFonts w:cs="Times New Roman"/>
        </w:rPr>
        <w:t xml:space="preserve">por ser meramente informativo, </w:t>
      </w:r>
      <w:r>
        <w:rPr>
          <w:rFonts w:cs="Times New Roman"/>
        </w:rPr>
        <w:t>como re</w:t>
      </w:r>
      <w:r w:rsidR="00742355">
        <w:rPr>
          <w:rFonts w:cs="Times New Roman"/>
        </w:rPr>
        <w:t xml:space="preserve">gra, não garante direitos fundamentais de ampla defesa e contraditório. </w:t>
      </w:r>
      <w:r>
        <w:rPr>
          <w:rFonts w:cs="Times New Roman"/>
        </w:rPr>
        <w:t xml:space="preserve"> </w:t>
      </w:r>
      <w:r w:rsidR="006E5AFA">
        <w:rPr>
          <w:rFonts w:cs="Times New Roman"/>
        </w:rPr>
        <w:t xml:space="preserve">A Jurisprudência Nacional atual tem assentado o entendimento de que </w:t>
      </w:r>
      <w:r w:rsidR="006E5AFA">
        <w:rPr>
          <w:rFonts w:cs="Times New Roman"/>
        </w:rPr>
        <w:lastRenderedPageBreak/>
        <w:t>os princípios constitucionais não são aplicados à fase de investigação. Porém tal entendimento vem sendo questionado pela doutrina brasileira, pois esta coloca que é essencial a presença do contraditório no inquérito policial, por ser uma clara exigência constitucional. (OLIVEIRA, 2012, p. 54</w:t>
      </w:r>
      <w:r w:rsidR="00742355">
        <w:rPr>
          <w:rFonts w:cs="Times New Roman"/>
        </w:rPr>
        <w:t>). Corroborando diz Luiz Flávio Gomes que</w:t>
      </w:r>
    </w:p>
    <w:p w:rsidR="00742355" w:rsidRDefault="00742355" w:rsidP="00742355">
      <w:pPr>
        <w:spacing w:line="360" w:lineRule="auto"/>
        <w:ind w:firstLine="1134"/>
        <w:jc w:val="both"/>
        <w:rPr>
          <w:rFonts w:cs="Times New Roman"/>
        </w:rPr>
      </w:pPr>
    </w:p>
    <w:p w:rsidR="004D465A" w:rsidRDefault="00302B9F" w:rsidP="00742355">
      <w:pPr>
        <w:ind w:left="2268"/>
        <w:jc w:val="both"/>
        <w:rPr>
          <w:rFonts w:cs="Times New Roman"/>
          <w:sz w:val="20"/>
        </w:rPr>
      </w:pPr>
      <w:proofErr w:type="gramStart"/>
      <w:r>
        <w:rPr>
          <w:rFonts w:cs="Times New Roman"/>
          <w:sz w:val="20"/>
        </w:rPr>
        <w:t>n</w:t>
      </w:r>
      <w:r w:rsidR="00742355">
        <w:rPr>
          <w:rFonts w:cs="Times New Roman"/>
          <w:sz w:val="20"/>
        </w:rPr>
        <w:t>enhuma</w:t>
      </w:r>
      <w:proofErr w:type="gramEnd"/>
      <w:r w:rsidR="00742355">
        <w:rPr>
          <w:rFonts w:cs="Times New Roman"/>
          <w:sz w:val="20"/>
        </w:rPr>
        <w:t xml:space="preserve"> medida coercitiva contra o suspeito (indiciado) conta com validade jurídica, se ele se encontra à disposição da autoridade investigante, com endereço certo, principalmente quando se acha no “distrito da culpa”, e não foi ouvido em nenhum momento. Nessas circunstâncias não são válidos a investigação e muito menos os atos subsequentes nela fundados: indiciamento, prisão temporária, prisão preventiva ou mesmo o ato da denúncia</w:t>
      </w:r>
      <w:r w:rsidR="004D465A">
        <w:rPr>
          <w:rFonts w:cs="Times New Roman"/>
          <w:sz w:val="20"/>
        </w:rPr>
        <w:t>.</w:t>
      </w:r>
    </w:p>
    <w:p w:rsidR="004D465A" w:rsidRDefault="004D465A" w:rsidP="00742355">
      <w:pPr>
        <w:ind w:left="2268"/>
        <w:jc w:val="both"/>
        <w:rPr>
          <w:rFonts w:cs="Times New Roman"/>
          <w:sz w:val="20"/>
        </w:rPr>
      </w:pPr>
      <w:r>
        <w:rPr>
          <w:rFonts w:cs="Times New Roman"/>
          <w:sz w:val="20"/>
        </w:rPr>
        <w:t>[...]</w:t>
      </w:r>
    </w:p>
    <w:p w:rsidR="00742355" w:rsidRDefault="004D465A" w:rsidP="00742355">
      <w:pPr>
        <w:ind w:left="2268"/>
        <w:jc w:val="both"/>
        <w:rPr>
          <w:rFonts w:cs="Times New Roman"/>
          <w:sz w:val="20"/>
        </w:rPr>
      </w:pPr>
      <w:r>
        <w:rPr>
          <w:rFonts w:cs="Times New Roman"/>
          <w:sz w:val="20"/>
        </w:rPr>
        <w:t xml:space="preserve">Mesmo diante da </w:t>
      </w:r>
      <w:proofErr w:type="spellStart"/>
      <w:r>
        <w:rPr>
          <w:rFonts w:cs="Times New Roman"/>
          <w:sz w:val="20"/>
        </w:rPr>
        <w:t>inquisitividade</w:t>
      </w:r>
      <w:proofErr w:type="spellEnd"/>
      <w:r>
        <w:rPr>
          <w:rFonts w:cs="Times New Roman"/>
          <w:sz w:val="20"/>
        </w:rPr>
        <w:t xml:space="preserve"> do inquérito policial e, pois, de qualquer outro procedimento investigatório preliminar, é certo que uma série de direitos (do suspeito) devem ser estritamente observados. Não há que se falar e, contraditório ou ampla defesa nessa fase, mas </w:t>
      </w:r>
      <w:r w:rsidR="00302B9F">
        <w:rPr>
          <w:rFonts w:cs="Times New Roman"/>
          <w:sz w:val="20"/>
        </w:rPr>
        <w:t xml:space="preserve">isso não significa que o averiguado esteja impedido de participar dos atos de investigação (para exercer ao menos sua autodefesa), que não possa requerer diligências (nos termos do artigo 14 do CPP), que seu advogado não tenha direito de manusear os autos do inquérito policial, findo ou em andamento, podendo extrair cópias e fazer anotações, nos termos do artigo 7º, XIV, do Estatuto da Advocacia, que não tenha direito de silencia, que não tenha direito de se entrevistar com seu advogado, que não tenha direito de assistência da família e de advogado etc..    </w:t>
      </w:r>
      <w:r>
        <w:rPr>
          <w:rFonts w:cs="Times New Roman"/>
          <w:sz w:val="20"/>
        </w:rPr>
        <w:t xml:space="preserve"> </w:t>
      </w:r>
      <w:r w:rsidR="00742355">
        <w:rPr>
          <w:rFonts w:cs="Times New Roman"/>
          <w:sz w:val="20"/>
        </w:rPr>
        <w:t xml:space="preserve"> (</w:t>
      </w:r>
      <w:proofErr w:type="gramStart"/>
      <w:r w:rsidR="00742355">
        <w:rPr>
          <w:rFonts w:cs="Times New Roman"/>
          <w:i/>
          <w:sz w:val="20"/>
        </w:rPr>
        <w:t>apud</w:t>
      </w:r>
      <w:proofErr w:type="gramEnd"/>
      <w:r w:rsidR="00742355">
        <w:rPr>
          <w:rFonts w:cs="Times New Roman"/>
          <w:i/>
          <w:sz w:val="20"/>
        </w:rPr>
        <w:t xml:space="preserve"> </w:t>
      </w:r>
      <w:r w:rsidR="00742355">
        <w:rPr>
          <w:rFonts w:cs="Times New Roman"/>
          <w:sz w:val="20"/>
        </w:rPr>
        <w:t>ZANOTTI</w:t>
      </w:r>
      <w:r w:rsidR="00A75726">
        <w:rPr>
          <w:rFonts w:cs="Times New Roman"/>
          <w:sz w:val="20"/>
        </w:rPr>
        <w:t xml:space="preserve"> e SANTOS</w:t>
      </w:r>
      <w:r w:rsidR="00742355">
        <w:rPr>
          <w:rFonts w:cs="Times New Roman"/>
          <w:sz w:val="20"/>
        </w:rPr>
        <w:t xml:space="preserve">, 2013, p. 110). </w:t>
      </w:r>
    </w:p>
    <w:p w:rsidR="00302B9F" w:rsidRDefault="00302B9F" w:rsidP="00302B9F">
      <w:pPr>
        <w:jc w:val="both"/>
        <w:rPr>
          <w:rFonts w:cs="Times New Roman"/>
          <w:sz w:val="20"/>
        </w:rPr>
      </w:pPr>
    </w:p>
    <w:p w:rsidR="00990E74" w:rsidRDefault="003D367E" w:rsidP="003D367E">
      <w:pPr>
        <w:spacing w:line="360" w:lineRule="auto"/>
        <w:ind w:firstLine="993"/>
        <w:jc w:val="both"/>
        <w:rPr>
          <w:rFonts w:cs="Times New Roman"/>
        </w:rPr>
      </w:pPr>
      <w:r>
        <w:rPr>
          <w:rFonts w:cs="Times New Roman"/>
        </w:rPr>
        <w:t>V</w:t>
      </w:r>
      <w:r w:rsidR="00C30531">
        <w:rPr>
          <w:rFonts w:cs="Times New Roman"/>
        </w:rPr>
        <w:t>ê-se</w:t>
      </w:r>
      <w:r>
        <w:rPr>
          <w:rFonts w:cs="Times New Roman"/>
        </w:rPr>
        <w:t xml:space="preserve"> então que </w:t>
      </w:r>
      <w:r w:rsidR="00C30531">
        <w:rPr>
          <w:rFonts w:cs="Times New Roman"/>
        </w:rPr>
        <w:t>é mitigada a característica</w:t>
      </w:r>
      <w:r>
        <w:rPr>
          <w:rFonts w:cs="Times New Roman"/>
        </w:rPr>
        <w:t xml:space="preserve"> </w:t>
      </w:r>
      <w:r w:rsidR="00C30531">
        <w:rPr>
          <w:rFonts w:cs="Times New Roman"/>
        </w:rPr>
        <w:t>inquisitória</w:t>
      </w:r>
      <w:r>
        <w:rPr>
          <w:rFonts w:cs="Times New Roman"/>
        </w:rPr>
        <w:t xml:space="preserve"> do inquérito policial. Deve-se considerar no entanto que cabe à autoridade policial observar a aplicação ou não do contradit</w:t>
      </w:r>
      <w:r w:rsidR="00C30531">
        <w:rPr>
          <w:rFonts w:cs="Times New Roman"/>
        </w:rPr>
        <w:t>ório e da ampla defesa se for observado ser o</w:t>
      </w:r>
      <w:r>
        <w:rPr>
          <w:rFonts w:cs="Times New Roman"/>
        </w:rPr>
        <w:t xml:space="preserve"> melhor para o bom andamento das investigações. </w:t>
      </w:r>
      <w:r w:rsidR="00C30531">
        <w:rPr>
          <w:rFonts w:cs="Times New Roman"/>
        </w:rPr>
        <w:t>Assim, o delegado de polícia verifica a r</w:t>
      </w:r>
      <w:r w:rsidR="00AA3B8C">
        <w:rPr>
          <w:rFonts w:cs="Times New Roman"/>
        </w:rPr>
        <w:t>azoabilidade dessas garantias</w:t>
      </w:r>
      <w:r w:rsidR="00990E74">
        <w:rPr>
          <w:rFonts w:cs="Times New Roman"/>
        </w:rPr>
        <w:t xml:space="preserve"> (ZANOTTI</w:t>
      </w:r>
      <w:r w:rsidR="00A75726">
        <w:rPr>
          <w:rFonts w:cs="Times New Roman"/>
        </w:rPr>
        <w:t xml:space="preserve"> e SANTOS</w:t>
      </w:r>
      <w:r w:rsidR="00990E74">
        <w:rPr>
          <w:rFonts w:cs="Times New Roman"/>
        </w:rPr>
        <w:t>, 2013, p. 111-112)</w:t>
      </w:r>
      <w:r w:rsidR="00AA3B8C">
        <w:rPr>
          <w:rFonts w:cs="Times New Roman"/>
        </w:rPr>
        <w:t>.</w:t>
      </w:r>
    </w:p>
    <w:p w:rsidR="000721F6" w:rsidRDefault="00883EFE" w:rsidP="003D367E">
      <w:pPr>
        <w:spacing w:line="360" w:lineRule="auto"/>
        <w:ind w:firstLine="993"/>
        <w:jc w:val="both"/>
        <w:rPr>
          <w:rFonts w:cs="Times New Roman"/>
        </w:rPr>
      </w:pPr>
      <w:r>
        <w:rPr>
          <w:rFonts w:cs="Times New Roman"/>
        </w:rPr>
        <w:t>Uma vez iniciado o inquérito policial, o delegado não tem autoridade para realizar o seu arquivamento. Trata-se de determinação legal prevista no artigo 17</w:t>
      </w:r>
      <w:r>
        <w:rPr>
          <w:rStyle w:val="Refdenotaderodap"/>
          <w:rFonts w:cs="Times New Roman"/>
        </w:rPr>
        <w:footnoteReference w:id="7"/>
      </w:r>
      <w:r>
        <w:rPr>
          <w:rFonts w:cs="Times New Roman"/>
        </w:rPr>
        <w:t xml:space="preserve"> do CPP</w:t>
      </w:r>
      <w:r w:rsidR="000721F6">
        <w:rPr>
          <w:rFonts w:cs="Times New Roman"/>
        </w:rPr>
        <w:t>. Assim, outra característica do inquérito é a indisponibilidade</w:t>
      </w:r>
      <w:r w:rsidR="00261760">
        <w:rPr>
          <w:rFonts w:cs="Times New Roman"/>
        </w:rPr>
        <w:t xml:space="preserve"> </w:t>
      </w:r>
      <w:r w:rsidR="00261760">
        <w:rPr>
          <w:rFonts w:cs="Times New Roman"/>
        </w:rPr>
        <w:t>(ZANOTTI</w:t>
      </w:r>
      <w:r w:rsidR="00A75726">
        <w:rPr>
          <w:rFonts w:cs="Times New Roman"/>
        </w:rPr>
        <w:t xml:space="preserve"> e SANTOS</w:t>
      </w:r>
      <w:r w:rsidR="00261760">
        <w:rPr>
          <w:rFonts w:cs="Times New Roman"/>
        </w:rPr>
        <w:t xml:space="preserve">, 2013, p. </w:t>
      </w:r>
      <w:r w:rsidR="00261760">
        <w:rPr>
          <w:rFonts w:cs="Times New Roman"/>
        </w:rPr>
        <w:t>113</w:t>
      </w:r>
      <w:r w:rsidR="00261760">
        <w:rPr>
          <w:rFonts w:cs="Times New Roman"/>
        </w:rPr>
        <w:t>).</w:t>
      </w:r>
      <w:r w:rsidR="000721F6">
        <w:rPr>
          <w:rFonts w:cs="Times New Roman"/>
        </w:rPr>
        <w:t xml:space="preserve">  </w:t>
      </w:r>
    </w:p>
    <w:p w:rsidR="000721F6" w:rsidRDefault="000721F6" w:rsidP="003D367E">
      <w:pPr>
        <w:spacing w:line="360" w:lineRule="auto"/>
        <w:ind w:firstLine="993"/>
        <w:jc w:val="both"/>
        <w:rPr>
          <w:rFonts w:cs="Times New Roman"/>
        </w:rPr>
      </w:pPr>
      <w:r>
        <w:rPr>
          <w:rFonts w:cs="Times New Roman"/>
        </w:rPr>
        <w:t xml:space="preserve">Somente órgãos oficiais, as Polícias Civil e Federal e o Delegado de Polícia são responsáveis por conduzir o processo investigatório. Assim, outra característica é a oficialidade. </w:t>
      </w:r>
    </w:p>
    <w:p w:rsidR="00261760" w:rsidRDefault="000721F6" w:rsidP="00261760">
      <w:pPr>
        <w:spacing w:line="360" w:lineRule="auto"/>
        <w:ind w:firstLine="993"/>
        <w:jc w:val="both"/>
        <w:rPr>
          <w:rFonts w:cs="Times New Roman"/>
        </w:rPr>
      </w:pPr>
      <w:r>
        <w:rPr>
          <w:rFonts w:cs="Times New Roman"/>
        </w:rPr>
        <w:t>Por fim, a última característica do inquérito policial é a sua tramitação de ofício, oficiosidade</w:t>
      </w:r>
      <w:r w:rsidR="00261760">
        <w:rPr>
          <w:rFonts w:cs="Times New Roman"/>
        </w:rPr>
        <w:t xml:space="preserve"> </w:t>
      </w:r>
      <w:r w:rsidR="00261760">
        <w:rPr>
          <w:rFonts w:cs="Times New Roman"/>
        </w:rPr>
        <w:t>(ZANOTTI</w:t>
      </w:r>
      <w:r w:rsidR="00A75726">
        <w:rPr>
          <w:rFonts w:cs="Times New Roman"/>
        </w:rPr>
        <w:t xml:space="preserve"> e SANTOS</w:t>
      </w:r>
      <w:r w:rsidR="00261760">
        <w:rPr>
          <w:rFonts w:cs="Times New Roman"/>
        </w:rPr>
        <w:t xml:space="preserve">, 2013, p. </w:t>
      </w:r>
      <w:r w:rsidR="00261760">
        <w:rPr>
          <w:rFonts w:cs="Times New Roman"/>
        </w:rPr>
        <w:t>113</w:t>
      </w:r>
      <w:r w:rsidR="00261760">
        <w:rPr>
          <w:rFonts w:cs="Times New Roman"/>
        </w:rPr>
        <w:t>).</w:t>
      </w:r>
    </w:p>
    <w:p w:rsidR="00261760" w:rsidRDefault="00B97ED1" w:rsidP="00B97ED1">
      <w:pPr>
        <w:spacing w:line="360" w:lineRule="auto"/>
        <w:ind w:firstLine="993"/>
        <w:jc w:val="both"/>
        <w:rPr>
          <w:rFonts w:cs="Times New Roman"/>
        </w:rPr>
      </w:pPr>
      <w:r>
        <w:rPr>
          <w:rFonts w:cs="Times New Roman"/>
        </w:rPr>
        <w:t>Parte da doutrina como Greco Filho diz que “i</w:t>
      </w:r>
      <w:r w:rsidR="00261760" w:rsidRPr="00261760">
        <w:rPr>
          <w:rFonts w:cs="Times New Roman"/>
        </w:rPr>
        <w:t>nstaura-se formalmente o inquérito de ofício, por portaria da autoridade policial, pela lavratura de flagrante, mediante representação do ofendido ou requisição do juiz ou do Ministério Público, devendo todas as peças do inquérito ser, num só processado, reduzidas a escrito ou datilografadas</w:t>
      </w:r>
      <w:r>
        <w:rPr>
          <w:rFonts w:cs="Times New Roman"/>
        </w:rPr>
        <w:t xml:space="preserve">” (2012, e-book, p.95). No entanto </w:t>
      </w:r>
      <w:proofErr w:type="spellStart"/>
      <w:r>
        <w:rPr>
          <w:rFonts w:cs="Times New Roman"/>
        </w:rPr>
        <w:t>Zanotti</w:t>
      </w:r>
      <w:proofErr w:type="spellEnd"/>
      <w:r>
        <w:rPr>
          <w:rFonts w:cs="Times New Roman"/>
        </w:rPr>
        <w:t xml:space="preserve"> e Santos discordam abordando a seguinte perspectiva: </w:t>
      </w:r>
    </w:p>
    <w:p w:rsidR="00A75726" w:rsidRDefault="00A75726" w:rsidP="00B97ED1">
      <w:pPr>
        <w:spacing w:line="360" w:lineRule="auto"/>
        <w:ind w:firstLine="993"/>
        <w:jc w:val="both"/>
        <w:rPr>
          <w:rFonts w:cs="Times New Roman"/>
        </w:rPr>
      </w:pPr>
    </w:p>
    <w:p w:rsidR="003E576D" w:rsidRDefault="00A75726" w:rsidP="00A75726">
      <w:pPr>
        <w:ind w:left="2268"/>
        <w:jc w:val="both"/>
        <w:rPr>
          <w:rFonts w:cs="Times New Roman"/>
          <w:sz w:val="20"/>
        </w:rPr>
      </w:pPr>
      <w:r>
        <w:rPr>
          <w:rFonts w:cs="Times New Roman"/>
          <w:sz w:val="20"/>
        </w:rPr>
        <w:t xml:space="preserve">O inquérito policial somente pode ser instaurado de duas formas: por portaria ou por auto de prisão em flagrante delito. As requisições do Ministério Público e do Ministério da Justiça, bem como a representação do ofendido, não são formas de instauração do inquérito policial. A requisição do Ministro da Justiça e a representação do ofendido são condições de procedibilidade para a instauração do inquérito policial por portaria ou lavratura do auto de prisão em flagrante. Já a requisição do Ministério Público, após análise pela Autoridade Policial, poderá gerar a instauração de um inquérito policial por portaria. Apesar de parte da doutrina sustentar que a requisição do Ministério Público seja uma forma de instauração do inquérito policial, o artigo 129, inciso VIII, da Constituição Federal, aponta como função </w:t>
      </w:r>
      <w:r w:rsidR="00CE4156">
        <w:rPr>
          <w:rFonts w:cs="Times New Roman"/>
          <w:sz w:val="20"/>
        </w:rPr>
        <w:t xml:space="preserve">institucional do Ministério Público a possibilidade de </w:t>
      </w:r>
      <w:r w:rsidR="00CE4156">
        <w:rPr>
          <w:rFonts w:cs="Times New Roman"/>
          <w:sz w:val="20"/>
          <w:u w:val="single"/>
        </w:rPr>
        <w:t>requisitar</w:t>
      </w:r>
      <w:r w:rsidR="00CE4156">
        <w:rPr>
          <w:rFonts w:cs="Times New Roman"/>
          <w:sz w:val="20"/>
        </w:rPr>
        <w:t xml:space="preserve"> [grifo nosso] a instauração do inquérito policial e não, de ele próprio, proceder a sua instauração, o que só pode ser feito, por portaria, pela Autoridade Policial (2013, p. 116). </w:t>
      </w:r>
    </w:p>
    <w:p w:rsidR="003E576D" w:rsidRDefault="003E576D" w:rsidP="003E576D">
      <w:pPr>
        <w:spacing w:line="360" w:lineRule="auto"/>
        <w:jc w:val="both"/>
        <w:rPr>
          <w:rFonts w:cs="Times New Roman"/>
        </w:rPr>
      </w:pPr>
    </w:p>
    <w:p w:rsidR="00742355" w:rsidRDefault="009D3334" w:rsidP="00742355">
      <w:pPr>
        <w:spacing w:line="360" w:lineRule="auto"/>
        <w:ind w:firstLine="1134"/>
        <w:jc w:val="both"/>
        <w:rPr>
          <w:rFonts w:cs="Times New Roman"/>
        </w:rPr>
      </w:pPr>
      <w:r>
        <w:rPr>
          <w:rFonts w:cs="Times New Roman"/>
        </w:rPr>
        <w:t xml:space="preserve">Visto isto, a competência, a forma de </w:t>
      </w:r>
      <w:proofErr w:type="gramStart"/>
      <w:r>
        <w:rPr>
          <w:rFonts w:cs="Times New Roman"/>
        </w:rPr>
        <w:t>início  e</w:t>
      </w:r>
      <w:proofErr w:type="gramEnd"/>
      <w:r>
        <w:rPr>
          <w:rFonts w:cs="Times New Roman"/>
        </w:rPr>
        <w:t xml:space="preserve"> as características do inquérito policial, passa-se agora à análise do indiciamento enquanto um dos elementos possíveis do inquérito diante do convencimento acerca da materialidade e autoria do crime. </w:t>
      </w:r>
    </w:p>
    <w:p w:rsidR="006E5AFA" w:rsidRDefault="006E5AFA" w:rsidP="00573164">
      <w:pPr>
        <w:pStyle w:val="Standard"/>
        <w:spacing w:after="0" w:line="360" w:lineRule="auto"/>
        <w:jc w:val="both"/>
        <w:rPr>
          <w:rFonts w:ascii="Times New Roman" w:hAnsi="Times New Roman"/>
          <w:b/>
          <w:sz w:val="24"/>
          <w:szCs w:val="24"/>
        </w:rPr>
      </w:pPr>
    </w:p>
    <w:p w:rsidR="002D1BCF" w:rsidRDefault="007D036C" w:rsidP="00573164">
      <w:pPr>
        <w:pStyle w:val="Standard"/>
        <w:spacing w:after="0" w:line="360" w:lineRule="auto"/>
        <w:jc w:val="both"/>
        <w:rPr>
          <w:rFonts w:ascii="Times New Roman" w:hAnsi="Times New Roman"/>
          <w:b/>
          <w:sz w:val="24"/>
          <w:szCs w:val="24"/>
        </w:rPr>
      </w:pPr>
      <w:r>
        <w:rPr>
          <w:rFonts w:ascii="Times New Roman" w:hAnsi="Times New Roman"/>
          <w:b/>
          <w:sz w:val="24"/>
          <w:szCs w:val="24"/>
        </w:rPr>
        <w:t>2 DO INDICIMANTO</w:t>
      </w:r>
    </w:p>
    <w:p w:rsidR="007D036C" w:rsidRDefault="007D036C" w:rsidP="007D036C">
      <w:pPr>
        <w:spacing w:line="360" w:lineRule="auto"/>
        <w:jc w:val="both"/>
        <w:rPr>
          <w:rFonts w:cs="Times New Roman"/>
        </w:rPr>
      </w:pPr>
    </w:p>
    <w:p w:rsidR="006E5AFA" w:rsidRDefault="006E5AFA" w:rsidP="006E5AFA">
      <w:pPr>
        <w:spacing w:line="360" w:lineRule="auto"/>
        <w:ind w:firstLine="1134"/>
        <w:jc w:val="both"/>
        <w:rPr>
          <w:rFonts w:cs="Times New Roman"/>
        </w:rPr>
      </w:pPr>
      <w:r>
        <w:rPr>
          <w:rFonts w:cs="Times New Roman"/>
        </w:rPr>
        <w:t xml:space="preserve">Segundo </w:t>
      </w:r>
      <w:proofErr w:type="spellStart"/>
      <w:r>
        <w:rPr>
          <w:rFonts w:cs="Times New Roman"/>
        </w:rPr>
        <w:t>Zanoti</w:t>
      </w:r>
      <w:proofErr w:type="spellEnd"/>
      <w:r>
        <w:rPr>
          <w:rFonts w:cs="Times New Roman"/>
        </w:rPr>
        <w:t xml:space="preserve"> </w:t>
      </w:r>
      <w:r w:rsidR="00A75726">
        <w:rPr>
          <w:rFonts w:cs="Times New Roman"/>
        </w:rPr>
        <w:t xml:space="preserve">e Santos </w:t>
      </w:r>
      <w:r>
        <w:rPr>
          <w:rFonts w:cs="Times New Roman"/>
        </w:rPr>
        <w:t>(2013, p. 161) “o indiciamento consiste no ato formal de se atribuir a autoria de uma infração penal típica, antijurídica e culpável a uma pessoa determinada”.  O indiciamento necessita do cumprimento de alguns pressupostos de acordo com o artigo 2º §6º da lei 12.830/13 que diz o seguinte “o</w:t>
      </w:r>
      <w:r w:rsidRPr="00BB5FFB">
        <w:rPr>
          <w:rFonts w:cs="Times New Roman"/>
        </w:rPr>
        <w:t xml:space="preserve"> indiciamento, privativo do delegado de polícia dar-se-á por ato fundamentado, mediante análise técnico-jurídica do fato, que deverá indicar a autoria, materialidade e suas circunstâncias</w:t>
      </w:r>
      <w:r>
        <w:rPr>
          <w:rFonts w:cs="Times New Roman"/>
        </w:rPr>
        <w:t>”</w:t>
      </w:r>
      <w:r w:rsidRPr="00BB5FFB">
        <w:rPr>
          <w:rFonts w:cs="Times New Roman"/>
        </w:rPr>
        <w:t>.</w:t>
      </w:r>
      <w:r>
        <w:rPr>
          <w:rFonts w:cs="Times New Roman"/>
          <w:sz w:val="20"/>
        </w:rPr>
        <w:t xml:space="preserve">    </w:t>
      </w:r>
    </w:p>
    <w:p w:rsidR="006E5AFA" w:rsidRDefault="006E5AFA" w:rsidP="006E5AFA">
      <w:pPr>
        <w:pStyle w:val="NormalWeb"/>
        <w:tabs>
          <w:tab w:val="left" w:pos="3150"/>
        </w:tabs>
        <w:spacing w:before="0" w:after="0" w:line="360" w:lineRule="auto"/>
        <w:ind w:firstLine="1134"/>
        <w:jc w:val="both"/>
        <w:rPr>
          <w:color w:val="090909"/>
        </w:rPr>
      </w:pPr>
      <w:r>
        <w:rPr>
          <w:color w:val="090909"/>
        </w:rPr>
        <w:t xml:space="preserve">Assim, o indiciamento objetiva precisar a autoria, materialidade de circunstâncias do crime, através de análise técnica pelo delegado de polícia. Caso se proceda errado no preenchimento desses requisitos incorrerá em constrangimento ilegal, sendo cabível </w:t>
      </w:r>
      <w:r>
        <w:rPr>
          <w:i/>
          <w:color w:val="090909"/>
        </w:rPr>
        <w:t>habeas corpus</w:t>
      </w:r>
      <w:r>
        <w:rPr>
          <w:color w:val="090909"/>
        </w:rPr>
        <w:t xml:space="preserve"> (</w:t>
      </w:r>
      <w:r w:rsidR="00A75726">
        <w:t>ZANOTTI e SANTOS</w:t>
      </w:r>
      <w:r>
        <w:rPr>
          <w:color w:val="090909"/>
        </w:rPr>
        <w:t>, 2013, p. 161).</w:t>
      </w:r>
    </w:p>
    <w:p w:rsidR="006E5AFA" w:rsidRDefault="006E5AFA" w:rsidP="006E5AFA">
      <w:pPr>
        <w:pStyle w:val="NormalWeb"/>
        <w:tabs>
          <w:tab w:val="left" w:pos="3150"/>
        </w:tabs>
        <w:spacing w:before="0" w:after="0" w:line="360" w:lineRule="auto"/>
        <w:ind w:firstLine="1134"/>
        <w:jc w:val="both"/>
        <w:rPr>
          <w:color w:val="090909"/>
        </w:rPr>
      </w:pPr>
      <w:r>
        <w:rPr>
          <w:color w:val="090909"/>
        </w:rPr>
        <w:t>O ato de estar foragido ou não implica na classificação do indiciamento. Se o sujeito não estiver foragido o indiciamento será direto. Se estiver foragido ou em local desconhecido o indiciamento será indireto. (</w:t>
      </w:r>
      <w:r w:rsidR="00A75726">
        <w:t>ZANOTTI e SANTOS</w:t>
      </w:r>
      <w:r>
        <w:rPr>
          <w:color w:val="090909"/>
        </w:rPr>
        <w:t xml:space="preserve">,2013, p.162). </w:t>
      </w:r>
    </w:p>
    <w:p w:rsidR="006E5AFA" w:rsidRDefault="006E5AFA" w:rsidP="006E5AFA">
      <w:pPr>
        <w:pStyle w:val="NormalWeb"/>
        <w:tabs>
          <w:tab w:val="left" w:pos="3150"/>
        </w:tabs>
        <w:spacing w:before="0" w:after="0" w:line="360" w:lineRule="auto"/>
        <w:ind w:firstLine="1134"/>
        <w:jc w:val="both"/>
        <w:rPr>
          <w:color w:val="090909"/>
        </w:rPr>
      </w:pPr>
      <w:r>
        <w:rPr>
          <w:color w:val="090909"/>
        </w:rPr>
        <w:t>Como consequências do indiciamento destaca</w:t>
      </w:r>
      <w:r w:rsidR="00A75726">
        <w:rPr>
          <w:color w:val="090909"/>
        </w:rPr>
        <w:t>m</w:t>
      </w:r>
      <w:r>
        <w:rPr>
          <w:color w:val="090909"/>
        </w:rPr>
        <w:t xml:space="preserve"> </w:t>
      </w:r>
      <w:proofErr w:type="spellStart"/>
      <w:r>
        <w:rPr>
          <w:color w:val="090909"/>
        </w:rPr>
        <w:t>Zanoti</w:t>
      </w:r>
      <w:proofErr w:type="spellEnd"/>
      <w:r w:rsidR="00A75726">
        <w:rPr>
          <w:color w:val="090909"/>
        </w:rPr>
        <w:t xml:space="preserve"> e Santos</w:t>
      </w:r>
      <w:r>
        <w:rPr>
          <w:color w:val="090909"/>
        </w:rPr>
        <w:t xml:space="preserve"> o seguinte: </w:t>
      </w:r>
    </w:p>
    <w:p w:rsidR="006E5AFA" w:rsidRDefault="006E5AFA" w:rsidP="006E5AFA">
      <w:pPr>
        <w:pStyle w:val="NormalWeb"/>
        <w:tabs>
          <w:tab w:val="left" w:pos="3150"/>
        </w:tabs>
        <w:spacing w:before="0" w:after="0" w:line="360" w:lineRule="auto"/>
        <w:ind w:firstLine="1134"/>
        <w:jc w:val="both"/>
        <w:rPr>
          <w:color w:val="090909"/>
        </w:rPr>
      </w:pPr>
      <w:r>
        <w:rPr>
          <w:color w:val="090909"/>
        </w:rPr>
        <w:t xml:space="preserve">   </w:t>
      </w:r>
    </w:p>
    <w:p w:rsidR="006E5AFA" w:rsidRDefault="006E5AFA" w:rsidP="006E5AFA">
      <w:pPr>
        <w:pStyle w:val="NormalWeb"/>
        <w:tabs>
          <w:tab w:val="left" w:pos="3150"/>
        </w:tabs>
        <w:spacing w:before="0" w:after="0"/>
        <w:ind w:left="2268"/>
        <w:jc w:val="both"/>
        <w:rPr>
          <w:color w:val="090909"/>
          <w:sz w:val="20"/>
        </w:rPr>
      </w:pPr>
      <w:r>
        <w:rPr>
          <w:color w:val="090909"/>
          <w:sz w:val="20"/>
        </w:rPr>
        <w:t xml:space="preserve">O indiciamento implica que uma pessoa deixe de ocupar a posição de suspeita ou de testemunha e passe a ocupar a posição jurídica de indiciada. Com essa mudança de </w:t>
      </w:r>
      <w:proofErr w:type="spellStart"/>
      <w:r>
        <w:rPr>
          <w:i/>
          <w:color w:val="090909"/>
          <w:sz w:val="20"/>
        </w:rPr>
        <w:t>satatus</w:t>
      </w:r>
      <w:proofErr w:type="spellEnd"/>
      <w:r>
        <w:rPr>
          <w:color w:val="090909"/>
          <w:sz w:val="20"/>
        </w:rPr>
        <w:t>, a pessoa passa a ter o direito de ficar calada e de não se incriminar, bem como nasce para o Delegado de polícia o dever de averiguar a vida pregressa dessa pessoa e efetuar sua identificação criminal, caso seja legalmente cabível (2013, p. 162).</w:t>
      </w:r>
    </w:p>
    <w:p w:rsidR="006E5AFA" w:rsidRDefault="006E5AFA" w:rsidP="006E5AFA">
      <w:pPr>
        <w:pStyle w:val="NormalWeb"/>
        <w:tabs>
          <w:tab w:val="left" w:pos="3150"/>
        </w:tabs>
        <w:spacing w:before="0" w:after="0" w:line="360" w:lineRule="auto"/>
        <w:jc w:val="both"/>
        <w:rPr>
          <w:color w:val="090909"/>
        </w:rPr>
      </w:pPr>
    </w:p>
    <w:p w:rsidR="006E5AFA" w:rsidRDefault="006E5AFA" w:rsidP="006E5AFA">
      <w:pPr>
        <w:pStyle w:val="NormalWeb"/>
        <w:tabs>
          <w:tab w:val="left" w:pos="3150"/>
        </w:tabs>
        <w:spacing w:before="0" w:after="0" w:line="360" w:lineRule="auto"/>
        <w:jc w:val="both"/>
        <w:rPr>
          <w:color w:val="090909"/>
        </w:rPr>
      </w:pPr>
      <w:r>
        <w:rPr>
          <w:color w:val="090909"/>
        </w:rPr>
        <w:lastRenderedPageBreak/>
        <w:t xml:space="preserve">Nesse sentido o que é válido destacar é a mudança do </w:t>
      </w:r>
      <w:r>
        <w:rPr>
          <w:i/>
          <w:color w:val="090909"/>
        </w:rPr>
        <w:t>status</w:t>
      </w:r>
      <w:r>
        <w:rPr>
          <w:color w:val="090909"/>
        </w:rPr>
        <w:t xml:space="preserve"> de um mero suspeito para um indiciado, pois no segundo vê-se maior grau de certeza da autoria e materialidade do crime.</w:t>
      </w:r>
    </w:p>
    <w:p w:rsidR="006E5AFA" w:rsidRDefault="006E5AFA" w:rsidP="006E5AFA">
      <w:pPr>
        <w:pStyle w:val="NormalWeb"/>
        <w:tabs>
          <w:tab w:val="left" w:pos="3150"/>
        </w:tabs>
        <w:spacing w:before="0" w:after="0" w:line="360" w:lineRule="auto"/>
        <w:ind w:firstLine="1134"/>
        <w:jc w:val="both"/>
        <w:rPr>
          <w:color w:val="090909"/>
          <w:sz w:val="20"/>
        </w:rPr>
      </w:pPr>
      <w:r>
        <w:rPr>
          <w:color w:val="090909"/>
        </w:rPr>
        <w:t xml:space="preserve">Há também limitações ao indiciamento e </w:t>
      </w:r>
      <w:proofErr w:type="spellStart"/>
      <w:r>
        <w:rPr>
          <w:color w:val="090909"/>
        </w:rPr>
        <w:t>Zanoti</w:t>
      </w:r>
      <w:proofErr w:type="spellEnd"/>
      <w:r w:rsidR="00A75726">
        <w:rPr>
          <w:color w:val="090909"/>
        </w:rPr>
        <w:t xml:space="preserve"> e Santos</w:t>
      </w:r>
      <w:r>
        <w:rPr>
          <w:color w:val="090909"/>
        </w:rPr>
        <w:t xml:space="preserve"> (2013, p. 163) destaca</w:t>
      </w:r>
      <w:r w:rsidR="00A75726">
        <w:rPr>
          <w:color w:val="090909"/>
        </w:rPr>
        <w:t>m</w:t>
      </w:r>
      <w:r>
        <w:rPr>
          <w:color w:val="090909"/>
        </w:rPr>
        <w:t xml:space="preserve"> duas:  a primeira é que “não se admite indiciamento nos procedimentos do juizado especial criminal em razão da lavratura do termo circunstanciado” e a segunda é que “não se admite o indiciamento de pessoas que ocupam cargos com foro por prerrogativa de função pelo Delegado de Polícia Civil ou Federal”.</w:t>
      </w:r>
    </w:p>
    <w:p w:rsidR="00BF7D66" w:rsidRDefault="00BF7D66" w:rsidP="00573164">
      <w:pPr>
        <w:pStyle w:val="Standard"/>
        <w:spacing w:after="0" w:line="360" w:lineRule="auto"/>
        <w:jc w:val="both"/>
        <w:rPr>
          <w:rFonts w:ascii="Times New Roman" w:hAnsi="Times New Roman"/>
          <w:b/>
          <w:sz w:val="24"/>
          <w:szCs w:val="24"/>
        </w:rPr>
      </w:pPr>
    </w:p>
    <w:p w:rsidR="00573164" w:rsidRDefault="00CE32F1" w:rsidP="00573164">
      <w:pPr>
        <w:pStyle w:val="Standard"/>
        <w:spacing w:after="0" w:line="360" w:lineRule="auto"/>
        <w:jc w:val="both"/>
        <w:rPr>
          <w:rFonts w:ascii="Times New Roman" w:hAnsi="Times New Roman"/>
          <w:b/>
          <w:sz w:val="24"/>
          <w:szCs w:val="24"/>
        </w:rPr>
      </w:pPr>
      <w:r>
        <w:rPr>
          <w:rFonts w:ascii="Times New Roman" w:hAnsi="Times New Roman"/>
          <w:b/>
          <w:sz w:val="24"/>
          <w:szCs w:val="24"/>
        </w:rPr>
        <w:t>2.1 A controvérsia do interrogatório</w:t>
      </w:r>
    </w:p>
    <w:p w:rsidR="00DE33C3" w:rsidRDefault="00DE33C3" w:rsidP="00CE32F1">
      <w:pPr>
        <w:pStyle w:val="Standard"/>
        <w:spacing w:after="0" w:line="360" w:lineRule="auto"/>
        <w:ind w:firstLine="1134"/>
        <w:jc w:val="both"/>
        <w:rPr>
          <w:rFonts w:ascii="Times New Roman" w:hAnsi="Times New Roman"/>
          <w:sz w:val="24"/>
          <w:szCs w:val="24"/>
        </w:rPr>
      </w:pPr>
    </w:p>
    <w:p w:rsidR="00666A7D" w:rsidRDefault="00666A7D" w:rsidP="00666A7D">
      <w:pPr>
        <w:pStyle w:val="Standard"/>
        <w:spacing w:after="0" w:line="360" w:lineRule="auto"/>
        <w:ind w:firstLine="1134"/>
        <w:jc w:val="both"/>
        <w:rPr>
          <w:rFonts w:ascii="Times New Roman" w:hAnsi="Times New Roman"/>
          <w:sz w:val="24"/>
          <w:szCs w:val="28"/>
        </w:rPr>
      </w:pPr>
      <w:r>
        <w:rPr>
          <w:rFonts w:ascii="Times New Roman" w:hAnsi="Times New Roman"/>
          <w:sz w:val="24"/>
          <w:szCs w:val="24"/>
        </w:rPr>
        <w:t xml:space="preserve">Neste item, e continuando a análise do instituto do indiciamento, se discute a questão levantada por </w:t>
      </w:r>
      <w:proofErr w:type="spellStart"/>
      <w:r>
        <w:rPr>
          <w:rFonts w:ascii="Times New Roman" w:hAnsi="Times New Roman"/>
          <w:sz w:val="24"/>
          <w:szCs w:val="24"/>
        </w:rPr>
        <w:t>Aury</w:t>
      </w:r>
      <w:proofErr w:type="spellEnd"/>
      <w:r>
        <w:rPr>
          <w:rFonts w:ascii="Times New Roman" w:hAnsi="Times New Roman"/>
          <w:sz w:val="24"/>
          <w:szCs w:val="24"/>
        </w:rPr>
        <w:t xml:space="preserve"> Lopes Jr na obra </w:t>
      </w:r>
      <w:r w:rsidRPr="00A75726">
        <w:rPr>
          <w:rFonts w:ascii="Times New Roman" w:hAnsi="Times New Roman"/>
          <w:sz w:val="24"/>
          <w:szCs w:val="24"/>
        </w:rPr>
        <w:t>Investigação preliminar no processo penal</w:t>
      </w:r>
      <w:r w:rsidRPr="00D76CCB">
        <w:rPr>
          <w:rFonts w:ascii="Times New Roman" w:hAnsi="Times New Roman"/>
          <w:sz w:val="24"/>
          <w:szCs w:val="24"/>
        </w:rPr>
        <w:t xml:space="preserve">, </w:t>
      </w:r>
      <w:r w:rsidRPr="00BB10AD">
        <w:rPr>
          <w:rFonts w:ascii="Times New Roman" w:hAnsi="Times New Roman"/>
          <w:sz w:val="24"/>
          <w:szCs w:val="24"/>
        </w:rPr>
        <w:t>que embora anterior à Lei 12.830/2013 serve de parâmetro para descrever as dificuldades de doutrinadores e da autoridade</w:t>
      </w:r>
      <w:r>
        <w:rPr>
          <w:rFonts w:ascii="Times New Roman" w:hAnsi="Times New Roman"/>
          <w:sz w:val="24"/>
          <w:szCs w:val="28"/>
        </w:rPr>
        <w:t xml:space="preserve"> policial em deliberar sobre um marco formal que definia a qualidade de indiciado, especialmente quando não havia nenhuma medida cautelar que tornasse esse marco mais evidente.</w:t>
      </w:r>
    </w:p>
    <w:p w:rsidR="00666A7D" w:rsidRPr="00680A61" w:rsidRDefault="00666A7D" w:rsidP="00666A7D">
      <w:pPr>
        <w:pStyle w:val="Standard"/>
        <w:spacing w:after="0" w:line="360" w:lineRule="auto"/>
        <w:ind w:firstLine="1134"/>
        <w:jc w:val="both"/>
        <w:rPr>
          <w:rFonts w:ascii="Times New Roman" w:hAnsi="Times New Roman"/>
          <w:sz w:val="24"/>
          <w:szCs w:val="24"/>
        </w:rPr>
      </w:pPr>
      <w:r>
        <w:rPr>
          <w:rFonts w:ascii="Times New Roman" w:hAnsi="Times New Roman"/>
          <w:sz w:val="24"/>
          <w:szCs w:val="28"/>
        </w:rPr>
        <w:t xml:space="preserve">Nesse sentido, os autores buscam expor a controvérsia acerca da sugestão dada por Ary Lopes Jr para sanar a omissão legal acerca desse marco formal que definiria a qualidade de indicado na ausência de medidas cautelares contra ele. A sugestão mencionada na obra supracitada é a de que o indiciamento seria uma consequência do interrogatório. Porém, outros autores questionam essa possibilidade defendendo a ideia contrária, a de que o interrogatório é consequência do indiciamento.    </w:t>
      </w:r>
    </w:p>
    <w:p w:rsidR="00666A7D" w:rsidRDefault="00666A7D" w:rsidP="00666A7D">
      <w:pPr>
        <w:pStyle w:val="NormalWeb"/>
        <w:spacing w:before="0" w:after="0" w:line="360" w:lineRule="auto"/>
        <w:ind w:firstLine="1134"/>
        <w:jc w:val="both"/>
        <w:rPr>
          <w:color w:val="090909"/>
        </w:rPr>
      </w:pPr>
      <w:r>
        <w:rPr>
          <w:color w:val="090909"/>
        </w:rPr>
        <w:t xml:space="preserve">No entendimento de </w:t>
      </w:r>
      <w:proofErr w:type="spellStart"/>
      <w:r>
        <w:rPr>
          <w:color w:val="090909"/>
        </w:rPr>
        <w:t>Aury</w:t>
      </w:r>
      <w:proofErr w:type="spellEnd"/>
      <w:r>
        <w:rPr>
          <w:color w:val="090909"/>
        </w:rPr>
        <w:t xml:space="preserve"> Lopes Jr o indiciado é aquele que está formalmente submetido ao inquérito policial e que ainda não foi objeto de denúncia ou queixa. Destaca ainda ser um condição da fase </w:t>
      </w:r>
      <w:proofErr w:type="spellStart"/>
      <w:r>
        <w:rPr>
          <w:color w:val="090909"/>
        </w:rPr>
        <w:t>pré</w:t>
      </w:r>
      <w:proofErr w:type="spellEnd"/>
      <w:r>
        <w:rPr>
          <w:color w:val="090909"/>
        </w:rPr>
        <w:t xml:space="preserve">-processual que cessa ou com a admissão da ação penal ou com o arquivamento pelo Ministério Público solicitado pelo juiz (2013, p. 435).   </w:t>
      </w:r>
    </w:p>
    <w:p w:rsidR="00666A7D" w:rsidRDefault="00666A7D" w:rsidP="00666A7D">
      <w:pPr>
        <w:pStyle w:val="NormalWeb"/>
        <w:spacing w:before="0" w:after="0" w:line="360" w:lineRule="auto"/>
        <w:ind w:firstLine="1134"/>
        <w:jc w:val="both"/>
        <w:rPr>
          <w:color w:val="090909"/>
        </w:rPr>
      </w:pPr>
      <w:r>
        <w:rPr>
          <w:color w:val="090909"/>
        </w:rPr>
        <w:t xml:space="preserve">A grande discussão levantada por </w:t>
      </w:r>
      <w:proofErr w:type="spellStart"/>
      <w:r>
        <w:rPr>
          <w:color w:val="090909"/>
        </w:rPr>
        <w:t>Aury</w:t>
      </w:r>
      <w:proofErr w:type="spellEnd"/>
      <w:r>
        <w:rPr>
          <w:color w:val="090909"/>
        </w:rPr>
        <w:t xml:space="preserve"> Lopes Jr e que enseja a produção deste trabalho diz respeito ao nascimento da condição de indiciado especialmente quando uma prisão cautelar não preexistente. Assim ele destaca a negligência do Código Processo Civil tanto para essa definição temporal quanto em relação às consequências </w:t>
      </w:r>
      <w:proofErr w:type="spellStart"/>
      <w:r>
        <w:rPr>
          <w:color w:val="090909"/>
        </w:rPr>
        <w:t>endoprocedimentais</w:t>
      </w:r>
      <w:proofErr w:type="spellEnd"/>
      <w:r>
        <w:rPr>
          <w:color w:val="090909"/>
        </w:rPr>
        <w:t xml:space="preserve"> (2013, p. 435).</w:t>
      </w:r>
    </w:p>
    <w:p w:rsidR="00666A7D" w:rsidRDefault="00666A7D" w:rsidP="00666A7D">
      <w:pPr>
        <w:pStyle w:val="NormalWeb"/>
        <w:spacing w:before="0" w:after="0" w:line="360" w:lineRule="auto"/>
        <w:ind w:firstLine="1134"/>
        <w:jc w:val="both"/>
        <w:rPr>
          <w:color w:val="090909"/>
        </w:rPr>
      </w:pPr>
      <w:r>
        <w:rPr>
          <w:color w:val="090909"/>
        </w:rPr>
        <w:t xml:space="preserve">Nesse sentido, </w:t>
      </w:r>
      <w:proofErr w:type="spellStart"/>
      <w:r>
        <w:rPr>
          <w:color w:val="090909"/>
        </w:rPr>
        <w:t>Aury</w:t>
      </w:r>
      <w:proofErr w:type="spellEnd"/>
      <w:r>
        <w:rPr>
          <w:color w:val="090909"/>
        </w:rPr>
        <w:t xml:space="preserve"> Lopes Jr destaca duas circunstâncias para frisar bem o momento em que um sujeito passa à condição de indiciado. A primeira quando existe a prisão cautelar e outra quando essa medida não se faz presente. </w:t>
      </w:r>
    </w:p>
    <w:p w:rsidR="00666A7D" w:rsidRDefault="00666A7D" w:rsidP="00666A7D">
      <w:pPr>
        <w:pStyle w:val="NormalWeb"/>
        <w:spacing w:before="0" w:after="0" w:line="360" w:lineRule="auto"/>
        <w:ind w:firstLine="1134"/>
        <w:jc w:val="both"/>
        <w:rPr>
          <w:color w:val="090909"/>
        </w:rPr>
      </w:pPr>
      <w:r>
        <w:rPr>
          <w:color w:val="090909"/>
        </w:rPr>
        <w:lastRenderedPageBreak/>
        <w:t xml:space="preserve">As medidas cautelares que importam em prisão, tais como o flagrante delito, a prisão preventiva e a temporária facilitam a definição do indiciamento haja vista serem realizadas em fundadas razões de autoria e materialidade. No caso da prisão em flagrante há um instrumento chamado </w:t>
      </w:r>
      <w:r>
        <w:rPr>
          <w:b/>
          <w:color w:val="090909"/>
        </w:rPr>
        <w:t>nota de culpa</w:t>
      </w:r>
      <w:r>
        <w:rPr>
          <w:color w:val="090909"/>
        </w:rPr>
        <w:t xml:space="preserve"> cuja finalidade é informar ao detido no prazo máximo de 24 horas os motivos da prisão, o nome do condutor e as testemunhas. De tal modo que se configura em verdadeiro instrumento que formaliza a condição de indiciado. Nas outras duas hipóteses, a prisão preventiva e a prisão temporária, os </w:t>
      </w:r>
      <w:r w:rsidRPr="00384CE0">
        <w:rPr>
          <w:b/>
          <w:color w:val="090909"/>
        </w:rPr>
        <w:t>mandados de prisão</w:t>
      </w:r>
      <w:r>
        <w:rPr>
          <w:color w:val="090909"/>
        </w:rPr>
        <w:t xml:space="preserve"> expedidos pelo juiz constituem o instrumento que informa ao detidos as razões da prisão bem como formaliza a condição de indiciado (LOPES JR, 2013, p. 437).</w:t>
      </w:r>
    </w:p>
    <w:p w:rsidR="00666A7D" w:rsidRDefault="00666A7D" w:rsidP="00666A7D">
      <w:pPr>
        <w:pStyle w:val="NormalWeb"/>
        <w:spacing w:before="0" w:after="0" w:line="360" w:lineRule="auto"/>
        <w:ind w:firstLine="1134"/>
        <w:jc w:val="both"/>
        <w:rPr>
          <w:color w:val="090909"/>
        </w:rPr>
      </w:pPr>
      <w:r>
        <w:rPr>
          <w:color w:val="090909"/>
        </w:rPr>
        <w:t xml:space="preserve"> Ratificando:</w:t>
      </w:r>
    </w:p>
    <w:p w:rsidR="00666A7D" w:rsidRDefault="00666A7D" w:rsidP="00666A7D">
      <w:pPr>
        <w:pStyle w:val="NormalWeb"/>
        <w:spacing w:before="0" w:after="0"/>
        <w:ind w:left="2268"/>
        <w:jc w:val="both"/>
        <w:rPr>
          <w:color w:val="090909"/>
          <w:sz w:val="20"/>
        </w:rPr>
      </w:pPr>
      <w:r>
        <w:rPr>
          <w:color w:val="090909"/>
        </w:rPr>
        <w:t xml:space="preserve"> </w:t>
      </w:r>
    </w:p>
    <w:p w:rsidR="00666A7D" w:rsidRDefault="00666A7D" w:rsidP="00666A7D">
      <w:pPr>
        <w:pStyle w:val="NormalWeb"/>
        <w:spacing w:before="0" w:after="0"/>
        <w:ind w:left="2268"/>
        <w:jc w:val="both"/>
        <w:rPr>
          <w:color w:val="090909"/>
          <w:sz w:val="20"/>
        </w:rPr>
      </w:pPr>
      <w:r>
        <w:rPr>
          <w:color w:val="090909"/>
          <w:sz w:val="20"/>
        </w:rPr>
        <w:t xml:space="preserve">Destarte, é inegável que a nota de culpa e o mandado de prisão (salvo quando já existe o indiciamento) são os instrumentos que formalmente originam e a passam a constituir o indiciamento, marcando o nascimento do direito de defesa, através da comunicação da prisão e dos motivos que a justificam. Em última análise, tendo em vista a falta de uma clara disciplina legal, a formalização da prisão em flagrante passa a representar o próprio indiciamento (LOPES JR, 2013, p. 438) </w:t>
      </w:r>
    </w:p>
    <w:p w:rsidR="00666A7D" w:rsidRDefault="00666A7D" w:rsidP="00666A7D">
      <w:pPr>
        <w:pStyle w:val="NormalWeb"/>
        <w:spacing w:before="0" w:after="0"/>
        <w:jc w:val="both"/>
        <w:rPr>
          <w:color w:val="090909"/>
          <w:sz w:val="20"/>
        </w:rPr>
      </w:pPr>
    </w:p>
    <w:p w:rsidR="00666A7D" w:rsidRPr="001769FC" w:rsidRDefault="00666A7D" w:rsidP="00666A7D">
      <w:pPr>
        <w:pStyle w:val="NormalWeb"/>
        <w:spacing w:before="0" w:after="0" w:line="360" w:lineRule="auto"/>
        <w:ind w:firstLine="1134"/>
        <w:jc w:val="both"/>
        <w:rPr>
          <w:color w:val="090909"/>
        </w:rPr>
      </w:pPr>
    </w:p>
    <w:p w:rsidR="00666A7D" w:rsidRDefault="00666A7D" w:rsidP="00666A7D">
      <w:pPr>
        <w:pStyle w:val="NormalWeb"/>
        <w:spacing w:before="0" w:after="0" w:line="360" w:lineRule="auto"/>
        <w:ind w:firstLine="1134"/>
        <w:jc w:val="both"/>
        <w:rPr>
          <w:color w:val="090909"/>
        </w:rPr>
      </w:pPr>
      <w:r>
        <w:rPr>
          <w:color w:val="090909"/>
        </w:rPr>
        <w:t xml:space="preserve">Por outro lado, quando essa medidas cautelares não se aplicam, ou melhor, quando o indivíduo encontra-se em liberdade surge a problemática da formalização do momento de indiciamento. Decorrente dela está a questão procedimental acerca do interrogatório, pois há divergências quanto à qualidade do indivíduo durante esse interrogatório e se o interrogatório é consequência do indiciamento ou se é o contrário, o indiciamento é consequência do interrogatório, pois para </w:t>
      </w:r>
      <w:proofErr w:type="spellStart"/>
      <w:r>
        <w:rPr>
          <w:color w:val="090909"/>
        </w:rPr>
        <w:t>Aury</w:t>
      </w:r>
      <w:proofErr w:type="spellEnd"/>
      <w:r>
        <w:rPr>
          <w:color w:val="090909"/>
        </w:rPr>
        <w:t xml:space="preserve"> Lopes Jr a segunda opção é a que adota. Assim, no entendimento do autor o indiciamento é consequência do interrogatório sendo que antes o indivíduo tem a qualidade de suspeito. </w:t>
      </w:r>
    </w:p>
    <w:p w:rsidR="00666A7D" w:rsidRDefault="00666A7D" w:rsidP="00666A7D">
      <w:pPr>
        <w:pStyle w:val="NormalWeb"/>
        <w:spacing w:before="0" w:after="0" w:line="360" w:lineRule="auto"/>
        <w:ind w:firstLine="1134"/>
        <w:jc w:val="both"/>
        <w:rPr>
          <w:color w:val="090909"/>
        </w:rPr>
      </w:pPr>
      <w:r>
        <w:rPr>
          <w:color w:val="090909"/>
        </w:rPr>
        <w:t xml:space="preserve">Destarte, a sugestão de </w:t>
      </w:r>
      <w:proofErr w:type="spellStart"/>
      <w:r>
        <w:rPr>
          <w:color w:val="090909"/>
        </w:rPr>
        <w:t>Aury</w:t>
      </w:r>
      <w:proofErr w:type="spellEnd"/>
      <w:r>
        <w:rPr>
          <w:color w:val="090909"/>
        </w:rPr>
        <w:t xml:space="preserve"> Lopes Jr é a de que o interrogatório seria o instrumento para formalizar a condição de indiciado quando este não estiver sofrendo privação de liberdade. </w:t>
      </w:r>
    </w:p>
    <w:p w:rsidR="00666A7D" w:rsidRDefault="00666A7D" w:rsidP="00666A7D">
      <w:pPr>
        <w:pStyle w:val="NormalWeb"/>
        <w:spacing w:before="0" w:after="0" w:line="360" w:lineRule="auto"/>
        <w:ind w:firstLine="1134"/>
        <w:jc w:val="both"/>
        <w:rPr>
          <w:color w:val="090909"/>
        </w:rPr>
      </w:pPr>
      <w:r>
        <w:rPr>
          <w:color w:val="090909"/>
        </w:rPr>
        <w:t xml:space="preserve">Entretanto segundo o Autor, </w:t>
      </w:r>
      <w:proofErr w:type="spellStart"/>
      <w:r>
        <w:rPr>
          <w:color w:val="090909"/>
        </w:rPr>
        <w:t>Cleopas</w:t>
      </w:r>
      <w:proofErr w:type="spellEnd"/>
      <w:r>
        <w:rPr>
          <w:color w:val="090909"/>
        </w:rPr>
        <w:t xml:space="preserve"> Isaías Santos (2014), ele discorda de alguns aspectos do posicionamento de </w:t>
      </w:r>
      <w:proofErr w:type="spellStart"/>
      <w:r>
        <w:rPr>
          <w:color w:val="090909"/>
        </w:rPr>
        <w:t>Aury</w:t>
      </w:r>
      <w:proofErr w:type="spellEnd"/>
      <w:r>
        <w:rPr>
          <w:color w:val="090909"/>
        </w:rPr>
        <w:t xml:space="preserve"> Lopes Jr., pois para ele na verdade o momento do indiciamento é anterior ao interrogatório porque o interrogatório já pressupõe o indiciamento, o sujeito só será interrogado, na condição de interrogado, se ele já estiver indiciado, se não estiver havido o indiciamento ele não é ouvido como um interrogado, ele é ouvido apenas em termos de declaração, o interrogatório é um termo técnico utilizado para quem já foi indiciado, portanto, para ele o interrogatório não é um marco, como diz </w:t>
      </w:r>
      <w:proofErr w:type="spellStart"/>
      <w:r>
        <w:rPr>
          <w:color w:val="090909"/>
        </w:rPr>
        <w:t>Aury</w:t>
      </w:r>
      <w:proofErr w:type="spellEnd"/>
      <w:r>
        <w:rPr>
          <w:color w:val="090909"/>
        </w:rPr>
        <w:t xml:space="preserve"> Lopes, mas uma consequência. O marco é anterior, o interrogatório é o primeiro ato formal posterior ao </w:t>
      </w:r>
      <w:r>
        <w:rPr>
          <w:color w:val="090909"/>
        </w:rPr>
        <w:lastRenderedPageBreak/>
        <w:t>indiciamento. O marco na verdade seria o momento do convencimento da autoridade a partir dos elementos probatórios, o que acaba sendo muito subjetivo e discricionário.</w:t>
      </w:r>
    </w:p>
    <w:p w:rsidR="00090B43" w:rsidRDefault="00090B43" w:rsidP="00573164">
      <w:pPr>
        <w:pStyle w:val="Standard"/>
        <w:spacing w:after="0" w:line="360" w:lineRule="auto"/>
        <w:jc w:val="both"/>
        <w:rPr>
          <w:rFonts w:ascii="Times New Roman" w:hAnsi="Times New Roman"/>
          <w:b/>
          <w:sz w:val="24"/>
          <w:szCs w:val="24"/>
        </w:rPr>
      </w:pPr>
    </w:p>
    <w:p w:rsidR="002D1BCF" w:rsidRDefault="003C7E66" w:rsidP="00B22137">
      <w:pPr>
        <w:pStyle w:val="Standard"/>
        <w:spacing w:after="0" w:line="360" w:lineRule="auto"/>
        <w:jc w:val="both"/>
        <w:rPr>
          <w:rFonts w:ascii="Times New Roman" w:hAnsi="Times New Roman"/>
          <w:b/>
          <w:sz w:val="24"/>
          <w:szCs w:val="24"/>
        </w:rPr>
      </w:pPr>
      <w:r>
        <w:rPr>
          <w:rFonts w:ascii="Times New Roman" w:hAnsi="Times New Roman"/>
          <w:b/>
          <w:sz w:val="24"/>
          <w:szCs w:val="24"/>
        </w:rPr>
        <w:t xml:space="preserve">2.2 O marco formal do indiciamento com o advento da Lei 12.830/2013 </w:t>
      </w:r>
    </w:p>
    <w:p w:rsidR="009A286C" w:rsidRDefault="009A286C" w:rsidP="00BF7D66">
      <w:pPr>
        <w:pStyle w:val="Standard"/>
        <w:spacing w:after="0" w:line="360" w:lineRule="auto"/>
        <w:ind w:firstLine="1134"/>
        <w:jc w:val="both"/>
        <w:rPr>
          <w:rFonts w:ascii="Times New Roman" w:hAnsi="Times New Roman"/>
          <w:sz w:val="24"/>
          <w:szCs w:val="24"/>
        </w:rPr>
      </w:pPr>
    </w:p>
    <w:p w:rsidR="00666A7D" w:rsidRDefault="00A05EC6" w:rsidP="00666A7D">
      <w:pPr>
        <w:pStyle w:val="NormalWeb"/>
        <w:spacing w:before="0" w:after="0" w:line="360" w:lineRule="auto"/>
        <w:ind w:firstLine="1134"/>
        <w:jc w:val="both"/>
        <w:rPr>
          <w:color w:val="090909"/>
        </w:rPr>
      </w:pPr>
      <w:r>
        <w:rPr>
          <w:color w:val="090909"/>
        </w:rPr>
        <w:t>Segundo o</w:t>
      </w:r>
      <w:r w:rsidR="00666A7D">
        <w:rPr>
          <w:color w:val="090909"/>
        </w:rPr>
        <w:t xml:space="preserve"> Autor, Professor e Delegado de Polícia, </w:t>
      </w:r>
      <w:proofErr w:type="spellStart"/>
      <w:r w:rsidR="00666A7D">
        <w:rPr>
          <w:color w:val="090909"/>
        </w:rPr>
        <w:t>Cleopas</w:t>
      </w:r>
      <w:proofErr w:type="spellEnd"/>
      <w:r w:rsidR="00666A7D">
        <w:rPr>
          <w:color w:val="090909"/>
        </w:rPr>
        <w:t xml:space="preserve"> Isaías Santos (2014), sobre o moment</w:t>
      </w:r>
      <w:r>
        <w:rPr>
          <w:color w:val="090909"/>
        </w:rPr>
        <w:t xml:space="preserve">o do indiciamento antes da lei </w:t>
      </w:r>
      <w:r w:rsidR="00666A7D">
        <w:rPr>
          <w:color w:val="090909"/>
        </w:rPr>
        <w:t>(havendo ou não medidas cautelares privativas e liberdade) não havia qualquer tipo de regulamentação legal,</w:t>
      </w:r>
      <w:r>
        <w:rPr>
          <w:color w:val="090909"/>
        </w:rPr>
        <w:t xml:space="preserve"> e</w:t>
      </w:r>
      <w:r w:rsidR="00666A7D">
        <w:rPr>
          <w:color w:val="090909"/>
        </w:rPr>
        <w:t xml:space="preserve"> que, portanto havia em verdade uma lacuna total referente a tal momento. Desta forma, afirma que existiam apenas alguns doutrinadores e pronunciamentos da Jurisprudência, que diziam ser estritamente necessário que houvesse esse indiciamento. </w:t>
      </w:r>
    </w:p>
    <w:p w:rsidR="00666A7D" w:rsidRDefault="00666A7D" w:rsidP="00666A7D">
      <w:pPr>
        <w:pStyle w:val="NormalWeb"/>
        <w:spacing w:before="0" w:after="0" w:line="360" w:lineRule="auto"/>
        <w:ind w:firstLine="1134"/>
        <w:jc w:val="both"/>
        <w:rPr>
          <w:color w:val="090909"/>
        </w:rPr>
      </w:pPr>
      <w:r>
        <w:rPr>
          <w:color w:val="090909"/>
        </w:rPr>
        <w:t xml:space="preserve">Diante disto o Mestre </w:t>
      </w:r>
      <w:proofErr w:type="spellStart"/>
      <w:r>
        <w:rPr>
          <w:color w:val="090909"/>
        </w:rPr>
        <w:t>Cleopas</w:t>
      </w:r>
      <w:proofErr w:type="spellEnd"/>
      <w:r>
        <w:rPr>
          <w:color w:val="090909"/>
        </w:rPr>
        <w:t xml:space="preserve"> Isaías Santos (201</w:t>
      </w:r>
      <w:r w:rsidR="00A05EC6">
        <w:rPr>
          <w:color w:val="090909"/>
        </w:rPr>
        <w:t>4), afirma</w:t>
      </w:r>
      <w:r>
        <w:rPr>
          <w:color w:val="090909"/>
        </w:rPr>
        <w:t xml:space="preserve"> que particularmente, mesmo antes da Lei, já havia percebido esta problemática do momento do indiciamento, na falta de uma regularização jurídica, o que escreveu sobre isto à luz da prisão em flagrante em seu livro há pouco lançado. </w:t>
      </w:r>
    </w:p>
    <w:p w:rsidR="00666A7D" w:rsidRDefault="00666A7D" w:rsidP="00666A7D">
      <w:pPr>
        <w:pStyle w:val="NormalWeb"/>
        <w:spacing w:before="0" w:after="0" w:line="360" w:lineRule="auto"/>
        <w:ind w:firstLine="1134"/>
        <w:jc w:val="both"/>
        <w:rPr>
          <w:color w:val="090909"/>
        </w:rPr>
      </w:pPr>
      <w:r>
        <w:rPr>
          <w:color w:val="090909"/>
        </w:rPr>
        <w:t>Segundo o entend</w:t>
      </w:r>
      <w:r w:rsidR="00A05EC6">
        <w:rPr>
          <w:color w:val="090909"/>
        </w:rPr>
        <w:t>imento do Autor (2014), havia</w:t>
      </w:r>
      <w:r>
        <w:rPr>
          <w:color w:val="090909"/>
        </w:rPr>
        <w:t xml:space="preserve"> uma necessidade de fundamentação, e para tanto, usava ele como base a técnica do “diálogo das fontes”, buscando correlacionar o direito administrativo e constitucional, logo com base da doutrina administrativista, como o inquérito policial é um procedimento administrativo, entendia ele à época que a sua regulamentação também passava pelo Direito Administrativo, para isso usava algumas leis administrativas que exigiam uma fundamentação. Quanto a relação feita com o Direito Constitucional, compreende que existe fundamento constitucional, e que este seria a própria determinação da Constituição Federal, constante no artigo 93, inciso nono: </w:t>
      </w:r>
    </w:p>
    <w:p w:rsidR="002E0CB7" w:rsidRDefault="002E0CB7" w:rsidP="00666A7D">
      <w:pPr>
        <w:pStyle w:val="NormalWeb"/>
        <w:spacing w:before="0" w:after="0" w:line="360" w:lineRule="auto"/>
        <w:ind w:firstLine="1134"/>
        <w:jc w:val="both"/>
        <w:rPr>
          <w:color w:val="090909"/>
        </w:rPr>
      </w:pPr>
    </w:p>
    <w:p w:rsidR="00666A7D" w:rsidRPr="00786DB4" w:rsidRDefault="00666A7D" w:rsidP="00666A7D">
      <w:pPr>
        <w:widowControl/>
        <w:suppressAutoHyphens w:val="0"/>
        <w:autoSpaceDN/>
        <w:ind w:left="2268"/>
        <w:jc w:val="both"/>
        <w:textAlignment w:val="auto"/>
        <w:rPr>
          <w:rFonts w:eastAsia="Times New Roman" w:cs="Times New Roman"/>
          <w:kern w:val="0"/>
          <w:sz w:val="20"/>
          <w:szCs w:val="20"/>
          <w:lang w:eastAsia="pt-BR" w:bidi="ar-SA"/>
        </w:rPr>
      </w:pPr>
      <w:r>
        <w:rPr>
          <w:rFonts w:eastAsia="Times New Roman" w:cs="Times New Roman"/>
          <w:b/>
          <w:bCs/>
          <w:kern w:val="0"/>
          <w:sz w:val="20"/>
          <w:szCs w:val="20"/>
          <w:bdr w:val="none" w:sz="0" w:space="0" w:color="auto" w:frame="1"/>
          <w:lang w:eastAsia="pt-BR" w:bidi="ar-SA"/>
        </w:rPr>
        <w:t xml:space="preserve">Art. 93 - </w:t>
      </w:r>
      <w:r w:rsidRPr="00786DB4">
        <w:rPr>
          <w:rFonts w:eastAsia="Times New Roman" w:cs="Times New Roman"/>
          <w:kern w:val="0"/>
          <w:sz w:val="20"/>
          <w:szCs w:val="20"/>
          <w:lang w:eastAsia="pt-BR" w:bidi="ar-SA"/>
        </w:rPr>
        <w:t>Lei complementar, de iniciativa do Supremo Tribunal Federal, disporá sobre o Estatuto da Magistratura, observados os seguintes princípios:</w:t>
      </w:r>
    </w:p>
    <w:p w:rsidR="00666A7D" w:rsidRDefault="00666A7D" w:rsidP="00666A7D">
      <w:pPr>
        <w:widowControl/>
        <w:suppressAutoHyphens w:val="0"/>
        <w:autoSpaceDN/>
        <w:ind w:left="2268"/>
        <w:jc w:val="both"/>
        <w:textAlignment w:val="auto"/>
        <w:rPr>
          <w:rFonts w:eastAsia="Times New Roman" w:cs="Times New Roman"/>
          <w:kern w:val="0"/>
          <w:sz w:val="20"/>
          <w:szCs w:val="20"/>
          <w:lang w:eastAsia="pt-BR" w:bidi="ar-SA"/>
        </w:rPr>
      </w:pPr>
      <w:r w:rsidRPr="00D21159">
        <w:rPr>
          <w:rFonts w:eastAsia="Times New Roman" w:cs="Times New Roman"/>
          <w:b/>
          <w:bCs/>
          <w:kern w:val="0"/>
          <w:sz w:val="20"/>
          <w:szCs w:val="20"/>
          <w:bdr w:val="none" w:sz="0" w:space="0" w:color="auto" w:frame="1"/>
          <w:lang w:eastAsia="pt-BR" w:bidi="ar-SA"/>
        </w:rPr>
        <w:t>IX </w:t>
      </w:r>
      <w:r>
        <w:rPr>
          <w:rFonts w:eastAsia="Times New Roman" w:cs="Times New Roman"/>
          <w:b/>
          <w:bCs/>
          <w:kern w:val="0"/>
          <w:sz w:val="20"/>
          <w:szCs w:val="20"/>
          <w:bdr w:val="none" w:sz="0" w:space="0" w:color="auto" w:frame="1"/>
          <w:lang w:eastAsia="pt-BR" w:bidi="ar-SA"/>
        </w:rPr>
        <w:t xml:space="preserve">- </w:t>
      </w:r>
      <w:r w:rsidRPr="00786DB4">
        <w:rPr>
          <w:rFonts w:eastAsia="Times New Roman" w:cs="Times New Roman"/>
          <w:kern w:val="0"/>
          <w:sz w:val="20"/>
          <w:szCs w:val="20"/>
          <w:lang w:eastAsia="pt-BR" w:bidi="ar-SA"/>
        </w:rPr>
        <w:t xml:space="preserve">todos os julgamentos dos órgãos do Poder Judiciário serão públicos, e fundamentadas todas as decisões, sob pena de nulidade, podendo a lei limitar a presença, em determinados atos, às próprias partes e a seus advogados, ou somente a estes, em casos nos quais a preservação do direito à intimidade do interessado no sigilo não prejudique o interesse público à informação; </w:t>
      </w:r>
      <w:r>
        <w:rPr>
          <w:rFonts w:eastAsia="Times New Roman" w:cs="Times New Roman"/>
          <w:kern w:val="0"/>
          <w:sz w:val="20"/>
          <w:szCs w:val="20"/>
          <w:lang w:eastAsia="pt-BR" w:bidi="ar-SA"/>
        </w:rPr>
        <w:t>(grifo nosso).</w:t>
      </w:r>
    </w:p>
    <w:p w:rsidR="00666A7D" w:rsidRDefault="00666A7D" w:rsidP="00666A7D">
      <w:pPr>
        <w:widowControl/>
        <w:suppressAutoHyphens w:val="0"/>
        <w:autoSpaceDN/>
        <w:jc w:val="both"/>
        <w:textAlignment w:val="auto"/>
        <w:rPr>
          <w:rFonts w:eastAsia="Times New Roman" w:cs="Times New Roman"/>
          <w:kern w:val="0"/>
          <w:sz w:val="20"/>
          <w:szCs w:val="20"/>
          <w:lang w:eastAsia="pt-BR" w:bidi="ar-SA"/>
        </w:rPr>
      </w:pPr>
      <w:r>
        <w:rPr>
          <w:rFonts w:eastAsia="Times New Roman" w:cs="Times New Roman"/>
          <w:kern w:val="0"/>
          <w:sz w:val="20"/>
          <w:szCs w:val="20"/>
          <w:lang w:eastAsia="pt-BR" w:bidi="ar-SA"/>
        </w:rPr>
        <w:tab/>
      </w:r>
    </w:p>
    <w:p w:rsidR="00666A7D" w:rsidRDefault="00666A7D" w:rsidP="00666A7D">
      <w:pPr>
        <w:widowControl/>
        <w:suppressAutoHyphens w:val="0"/>
        <w:autoSpaceDN/>
        <w:jc w:val="both"/>
        <w:textAlignment w:val="auto"/>
        <w:rPr>
          <w:rFonts w:eastAsia="Times New Roman" w:cs="Times New Roman"/>
          <w:kern w:val="0"/>
          <w:sz w:val="20"/>
          <w:szCs w:val="20"/>
          <w:lang w:eastAsia="pt-BR" w:bidi="ar-SA"/>
        </w:rPr>
      </w:pPr>
    </w:p>
    <w:p w:rsidR="00666A7D" w:rsidRDefault="00666A7D" w:rsidP="00666A7D">
      <w:pPr>
        <w:widowControl/>
        <w:suppressAutoHyphens w:val="0"/>
        <w:autoSpaceDN/>
        <w:spacing w:line="360" w:lineRule="auto"/>
        <w:ind w:firstLine="1134"/>
        <w:jc w:val="both"/>
        <w:textAlignment w:val="auto"/>
        <w:rPr>
          <w:rFonts w:eastAsia="Times New Roman" w:cs="Times New Roman"/>
          <w:kern w:val="0"/>
          <w:lang w:eastAsia="pt-BR" w:bidi="ar-SA"/>
        </w:rPr>
      </w:pPr>
      <w:r w:rsidRPr="0042352D">
        <w:rPr>
          <w:rFonts w:eastAsia="Times New Roman" w:cs="Times New Roman"/>
          <w:kern w:val="0"/>
          <w:lang w:eastAsia="pt-BR" w:bidi="ar-SA"/>
        </w:rPr>
        <w:t>Este artigo trata da necessidade</w:t>
      </w:r>
      <w:r>
        <w:rPr>
          <w:rFonts w:eastAsia="Times New Roman" w:cs="Times New Roman"/>
          <w:kern w:val="0"/>
          <w:lang w:eastAsia="pt-BR" w:bidi="ar-SA"/>
        </w:rPr>
        <w:t xml:space="preserve"> de fundamentação das decisões judiciais, porém Segundo </w:t>
      </w:r>
      <w:proofErr w:type="spellStart"/>
      <w:r>
        <w:rPr>
          <w:rFonts w:eastAsia="Times New Roman" w:cs="Times New Roman"/>
          <w:kern w:val="0"/>
          <w:lang w:eastAsia="pt-BR" w:bidi="ar-SA"/>
        </w:rPr>
        <w:t>Cleopas</w:t>
      </w:r>
      <w:proofErr w:type="spellEnd"/>
      <w:r>
        <w:rPr>
          <w:rFonts w:eastAsia="Times New Roman" w:cs="Times New Roman"/>
          <w:kern w:val="0"/>
          <w:lang w:eastAsia="pt-BR" w:bidi="ar-SA"/>
        </w:rPr>
        <w:t xml:space="preserve"> Isaías Santos (2014), não deve se usar a mera interpretação literal do texto, pois existe um critério de interpretação, da hermenêutica, chamado “com muito mais razão”, que ele utiliza para fundamentar isso. Pois se a Constituição Federal exige que os atos jurisdicionais, tanto administrativos, quanto jurisdicionais, sejam praticados dentro de um contexto </w:t>
      </w:r>
      <w:r>
        <w:rPr>
          <w:rFonts w:eastAsia="Times New Roman" w:cs="Times New Roman"/>
          <w:kern w:val="0"/>
          <w:lang w:eastAsia="pt-BR" w:bidi="ar-SA"/>
        </w:rPr>
        <w:lastRenderedPageBreak/>
        <w:t xml:space="preserve">onde todos os direitos e garantias fundamentais são em tese garantidos – tais como, ampla defesa, contraditório – e se mesmo existindo esses direitos e garantias, a Constituição Federal exige que as decisões sejam fundamentadas, “com muito mais razão” devem ser fundamentadas as decisões fora do âmbito onde esses direitos são preservados (no curso do processo). E no âmbito administrativo, no inquérito oficial da investigação, como regra não existe contraditório e ampla defesa é limitada, então mais importante ainda que seja usado este argumento hermenêutico de “com muito mais razão”. </w:t>
      </w:r>
    </w:p>
    <w:p w:rsidR="00666A7D" w:rsidRDefault="00666A7D" w:rsidP="00666A7D">
      <w:pPr>
        <w:widowControl/>
        <w:suppressAutoHyphens w:val="0"/>
        <w:autoSpaceDN/>
        <w:spacing w:line="360" w:lineRule="auto"/>
        <w:ind w:firstLine="1134"/>
        <w:jc w:val="both"/>
        <w:textAlignment w:val="auto"/>
        <w:rPr>
          <w:rFonts w:eastAsia="Times New Roman" w:cs="Times New Roman"/>
          <w:kern w:val="0"/>
          <w:lang w:eastAsia="pt-BR" w:bidi="ar-SA"/>
        </w:rPr>
      </w:pPr>
      <w:r>
        <w:rPr>
          <w:rFonts w:eastAsia="Times New Roman" w:cs="Times New Roman"/>
          <w:kern w:val="0"/>
          <w:lang w:eastAsia="pt-BR" w:bidi="ar-SA"/>
        </w:rPr>
        <w:t xml:space="preserve">Ressaltou ainda o ilustre Autor, que além disso a teoria dos Direitos Fundamentais exige de todas as autoridades que atuam, de tal forma que, possa restringir direitos fundamentais, que essa retribuição seja fundamentada, e o indiciamento é uma restrição a direitos fundamentais, então antes não havia regramento legal específico, mas existia fundamento constitucional e legal, como por exemplo: a ação popular, a lei federal que trata de processo administrativo, que exigia fundamento, sendo um dos requisitos do próprio ato administrativo, a competência, motivo, e tudo isso o levou a crer antes do surgimento da lei, que era necessário fundamentar o indiciamento, era dever do delegado de polícia, como sustentou em seu livro, antes da entrada em vigor da lei.  </w:t>
      </w:r>
    </w:p>
    <w:p w:rsidR="00666A7D" w:rsidRDefault="00666A7D" w:rsidP="00666A7D">
      <w:pPr>
        <w:widowControl/>
        <w:suppressAutoHyphens w:val="0"/>
        <w:autoSpaceDN/>
        <w:spacing w:line="360" w:lineRule="auto"/>
        <w:ind w:firstLine="1134"/>
        <w:jc w:val="both"/>
        <w:textAlignment w:val="auto"/>
        <w:rPr>
          <w:rFonts w:eastAsia="Times New Roman" w:cs="Times New Roman"/>
          <w:kern w:val="0"/>
          <w:lang w:eastAsia="pt-BR" w:bidi="ar-SA"/>
        </w:rPr>
      </w:pPr>
      <w:r>
        <w:rPr>
          <w:rFonts w:eastAsia="Times New Roman" w:cs="Times New Roman"/>
          <w:kern w:val="0"/>
          <w:lang w:eastAsia="pt-BR" w:bidi="ar-SA"/>
        </w:rPr>
        <w:t>Enfim, isto posto, com o advento da Lei 12.830/2013,</w:t>
      </w:r>
      <w:r w:rsidR="00A05EC6">
        <w:rPr>
          <w:rFonts w:eastAsia="Times New Roman" w:cs="Times New Roman"/>
          <w:kern w:val="0"/>
          <w:lang w:eastAsia="pt-BR" w:bidi="ar-SA"/>
        </w:rPr>
        <w:t xml:space="preserve"> segundo </w:t>
      </w:r>
      <w:proofErr w:type="spellStart"/>
      <w:r w:rsidR="00A05EC6">
        <w:rPr>
          <w:rFonts w:eastAsia="Times New Roman" w:cs="Times New Roman"/>
          <w:kern w:val="0"/>
          <w:lang w:eastAsia="pt-BR" w:bidi="ar-SA"/>
        </w:rPr>
        <w:t>Cleopas</w:t>
      </w:r>
      <w:proofErr w:type="spellEnd"/>
      <w:r w:rsidR="00A05EC6">
        <w:rPr>
          <w:rFonts w:eastAsia="Times New Roman" w:cs="Times New Roman"/>
          <w:kern w:val="0"/>
          <w:lang w:eastAsia="pt-BR" w:bidi="ar-SA"/>
        </w:rPr>
        <w:t xml:space="preserve"> Isaías Santos,</w:t>
      </w:r>
      <w:r>
        <w:rPr>
          <w:rFonts w:eastAsia="Times New Roman" w:cs="Times New Roman"/>
          <w:kern w:val="0"/>
          <w:lang w:eastAsia="pt-BR" w:bidi="ar-SA"/>
        </w:rPr>
        <w:t xml:space="preserve"> o que muda é que passa a existir a clareza e obrigatoriedade, hoje é um ato obrigatório e está claro que é necessário. Porém, isto ainda é vago para o Autor, já que poderia ser mais claro, pois a lei poderia ter estabelecido o marco, as consequências, mas isto a doutrina e jurisprudência acabam por complementar este “problema”. </w:t>
      </w:r>
    </w:p>
    <w:p w:rsidR="00666A7D" w:rsidRPr="00BF7D66" w:rsidRDefault="00666A7D" w:rsidP="00666A7D">
      <w:pPr>
        <w:pStyle w:val="Standard"/>
        <w:spacing w:after="0" w:line="360" w:lineRule="auto"/>
        <w:ind w:firstLine="1134"/>
        <w:jc w:val="both"/>
        <w:rPr>
          <w:rFonts w:ascii="Times New Roman" w:hAnsi="Times New Roman"/>
          <w:sz w:val="24"/>
          <w:szCs w:val="24"/>
        </w:rPr>
      </w:pPr>
    </w:p>
    <w:p w:rsidR="00666A7D" w:rsidRDefault="00666A7D" w:rsidP="00666A7D">
      <w:pPr>
        <w:pStyle w:val="Standard"/>
        <w:spacing w:after="0" w:line="360" w:lineRule="auto"/>
        <w:jc w:val="both"/>
        <w:rPr>
          <w:rFonts w:ascii="Times New Roman" w:hAnsi="Times New Roman"/>
          <w:b/>
          <w:sz w:val="24"/>
          <w:szCs w:val="24"/>
        </w:rPr>
      </w:pPr>
      <w:r>
        <w:rPr>
          <w:rFonts w:ascii="Times New Roman" w:hAnsi="Times New Roman"/>
          <w:b/>
          <w:sz w:val="24"/>
          <w:szCs w:val="24"/>
        </w:rPr>
        <w:t>CONSIDERAÇÕES FINAIS</w:t>
      </w:r>
    </w:p>
    <w:p w:rsidR="00666A7D" w:rsidRDefault="00666A7D" w:rsidP="00666A7D">
      <w:pPr>
        <w:pStyle w:val="Standard"/>
        <w:spacing w:after="0" w:line="360" w:lineRule="auto"/>
        <w:jc w:val="both"/>
        <w:rPr>
          <w:rFonts w:ascii="Times New Roman" w:hAnsi="Times New Roman"/>
          <w:b/>
          <w:sz w:val="24"/>
          <w:szCs w:val="24"/>
        </w:rPr>
      </w:pPr>
    </w:p>
    <w:p w:rsidR="00581E45" w:rsidRDefault="00666A7D" w:rsidP="001B00C4">
      <w:pPr>
        <w:pStyle w:val="Standard"/>
        <w:spacing w:after="0" w:line="360" w:lineRule="auto"/>
        <w:ind w:firstLine="1134"/>
        <w:jc w:val="both"/>
        <w:rPr>
          <w:rFonts w:ascii="Times New Roman" w:hAnsi="Times New Roman"/>
          <w:sz w:val="24"/>
          <w:szCs w:val="24"/>
        </w:rPr>
      </w:pPr>
      <w:r w:rsidRPr="003018DE">
        <w:rPr>
          <w:rFonts w:ascii="Times New Roman" w:hAnsi="Times New Roman"/>
          <w:sz w:val="24"/>
          <w:szCs w:val="24"/>
        </w:rPr>
        <w:t>Considerando</w:t>
      </w:r>
      <w:r>
        <w:rPr>
          <w:rFonts w:ascii="Times New Roman" w:hAnsi="Times New Roman"/>
          <w:sz w:val="24"/>
          <w:szCs w:val="24"/>
        </w:rPr>
        <w:t xml:space="preserve"> a problemática exposta ao longo do trabalho, e o comparativo entre o tempo em que havia lacuna quanto ao momento do indiciamento, e quando deixou de ter, em 2013, com o advento da Lei 12.830/2013, podemos perceber o quão necessário era uma formalização desta situação pelo Legislador, haja vista que diante do quadro apresentado, havia uma diversidade de discussões quanto a isto, como a existência de fundamentos constitucionais e legais, o problema do marco para se estabelecer o indiciamento, como ele deveria se dar, entre outros. Portanto foi de extrema importância ter sido criada esta Lei, para evitar possível inconstitucionalidade de atos, além de dar mais garantia e segurança jurídica aos atos administrativos dos Delegados Brasileiros. </w:t>
      </w:r>
    </w:p>
    <w:p w:rsidR="001B00C4" w:rsidRPr="001B00C4" w:rsidRDefault="001B00C4" w:rsidP="001B00C4">
      <w:pPr>
        <w:pStyle w:val="Standard"/>
        <w:spacing w:after="0" w:line="360" w:lineRule="auto"/>
        <w:ind w:firstLine="1134"/>
        <w:jc w:val="both"/>
        <w:rPr>
          <w:rFonts w:ascii="Times New Roman" w:hAnsi="Times New Roman"/>
          <w:sz w:val="24"/>
          <w:szCs w:val="24"/>
        </w:rPr>
      </w:pPr>
    </w:p>
    <w:p w:rsidR="00C6463D" w:rsidRDefault="00A05EC6" w:rsidP="00222567">
      <w:pPr>
        <w:pStyle w:val="Standard"/>
        <w:spacing w:after="0" w:line="360" w:lineRule="auto"/>
        <w:jc w:val="both"/>
        <w:rPr>
          <w:rFonts w:ascii="Times New Roman" w:hAnsi="Times New Roman"/>
          <w:b/>
          <w:sz w:val="24"/>
          <w:szCs w:val="24"/>
        </w:rPr>
      </w:pPr>
      <w:r w:rsidRPr="00A05EC6">
        <w:rPr>
          <w:rFonts w:ascii="Times New Roman" w:hAnsi="Times New Roman"/>
          <w:b/>
          <w:noProof/>
          <w:sz w:val="24"/>
          <w:szCs w:val="24"/>
        </w:rPr>
        <w:lastRenderedPageBreak/>
        <mc:AlternateContent>
          <mc:Choice Requires="wps">
            <w:drawing>
              <wp:anchor distT="45720" distB="45720" distL="114300" distR="114300" simplePos="0" relativeHeight="251661312" behindDoc="1" locked="0" layoutInCell="1" allowOverlap="1">
                <wp:simplePos x="0" y="0"/>
                <wp:positionH relativeFrom="column">
                  <wp:posOffset>5415915</wp:posOffset>
                </wp:positionH>
                <wp:positionV relativeFrom="paragraph">
                  <wp:posOffset>-499110</wp:posOffset>
                </wp:positionV>
                <wp:extent cx="645160" cy="238125"/>
                <wp:effectExtent l="0" t="0" r="2540" b="952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38125"/>
                        </a:xfrm>
                        <a:prstGeom prst="rect">
                          <a:avLst/>
                        </a:prstGeom>
                        <a:solidFill>
                          <a:srgbClr val="FFFFFF"/>
                        </a:solidFill>
                        <a:ln w="9525">
                          <a:noFill/>
                          <a:miter lim="800000"/>
                          <a:headEnd/>
                          <a:tailEnd/>
                        </a:ln>
                      </wps:spPr>
                      <wps:txbx>
                        <w:txbxContent>
                          <w:p w:rsidR="00A05EC6" w:rsidRDefault="00A05EC6"/>
                          <w:p w:rsidR="00A05EC6" w:rsidRDefault="00A05E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26.45pt;margin-top:-39.3pt;width:50.8pt;height:18.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" stroked="f">
                <v:textbox>
                  <w:txbxContent>
                    <w:p w:rsidR="00A05EC6" w:rsidRDefault="00A05EC6"/>
                    <w:p w:rsidR="00A05EC6" w:rsidRDefault="00A05EC6"/>
                  </w:txbxContent>
                </v:textbox>
              </v:shape>
            </w:pict>
          </mc:Fallback>
        </mc:AlternateContent>
      </w:r>
      <w:r w:rsidR="0020558E">
        <w:rPr>
          <w:rFonts w:ascii="Times New Roman" w:hAnsi="Times New Roman"/>
          <w:b/>
          <w:sz w:val="24"/>
          <w:szCs w:val="24"/>
        </w:rPr>
        <w:t>REFERÊNCIAS</w:t>
      </w:r>
    </w:p>
    <w:p w:rsidR="00BF7D66" w:rsidRDefault="00BF7D66" w:rsidP="00BF7D66">
      <w:pPr>
        <w:rPr>
          <w:szCs w:val="23"/>
        </w:rPr>
      </w:pPr>
    </w:p>
    <w:p w:rsidR="00B97ED1" w:rsidRDefault="00B97ED1" w:rsidP="00B97ED1">
      <w:pPr>
        <w:jc w:val="both"/>
        <w:rPr>
          <w:szCs w:val="23"/>
        </w:rPr>
      </w:pPr>
      <w:r>
        <w:rPr>
          <w:szCs w:val="23"/>
        </w:rPr>
        <w:t>GRECO FILHO</w:t>
      </w:r>
      <w:r w:rsidRPr="00B97ED1">
        <w:rPr>
          <w:szCs w:val="23"/>
        </w:rPr>
        <w:t>, Vicente</w:t>
      </w:r>
      <w:r>
        <w:rPr>
          <w:szCs w:val="23"/>
        </w:rPr>
        <w:t>.</w:t>
      </w:r>
      <w:r w:rsidRPr="00B97ED1">
        <w:rPr>
          <w:szCs w:val="23"/>
        </w:rPr>
        <w:t xml:space="preserve"> </w:t>
      </w:r>
      <w:r w:rsidRPr="00B97ED1">
        <w:rPr>
          <w:b/>
          <w:szCs w:val="23"/>
        </w:rPr>
        <w:t>Manual de processo penal</w:t>
      </w:r>
      <w:r>
        <w:rPr>
          <w:szCs w:val="23"/>
        </w:rPr>
        <w:t>.</w:t>
      </w:r>
      <w:r w:rsidRPr="00B97ED1">
        <w:rPr>
          <w:szCs w:val="23"/>
        </w:rPr>
        <w:t xml:space="preserve"> – 9</w:t>
      </w:r>
      <w:r>
        <w:rPr>
          <w:szCs w:val="23"/>
        </w:rPr>
        <w:t>. ed. rev. e atual. – São Paulo</w:t>
      </w:r>
      <w:r w:rsidRPr="00B97ED1">
        <w:rPr>
          <w:szCs w:val="23"/>
        </w:rPr>
        <w:t>:</w:t>
      </w:r>
      <w:r>
        <w:rPr>
          <w:szCs w:val="23"/>
        </w:rPr>
        <w:t xml:space="preserve"> </w:t>
      </w:r>
      <w:r w:rsidRPr="00B97ED1">
        <w:rPr>
          <w:szCs w:val="23"/>
        </w:rPr>
        <w:t>Saraiva, 2012</w:t>
      </w:r>
      <w:r>
        <w:rPr>
          <w:szCs w:val="23"/>
        </w:rPr>
        <w:t>;</w:t>
      </w:r>
    </w:p>
    <w:p w:rsidR="00B97ED1" w:rsidRDefault="00B97ED1" w:rsidP="00B97ED1">
      <w:pPr>
        <w:jc w:val="both"/>
        <w:rPr>
          <w:szCs w:val="23"/>
        </w:rPr>
      </w:pPr>
    </w:p>
    <w:p w:rsidR="00BF7D66" w:rsidRDefault="00BF7D66" w:rsidP="00B97ED1">
      <w:pPr>
        <w:jc w:val="both"/>
        <w:rPr>
          <w:szCs w:val="23"/>
        </w:rPr>
      </w:pPr>
      <w:r w:rsidRPr="00B97ED1">
        <w:rPr>
          <w:szCs w:val="23"/>
        </w:rPr>
        <w:t xml:space="preserve">LOPES JR, </w:t>
      </w:r>
      <w:proofErr w:type="spellStart"/>
      <w:r w:rsidRPr="00B97ED1">
        <w:rPr>
          <w:szCs w:val="23"/>
        </w:rPr>
        <w:t>Aury</w:t>
      </w:r>
      <w:proofErr w:type="spellEnd"/>
      <w:r w:rsidRPr="00B97ED1">
        <w:rPr>
          <w:szCs w:val="23"/>
        </w:rPr>
        <w:t>; GLOECKNER, R</w:t>
      </w:r>
      <w:proofErr w:type="spellStart"/>
      <w:r w:rsidRPr="00B97ED1">
        <w:rPr>
          <w:szCs w:val="23"/>
          <w:lang w:val="en-US"/>
        </w:rPr>
        <w:t>icardo</w:t>
      </w:r>
      <w:proofErr w:type="spellEnd"/>
      <w:r w:rsidRPr="00B97ED1">
        <w:rPr>
          <w:szCs w:val="23"/>
          <w:lang w:val="en-US"/>
        </w:rPr>
        <w:t xml:space="preserve"> Jacobsen. </w:t>
      </w:r>
      <w:r w:rsidRPr="007179DD">
        <w:rPr>
          <w:b/>
          <w:szCs w:val="23"/>
        </w:rPr>
        <w:t>Investigação preliminar no processo penal</w:t>
      </w:r>
      <w:r w:rsidRPr="007179DD">
        <w:rPr>
          <w:szCs w:val="23"/>
        </w:rPr>
        <w:t>.</w:t>
      </w:r>
      <w:r>
        <w:rPr>
          <w:szCs w:val="23"/>
        </w:rPr>
        <w:t xml:space="preserve"> 5ª ed. rev. atual. e </w:t>
      </w:r>
      <w:proofErr w:type="spellStart"/>
      <w:r>
        <w:rPr>
          <w:szCs w:val="23"/>
        </w:rPr>
        <w:t>ampl</w:t>
      </w:r>
      <w:proofErr w:type="spellEnd"/>
      <w:r>
        <w:rPr>
          <w:szCs w:val="23"/>
        </w:rPr>
        <w:t>. São Paulo: Saraiva, 2013;</w:t>
      </w:r>
    </w:p>
    <w:p w:rsidR="00BF7D66" w:rsidRDefault="00BF7D66" w:rsidP="00B97ED1">
      <w:pPr>
        <w:jc w:val="both"/>
        <w:rPr>
          <w:szCs w:val="23"/>
        </w:rPr>
      </w:pPr>
    </w:p>
    <w:p w:rsidR="00BF7D66" w:rsidRDefault="00BF7D66" w:rsidP="00B97ED1">
      <w:pPr>
        <w:jc w:val="both"/>
        <w:rPr>
          <w:rFonts w:cs="Times New Roman"/>
        </w:rPr>
      </w:pPr>
      <w:r w:rsidRPr="0062789A">
        <w:rPr>
          <w:rFonts w:cs="Times New Roman"/>
        </w:rPr>
        <w:t xml:space="preserve">OLIVEIRA, Eugênio </w:t>
      </w:r>
      <w:proofErr w:type="spellStart"/>
      <w:r w:rsidRPr="0062789A">
        <w:rPr>
          <w:rFonts w:cs="Times New Roman"/>
        </w:rPr>
        <w:t>Pacelli</w:t>
      </w:r>
      <w:proofErr w:type="spellEnd"/>
      <w:r w:rsidRPr="0062789A">
        <w:rPr>
          <w:rFonts w:cs="Times New Roman"/>
        </w:rPr>
        <w:t xml:space="preserve"> de. </w:t>
      </w:r>
      <w:r w:rsidRPr="0047197C">
        <w:rPr>
          <w:rFonts w:cs="Times New Roman"/>
          <w:b/>
        </w:rPr>
        <w:t>Curso de Processo Penal</w:t>
      </w:r>
      <w:r>
        <w:rPr>
          <w:rFonts w:cs="Times New Roman"/>
        </w:rPr>
        <w:t>. 16 ed. São Paulo: Atlas, 2012;</w:t>
      </w:r>
    </w:p>
    <w:p w:rsidR="00A57F2A" w:rsidRDefault="00A57F2A" w:rsidP="00B97ED1">
      <w:pPr>
        <w:jc w:val="both"/>
        <w:rPr>
          <w:rFonts w:cs="Times New Roman"/>
        </w:rPr>
      </w:pPr>
    </w:p>
    <w:p w:rsidR="00A57F2A" w:rsidRPr="00136A30" w:rsidRDefault="00A57F2A" w:rsidP="00B97ED1">
      <w:pPr>
        <w:jc w:val="both"/>
        <w:rPr>
          <w:rFonts w:cs="Times New Roman"/>
        </w:rPr>
      </w:pPr>
      <w:r w:rsidRPr="00136A30">
        <w:rPr>
          <w:rFonts w:eastAsia="Times New Roman" w:cs="Times New Roman"/>
          <w:kern w:val="0"/>
          <w:lang w:eastAsia="pt-BR" w:bidi="ar-SA"/>
        </w:rPr>
        <w:t xml:space="preserve">SANTOS, </w:t>
      </w:r>
      <w:proofErr w:type="spellStart"/>
      <w:r w:rsidRPr="00136A30">
        <w:rPr>
          <w:rFonts w:eastAsia="Times New Roman" w:cs="Times New Roman"/>
          <w:kern w:val="0"/>
          <w:lang w:eastAsia="pt-BR" w:bidi="ar-SA"/>
        </w:rPr>
        <w:t>Cleopas</w:t>
      </w:r>
      <w:proofErr w:type="spellEnd"/>
      <w:r w:rsidRPr="00136A30">
        <w:rPr>
          <w:rFonts w:eastAsia="Times New Roman" w:cs="Times New Roman"/>
          <w:kern w:val="0"/>
          <w:lang w:eastAsia="pt-BR" w:bidi="ar-SA"/>
        </w:rPr>
        <w:t xml:space="preserve"> Isaías. </w:t>
      </w:r>
      <w:r w:rsidRPr="00136A30">
        <w:rPr>
          <w:rFonts w:eastAsia="Times New Roman" w:cs="Times New Roman"/>
          <w:b/>
          <w:kern w:val="0"/>
          <w:lang w:eastAsia="pt-BR" w:bidi="ar-SA"/>
        </w:rPr>
        <w:t xml:space="preserve">As lacunas no indiciamento antes do advento da Lei 12.830/2013. </w:t>
      </w:r>
      <w:r w:rsidRPr="00136A30">
        <w:rPr>
          <w:rFonts w:eastAsia="Times New Roman" w:cs="Times New Roman"/>
          <w:kern w:val="0"/>
          <w:lang w:eastAsia="pt-BR" w:bidi="ar-SA"/>
        </w:rPr>
        <w:t>São Luís: abril de 2014. Entrevista concedida a Felipe Noronha e Fernanda Britto</w:t>
      </w:r>
      <w:r>
        <w:rPr>
          <w:rFonts w:eastAsia="Times New Roman" w:cs="Times New Roman"/>
          <w:kern w:val="0"/>
          <w:lang w:eastAsia="pt-BR" w:bidi="ar-SA"/>
        </w:rPr>
        <w:t xml:space="preserve">. </w:t>
      </w:r>
    </w:p>
    <w:p w:rsidR="00BF7D66" w:rsidRPr="007179DD" w:rsidRDefault="00BF7D66" w:rsidP="00BF7D66">
      <w:pPr>
        <w:rPr>
          <w:szCs w:val="23"/>
        </w:rPr>
      </w:pPr>
    </w:p>
    <w:p w:rsidR="00E73FA4" w:rsidRDefault="00BF7D66" w:rsidP="00EF1D89">
      <w:r>
        <w:rPr>
          <w:szCs w:val="23"/>
        </w:rPr>
        <w:t>ZANOT</w:t>
      </w:r>
      <w:r w:rsidR="00A57F2A">
        <w:rPr>
          <w:szCs w:val="23"/>
        </w:rPr>
        <w:t>T</w:t>
      </w:r>
      <w:r>
        <w:rPr>
          <w:szCs w:val="23"/>
        </w:rPr>
        <w:t xml:space="preserve">I, Bruno </w:t>
      </w:r>
      <w:proofErr w:type="spellStart"/>
      <w:r>
        <w:rPr>
          <w:szCs w:val="23"/>
        </w:rPr>
        <w:t>Taufner</w:t>
      </w:r>
      <w:proofErr w:type="spellEnd"/>
      <w:r>
        <w:rPr>
          <w:szCs w:val="23"/>
        </w:rPr>
        <w:t xml:space="preserve">; SANTOS, </w:t>
      </w:r>
      <w:proofErr w:type="spellStart"/>
      <w:r>
        <w:rPr>
          <w:szCs w:val="23"/>
        </w:rPr>
        <w:t>Cleopas</w:t>
      </w:r>
      <w:proofErr w:type="spellEnd"/>
      <w:r>
        <w:rPr>
          <w:szCs w:val="23"/>
        </w:rPr>
        <w:t xml:space="preserve"> Isaías. </w:t>
      </w:r>
      <w:r>
        <w:rPr>
          <w:b/>
          <w:szCs w:val="23"/>
        </w:rPr>
        <w:t xml:space="preserve">Delegado de Polícia em Ação: </w:t>
      </w:r>
      <w:r>
        <w:rPr>
          <w:szCs w:val="23"/>
        </w:rPr>
        <w:t xml:space="preserve">Teoria e prática. 1ª ed. – </w:t>
      </w:r>
      <w:proofErr w:type="spellStart"/>
      <w:r>
        <w:rPr>
          <w:szCs w:val="23"/>
        </w:rPr>
        <w:t>Salvador-BA</w:t>
      </w:r>
      <w:proofErr w:type="spellEnd"/>
      <w:r>
        <w:rPr>
          <w:szCs w:val="23"/>
        </w:rPr>
        <w:t xml:space="preserve">: Editora Jus </w:t>
      </w:r>
      <w:proofErr w:type="spellStart"/>
      <w:r>
        <w:rPr>
          <w:szCs w:val="23"/>
        </w:rPr>
        <w:t>Podvm</w:t>
      </w:r>
      <w:proofErr w:type="spellEnd"/>
      <w:r>
        <w:rPr>
          <w:szCs w:val="23"/>
        </w:rPr>
        <w:t>, 2013.</w:t>
      </w:r>
    </w:p>
    <w:sectPr w:rsidR="00E73FA4" w:rsidSect="00B33A6C">
      <w:headerReference w:type="default" r:id="rId7"/>
      <w:pgSz w:w="11906" w:h="16838"/>
      <w:pgMar w:top="1701" w:right="1134" w:bottom="1134" w:left="1701" w:header="70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04C" w:rsidRDefault="00BC604C">
      <w:r>
        <w:separator/>
      </w:r>
    </w:p>
  </w:endnote>
  <w:endnote w:type="continuationSeparator" w:id="0">
    <w:p w:rsidR="00BC604C" w:rsidRDefault="00BC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Arial Rounded MT Bold">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04C" w:rsidRDefault="00BC604C">
      <w:r>
        <w:rPr>
          <w:color w:val="000000"/>
        </w:rPr>
        <w:separator/>
      </w:r>
    </w:p>
  </w:footnote>
  <w:footnote w:type="continuationSeparator" w:id="0">
    <w:p w:rsidR="00BC604C" w:rsidRDefault="00BC604C">
      <w:r>
        <w:continuationSeparator/>
      </w:r>
    </w:p>
  </w:footnote>
  <w:footnote w:id="1">
    <w:p w:rsidR="00E73FA4" w:rsidRDefault="0020558E" w:rsidP="00B33A6C">
      <w:pPr>
        <w:widowControl/>
        <w:suppressAutoHyphens w:val="0"/>
        <w:autoSpaceDE w:val="0"/>
        <w:adjustRightInd w:val="0"/>
        <w:textAlignment w:val="auto"/>
      </w:pPr>
      <w:r>
        <w:rPr>
          <w:rStyle w:val="Refdenotaderodap"/>
        </w:rPr>
        <w:footnoteRef/>
      </w:r>
      <w:r>
        <w:rPr>
          <w:rFonts w:eastAsia="Times New Roman"/>
          <w:sz w:val="20"/>
          <w:szCs w:val="20"/>
        </w:rPr>
        <w:t xml:space="preserve"> </w:t>
      </w:r>
      <w:r>
        <w:rPr>
          <w:sz w:val="20"/>
          <w:szCs w:val="20"/>
        </w:rPr>
        <w:t xml:space="preserve">Trabalho apresentado à disciplina de </w:t>
      </w:r>
      <w:r w:rsidR="00573164">
        <w:rPr>
          <w:sz w:val="20"/>
          <w:szCs w:val="20"/>
        </w:rPr>
        <w:t>Direito Processual Penal I</w:t>
      </w:r>
      <w:r w:rsidR="00573164">
        <w:rPr>
          <w:rFonts w:cs="Times New Roman"/>
          <w:sz w:val="20"/>
          <w:szCs w:val="20"/>
        </w:rPr>
        <w:t>, ministrada pelo</w:t>
      </w:r>
      <w:r w:rsidRPr="00B33A6C">
        <w:rPr>
          <w:rFonts w:cs="Times New Roman"/>
          <w:sz w:val="20"/>
          <w:szCs w:val="20"/>
        </w:rPr>
        <w:t xml:space="preserve"> </w:t>
      </w:r>
      <w:r w:rsidR="00573164">
        <w:rPr>
          <w:rFonts w:cs="Times New Roman"/>
          <w:kern w:val="0"/>
          <w:sz w:val="20"/>
          <w:szCs w:val="20"/>
          <w:lang w:bidi="ar-SA"/>
        </w:rPr>
        <w:t>Prof</w:t>
      </w:r>
      <w:r w:rsidR="00B33A6C" w:rsidRPr="00B33A6C">
        <w:rPr>
          <w:rFonts w:cs="Times New Roman"/>
          <w:kern w:val="0"/>
          <w:sz w:val="20"/>
          <w:szCs w:val="20"/>
          <w:lang w:bidi="ar-SA"/>
        </w:rPr>
        <w:t xml:space="preserve">. Me. </w:t>
      </w:r>
      <w:proofErr w:type="spellStart"/>
      <w:r w:rsidR="00573164">
        <w:rPr>
          <w:rFonts w:cs="Times New Roman"/>
          <w:kern w:val="0"/>
          <w:sz w:val="20"/>
          <w:szCs w:val="20"/>
          <w:lang w:bidi="ar-SA"/>
        </w:rPr>
        <w:t>Cleopas</w:t>
      </w:r>
      <w:proofErr w:type="spellEnd"/>
      <w:r w:rsidR="00573164">
        <w:rPr>
          <w:rFonts w:cs="Times New Roman"/>
          <w:kern w:val="0"/>
          <w:sz w:val="20"/>
          <w:szCs w:val="20"/>
          <w:lang w:bidi="ar-SA"/>
        </w:rPr>
        <w:t xml:space="preserve"> Isaías Santos</w:t>
      </w:r>
      <w:r>
        <w:rPr>
          <w:sz w:val="20"/>
          <w:szCs w:val="20"/>
        </w:rPr>
        <w:t>, para obtenção parcial de nota.</w:t>
      </w:r>
    </w:p>
  </w:footnote>
  <w:footnote w:id="2">
    <w:p w:rsidR="00E73FA4" w:rsidRDefault="0020558E">
      <w:pPr>
        <w:pStyle w:val="Footnote"/>
        <w:spacing w:after="0" w:line="240" w:lineRule="auto"/>
        <w:jc w:val="both"/>
      </w:pPr>
      <w:r>
        <w:rPr>
          <w:rStyle w:val="Refdenotaderodap"/>
        </w:rPr>
        <w:footnoteRef/>
      </w:r>
      <w:r>
        <w:rPr>
          <w:rFonts w:ascii="Times New Roman" w:eastAsia="Times New Roman" w:hAnsi="Times New Roman"/>
          <w:sz w:val="20"/>
          <w:szCs w:val="20"/>
        </w:rPr>
        <w:t xml:space="preserve"> </w:t>
      </w:r>
      <w:r w:rsidR="00B33A6C">
        <w:rPr>
          <w:rFonts w:ascii="Times New Roman" w:hAnsi="Times New Roman"/>
          <w:sz w:val="20"/>
          <w:szCs w:val="20"/>
        </w:rPr>
        <w:t>Estudante do 6</w:t>
      </w:r>
      <w:r>
        <w:rPr>
          <w:rFonts w:ascii="Times New Roman" w:hAnsi="Times New Roman"/>
          <w:sz w:val="20"/>
          <w:szCs w:val="20"/>
        </w:rPr>
        <w:t>º período do curso de Direito da Unidade de Ensino Superior Dom Bosco –UNDB, e-mail: noronha.felipe1@gmail.com</w:t>
      </w:r>
    </w:p>
  </w:footnote>
  <w:footnote w:id="3">
    <w:p w:rsidR="00E73FA4" w:rsidRDefault="0020558E">
      <w:pPr>
        <w:pStyle w:val="Footnote"/>
        <w:spacing w:after="0" w:line="240" w:lineRule="auto"/>
        <w:jc w:val="both"/>
      </w:pPr>
      <w:r>
        <w:rPr>
          <w:rStyle w:val="Refdenotaderodap"/>
        </w:rPr>
        <w:footnoteRef/>
      </w:r>
      <w:r>
        <w:rPr>
          <w:rFonts w:ascii="Times New Roman" w:eastAsia="Times New Roman" w:hAnsi="Times New Roman"/>
          <w:sz w:val="20"/>
          <w:szCs w:val="20"/>
        </w:rPr>
        <w:t xml:space="preserve"> </w:t>
      </w:r>
      <w:r w:rsidR="00B33A6C">
        <w:rPr>
          <w:rFonts w:ascii="Times New Roman" w:hAnsi="Times New Roman"/>
          <w:sz w:val="20"/>
          <w:szCs w:val="20"/>
        </w:rPr>
        <w:t>Estudante do 6</w:t>
      </w:r>
      <w:r>
        <w:rPr>
          <w:rFonts w:ascii="Times New Roman" w:hAnsi="Times New Roman"/>
          <w:sz w:val="20"/>
          <w:szCs w:val="20"/>
        </w:rPr>
        <w:t xml:space="preserve">º período do curso de Direito da Unidade de Ensino Superior Dom Bosco –UNDB, e-mail: </w:t>
      </w:r>
      <w:r w:rsidR="002B3F52">
        <w:rPr>
          <w:rFonts w:ascii="Times New Roman" w:hAnsi="Times New Roman"/>
          <w:sz w:val="20"/>
          <w:szCs w:val="20"/>
        </w:rPr>
        <w:t>nandabritto.28</w:t>
      </w:r>
      <w:r>
        <w:rPr>
          <w:rFonts w:ascii="Times New Roman" w:hAnsi="Times New Roman"/>
          <w:sz w:val="20"/>
          <w:szCs w:val="20"/>
        </w:rPr>
        <w:t>@</w:t>
      </w:r>
      <w:r w:rsidR="002B3F52">
        <w:rPr>
          <w:rFonts w:ascii="Times New Roman" w:hAnsi="Times New Roman"/>
          <w:sz w:val="20"/>
          <w:szCs w:val="20"/>
        </w:rPr>
        <w:t>gmail</w:t>
      </w:r>
      <w:r>
        <w:rPr>
          <w:rFonts w:ascii="Times New Roman" w:hAnsi="Times New Roman"/>
          <w:sz w:val="20"/>
          <w:szCs w:val="20"/>
        </w:rPr>
        <w:t>.com</w:t>
      </w:r>
    </w:p>
  </w:footnote>
  <w:footnote w:id="4">
    <w:p w:rsidR="00ED1C0C" w:rsidRDefault="00ED1C0C" w:rsidP="00C30CBF">
      <w:pPr>
        <w:pStyle w:val="NormalWeb"/>
        <w:spacing w:before="0" w:after="0"/>
        <w:jc w:val="both"/>
      </w:pPr>
      <w:r w:rsidRPr="00ED1C0C">
        <w:rPr>
          <w:rStyle w:val="Refdenotaderodap"/>
          <w:sz w:val="20"/>
        </w:rPr>
        <w:footnoteRef/>
      </w:r>
      <w:r w:rsidRPr="00ED1C0C">
        <w:rPr>
          <w:sz w:val="20"/>
        </w:rPr>
        <w:t xml:space="preserve"> </w:t>
      </w:r>
      <w:r w:rsidRPr="00ED1C0C">
        <w:rPr>
          <w:color w:val="000000"/>
          <w:kern w:val="0"/>
          <w:sz w:val="20"/>
        </w:rPr>
        <w:t> </w:t>
      </w:r>
      <w:bookmarkStart w:id="1" w:name="art27"/>
      <w:bookmarkEnd w:id="1"/>
      <w:r w:rsidRPr="00ED1C0C">
        <w:rPr>
          <w:color w:val="000000"/>
          <w:kern w:val="0"/>
          <w:sz w:val="20"/>
        </w:rPr>
        <w:t>Art. 27.  Qualquer pessoa do povo poderá provocar a iniciativa do Ministério Público, nos casos em que caiba a ação pública, fornecendo-lhe, por escrito, informações sobre o fato e a autoria e indicando o tempo, o lugar e os elementos de convicção.</w:t>
      </w:r>
      <w:bookmarkStart w:id="2" w:name="art28"/>
      <w:bookmarkEnd w:id="2"/>
    </w:p>
  </w:footnote>
  <w:footnote w:id="5">
    <w:p w:rsidR="00ED1C0C" w:rsidRPr="00C30CBF" w:rsidRDefault="00ED1C0C" w:rsidP="00C30CBF">
      <w:pPr>
        <w:pStyle w:val="Textodenotaderodap"/>
        <w:jc w:val="both"/>
        <w:rPr>
          <w:rFonts w:cs="Times New Roman"/>
        </w:rPr>
      </w:pPr>
      <w:r>
        <w:rPr>
          <w:rStyle w:val="Refdenotaderodap"/>
        </w:rPr>
        <w:footnoteRef/>
      </w:r>
      <w:r>
        <w:t xml:space="preserve"> </w:t>
      </w:r>
      <w:r w:rsidRPr="00ED1C0C">
        <w:rPr>
          <w:rFonts w:eastAsia="Times New Roman" w:cs="Times New Roman"/>
          <w:color w:val="000000"/>
          <w:kern w:val="0"/>
          <w:lang w:eastAsia="pt-BR" w:bidi="ar-SA"/>
        </w:rPr>
        <w:t>Art. 28.  Se o órgão do Ministério Público, ao invés de apresentar a denúncia, requerer o arquivamento do inquérito policial ou de quaisquer peças de informação, o juiz, no caso de considerar improcedentes as razões invocadas, fará remessa do inquérito ou peças de informação ao procurador-geral, e este oferecerá a denúncia, designará outro órgão do Ministério Público para oferecê-la, ou insistirá no pedido de arquivamento, ao qual só então estará o juiz obrigado a atender</w:t>
      </w:r>
    </w:p>
  </w:footnote>
  <w:footnote w:id="6">
    <w:p w:rsidR="00C30CBF" w:rsidRDefault="00C30CBF" w:rsidP="00C30CBF">
      <w:pPr>
        <w:pStyle w:val="Textodenotaderodap"/>
        <w:jc w:val="both"/>
      </w:pPr>
      <w:r w:rsidRPr="00C30CBF">
        <w:rPr>
          <w:rStyle w:val="Refdenotaderodap"/>
          <w:rFonts w:cs="Times New Roman"/>
        </w:rPr>
        <w:footnoteRef/>
      </w:r>
      <w:r w:rsidRPr="00C30CBF">
        <w:rPr>
          <w:rFonts w:cs="Times New Roman"/>
        </w:rPr>
        <w:t xml:space="preserve"> </w:t>
      </w:r>
      <w:r w:rsidRPr="00C30CBF">
        <w:rPr>
          <w:rFonts w:cs="Times New Roman"/>
          <w:color w:val="000000"/>
          <w:szCs w:val="20"/>
          <w:shd w:val="clear" w:color="auto" w:fill="FFFFFF"/>
        </w:rPr>
        <w:t>Art. 9</w:t>
      </w:r>
      <w:r>
        <w:rPr>
          <w:rFonts w:cs="Times New Roman"/>
          <w:color w:val="000000"/>
          <w:szCs w:val="20"/>
          <w:shd w:val="clear" w:color="auto" w:fill="FFFFFF"/>
        </w:rPr>
        <w:t>.</w:t>
      </w:r>
      <w:r w:rsidRPr="00C30CBF">
        <w:rPr>
          <w:rFonts w:cs="Times New Roman"/>
          <w:color w:val="000000"/>
          <w:szCs w:val="20"/>
          <w:shd w:val="clear" w:color="auto" w:fill="FFFFFF"/>
        </w:rPr>
        <w:t>Todas as peças do inquérito policial serão, num só processado, reduzidas a escrito ou datilografadas e, neste caso, rubricadas pela autoridade</w:t>
      </w:r>
    </w:p>
  </w:footnote>
  <w:footnote w:id="7">
    <w:p w:rsidR="00883EFE" w:rsidRPr="00883EFE" w:rsidRDefault="00883EFE">
      <w:pPr>
        <w:pStyle w:val="Textodenotaderodap"/>
        <w:rPr>
          <w:rFonts w:cs="Times New Roman"/>
        </w:rPr>
      </w:pPr>
      <w:r w:rsidRPr="00883EFE">
        <w:rPr>
          <w:rStyle w:val="Refdenotaderodap"/>
          <w:rFonts w:cs="Times New Roman"/>
        </w:rPr>
        <w:footnoteRef/>
      </w:r>
      <w:r w:rsidRPr="00883EFE">
        <w:rPr>
          <w:rStyle w:val="apple-converted-space"/>
          <w:rFonts w:cs="Times New Roman"/>
          <w:color w:val="000000"/>
          <w:szCs w:val="20"/>
          <w:shd w:val="clear" w:color="auto" w:fill="FFFFFF"/>
        </w:rPr>
        <w:t> </w:t>
      </w:r>
      <w:bookmarkStart w:id="3" w:name="art17"/>
      <w:bookmarkEnd w:id="3"/>
      <w:r w:rsidRPr="00883EFE">
        <w:rPr>
          <w:rFonts w:cs="Times New Roman"/>
          <w:color w:val="000000"/>
          <w:szCs w:val="20"/>
          <w:shd w:val="clear" w:color="auto" w:fill="FFFFFF"/>
        </w:rPr>
        <w:t>Art. 17.  A autoridade policial não poderá mandar arquivar autos de inquérito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041185"/>
      <w:docPartObj>
        <w:docPartGallery w:val="Page Numbers (Top of Page)"/>
        <w:docPartUnique/>
      </w:docPartObj>
    </w:sdtPr>
    <w:sdtEndPr>
      <w:rPr>
        <w:rFonts w:ascii="Times New Roman" w:hAnsi="Times New Roman" w:cs="Times New Roman"/>
        <w:sz w:val="20"/>
      </w:rPr>
    </w:sdtEndPr>
    <w:sdtContent>
      <w:p w:rsidR="001B00C4" w:rsidRDefault="001B00C4">
        <w:pPr>
          <w:pStyle w:val="Cabealho"/>
          <w:jc w:val="right"/>
          <w:rPr>
            <w:rFonts w:ascii="Times New Roman" w:hAnsi="Times New Roman" w:cs="Times New Roman"/>
            <w:sz w:val="20"/>
          </w:rPr>
        </w:pPr>
        <w:r>
          <w:rPr>
            <w:rFonts w:ascii="Times New Roman" w:hAnsi="Times New Roman" w:cs="Times New Roman"/>
            <w:noProof/>
            <w:sz w:val="20"/>
            <w:lang w:eastAsia="pt-BR"/>
          </w:rPr>
          <w:object w:dxaOrig="1440" w:dyaOrig="1440" w14:anchorId="5CA57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s2050" type="#_x0000_t75" style="position:absolute;left:0;text-align:left;margin-left:-34.9pt;margin-top:-67.5pt;width:143.35pt;height:20.7pt;z-index:251658240;visibility:visible;mso-wrap-style:square;mso-position-horizontal-relative:margin;mso-position-vertical-relative:margin">
              <v:imagedata r:id="rId1" o:title=""/>
              <w10:wrap type="square" anchorx="margin" anchory="margin"/>
            </v:shape>
            <o:OLEObject Type="Embed" ProgID="Unknown" ShapeID="Objeto1" DrawAspect="Content" ObjectID="_1460384480" r:id="rId2"/>
          </w:object>
        </w:r>
      </w:p>
      <w:p w:rsidR="001B00C4" w:rsidRPr="001B00C4" w:rsidRDefault="001B00C4">
        <w:pPr>
          <w:pStyle w:val="Cabealho"/>
          <w:jc w:val="right"/>
          <w:rPr>
            <w:rFonts w:ascii="Times New Roman" w:hAnsi="Times New Roman" w:cs="Times New Roman"/>
            <w:sz w:val="20"/>
          </w:rPr>
        </w:pPr>
        <w:r w:rsidRPr="001B00C4">
          <w:rPr>
            <w:rFonts w:ascii="Times New Roman" w:hAnsi="Times New Roman" w:cs="Times New Roman"/>
            <w:sz w:val="20"/>
          </w:rPr>
          <w:fldChar w:fldCharType="begin"/>
        </w:r>
        <w:r w:rsidRPr="001B00C4">
          <w:rPr>
            <w:rFonts w:ascii="Times New Roman" w:hAnsi="Times New Roman" w:cs="Times New Roman"/>
            <w:sz w:val="20"/>
          </w:rPr>
          <w:instrText>PAGE   \* MERGEFORMAT</w:instrText>
        </w:r>
        <w:r w:rsidRPr="001B00C4">
          <w:rPr>
            <w:rFonts w:ascii="Times New Roman" w:hAnsi="Times New Roman" w:cs="Times New Roman"/>
            <w:sz w:val="20"/>
          </w:rPr>
          <w:fldChar w:fldCharType="separate"/>
        </w:r>
        <w:r w:rsidR="00274A69">
          <w:rPr>
            <w:rFonts w:ascii="Times New Roman" w:hAnsi="Times New Roman" w:cs="Times New Roman"/>
            <w:noProof/>
            <w:sz w:val="20"/>
          </w:rPr>
          <w:t>1</w:t>
        </w:r>
        <w:r w:rsidRPr="001B00C4">
          <w:rPr>
            <w:rFonts w:ascii="Times New Roman" w:hAnsi="Times New Roman" w:cs="Times New Roman"/>
            <w:sz w:val="20"/>
          </w:rPr>
          <w:fldChar w:fldCharType="end"/>
        </w:r>
      </w:p>
    </w:sdtContent>
  </w:sdt>
  <w:p w:rsidR="00143089" w:rsidRDefault="00BC60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73CCD"/>
    <w:multiLevelType w:val="multilevel"/>
    <w:tmpl w:val="65AAA00C"/>
    <w:styleLink w:val="WW8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A4"/>
    <w:rsid w:val="00070CEA"/>
    <w:rsid w:val="000721F6"/>
    <w:rsid w:val="000758D8"/>
    <w:rsid w:val="00090B43"/>
    <w:rsid w:val="000A4DB3"/>
    <w:rsid w:val="000B223D"/>
    <w:rsid w:val="000B7201"/>
    <w:rsid w:val="000E3066"/>
    <w:rsid w:val="0010687B"/>
    <w:rsid w:val="00112CEB"/>
    <w:rsid w:val="00123F83"/>
    <w:rsid w:val="00135F4D"/>
    <w:rsid w:val="00144600"/>
    <w:rsid w:val="00150B47"/>
    <w:rsid w:val="00151613"/>
    <w:rsid w:val="0017133E"/>
    <w:rsid w:val="00183B51"/>
    <w:rsid w:val="00190B19"/>
    <w:rsid w:val="001B00C4"/>
    <w:rsid w:val="001B408C"/>
    <w:rsid w:val="001C74EF"/>
    <w:rsid w:val="001D262F"/>
    <w:rsid w:val="001D2976"/>
    <w:rsid w:val="00202FA7"/>
    <w:rsid w:val="00203E25"/>
    <w:rsid w:val="0020558E"/>
    <w:rsid w:val="0022026A"/>
    <w:rsid w:val="00222567"/>
    <w:rsid w:val="00237D3A"/>
    <w:rsid w:val="00251388"/>
    <w:rsid w:val="002578AA"/>
    <w:rsid w:val="00261760"/>
    <w:rsid w:val="00274A69"/>
    <w:rsid w:val="002856CF"/>
    <w:rsid w:val="002A5B06"/>
    <w:rsid w:val="002B3F52"/>
    <w:rsid w:val="002B7E5B"/>
    <w:rsid w:val="002B7E71"/>
    <w:rsid w:val="002C1472"/>
    <w:rsid w:val="002C4DD3"/>
    <w:rsid w:val="002D1BCF"/>
    <w:rsid w:val="002E0CB7"/>
    <w:rsid w:val="00302B9F"/>
    <w:rsid w:val="003030C9"/>
    <w:rsid w:val="00306720"/>
    <w:rsid w:val="00360F37"/>
    <w:rsid w:val="003726CF"/>
    <w:rsid w:val="0039630B"/>
    <w:rsid w:val="003A12D8"/>
    <w:rsid w:val="003A7A61"/>
    <w:rsid w:val="003C7240"/>
    <w:rsid w:val="003C7E66"/>
    <w:rsid w:val="003D367E"/>
    <w:rsid w:val="003D5699"/>
    <w:rsid w:val="003E576D"/>
    <w:rsid w:val="00402B1F"/>
    <w:rsid w:val="00410655"/>
    <w:rsid w:val="00414EFB"/>
    <w:rsid w:val="004217CB"/>
    <w:rsid w:val="004249CC"/>
    <w:rsid w:val="0043418B"/>
    <w:rsid w:val="004341C1"/>
    <w:rsid w:val="00470BB6"/>
    <w:rsid w:val="0047197C"/>
    <w:rsid w:val="00493B09"/>
    <w:rsid w:val="004C5163"/>
    <w:rsid w:val="004D465A"/>
    <w:rsid w:val="004F458F"/>
    <w:rsid w:val="0050377A"/>
    <w:rsid w:val="005268FA"/>
    <w:rsid w:val="005517F9"/>
    <w:rsid w:val="00573164"/>
    <w:rsid w:val="00581E45"/>
    <w:rsid w:val="0058561B"/>
    <w:rsid w:val="005918B2"/>
    <w:rsid w:val="005A778A"/>
    <w:rsid w:val="005C2841"/>
    <w:rsid w:val="005E5AC4"/>
    <w:rsid w:val="005F43B5"/>
    <w:rsid w:val="00630447"/>
    <w:rsid w:val="00666A7D"/>
    <w:rsid w:val="00681A57"/>
    <w:rsid w:val="006949D4"/>
    <w:rsid w:val="006B6F53"/>
    <w:rsid w:val="006E36D4"/>
    <w:rsid w:val="006E5AFA"/>
    <w:rsid w:val="006E7E40"/>
    <w:rsid w:val="006F5B68"/>
    <w:rsid w:val="00723383"/>
    <w:rsid w:val="00723B9E"/>
    <w:rsid w:val="0072552D"/>
    <w:rsid w:val="007410E9"/>
    <w:rsid w:val="00742355"/>
    <w:rsid w:val="00747A2C"/>
    <w:rsid w:val="00772FF9"/>
    <w:rsid w:val="007852A3"/>
    <w:rsid w:val="00785626"/>
    <w:rsid w:val="007A68C6"/>
    <w:rsid w:val="007B643B"/>
    <w:rsid w:val="007D036C"/>
    <w:rsid w:val="007E6194"/>
    <w:rsid w:val="0083256A"/>
    <w:rsid w:val="0086574B"/>
    <w:rsid w:val="00867B44"/>
    <w:rsid w:val="00883EFE"/>
    <w:rsid w:val="008A4C41"/>
    <w:rsid w:val="008B3952"/>
    <w:rsid w:val="008C14AE"/>
    <w:rsid w:val="008E7A03"/>
    <w:rsid w:val="00961B66"/>
    <w:rsid w:val="009875BC"/>
    <w:rsid w:val="00990E74"/>
    <w:rsid w:val="009A286C"/>
    <w:rsid w:val="009A56E7"/>
    <w:rsid w:val="009D3334"/>
    <w:rsid w:val="009D614E"/>
    <w:rsid w:val="00A05EC6"/>
    <w:rsid w:val="00A26243"/>
    <w:rsid w:val="00A476DA"/>
    <w:rsid w:val="00A57F2A"/>
    <w:rsid w:val="00A75726"/>
    <w:rsid w:val="00AA3B8C"/>
    <w:rsid w:val="00AA57FE"/>
    <w:rsid w:val="00AD34B3"/>
    <w:rsid w:val="00AF43E1"/>
    <w:rsid w:val="00AF4F4B"/>
    <w:rsid w:val="00B02E33"/>
    <w:rsid w:val="00B22137"/>
    <w:rsid w:val="00B33A6C"/>
    <w:rsid w:val="00B45281"/>
    <w:rsid w:val="00B72325"/>
    <w:rsid w:val="00B74F8E"/>
    <w:rsid w:val="00B97ED1"/>
    <w:rsid w:val="00BB22FD"/>
    <w:rsid w:val="00BC604C"/>
    <w:rsid w:val="00BF7D66"/>
    <w:rsid w:val="00C0538C"/>
    <w:rsid w:val="00C0664A"/>
    <w:rsid w:val="00C077A6"/>
    <w:rsid w:val="00C15BEF"/>
    <w:rsid w:val="00C16EE7"/>
    <w:rsid w:val="00C27C5C"/>
    <w:rsid w:val="00C30531"/>
    <w:rsid w:val="00C30CBF"/>
    <w:rsid w:val="00C55438"/>
    <w:rsid w:val="00C6463D"/>
    <w:rsid w:val="00C650A2"/>
    <w:rsid w:val="00C80D0F"/>
    <w:rsid w:val="00C83E86"/>
    <w:rsid w:val="00CB16F3"/>
    <w:rsid w:val="00CE14A7"/>
    <w:rsid w:val="00CE32F1"/>
    <w:rsid w:val="00CE4156"/>
    <w:rsid w:val="00CF06E4"/>
    <w:rsid w:val="00D01B6A"/>
    <w:rsid w:val="00D24903"/>
    <w:rsid w:val="00D2599A"/>
    <w:rsid w:val="00D73802"/>
    <w:rsid w:val="00DE33C3"/>
    <w:rsid w:val="00E13B2F"/>
    <w:rsid w:val="00E13D45"/>
    <w:rsid w:val="00E148A8"/>
    <w:rsid w:val="00E54044"/>
    <w:rsid w:val="00E623AF"/>
    <w:rsid w:val="00E6553A"/>
    <w:rsid w:val="00E73FA4"/>
    <w:rsid w:val="00EA143E"/>
    <w:rsid w:val="00EA268F"/>
    <w:rsid w:val="00EA4BE5"/>
    <w:rsid w:val="00ED1C0C"/>
    <w:rsid w:val="00ED718F"/>
    <w:rsid w:val="00EF1D89"/>
    <w:rsid w:val="00F02FC3"/>
    <w:rsid w:val="00F06C46"/>
    <w:rsid w:val="00F1671F"/>
    <w:rsid w:val="00F24475"/>
    <w:rsid w:val="00F46A52"/>
    <w:rsid w:val="00F50B04"/>
    <w:rsid w:val="00F51B78"/>
    <w:rsid w:val="00F62659"/>
    <w:rsid w:val="00F67780"/>
    <w:rsid w:val="00F82E22"/>
    <w:rsid w:val="00FD5D0D"/>
    <w:rsid w:val="00FE05FA"/>
    <w:rsid w:val="00FE2E8E"/>
    <w:rsid w:val="00FF3828"/>
    <w:rsid w:val="00FF79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D164243-DDD8-4A54-A076-F5665DD8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Standard"/>
    <w:next w:val="Textbody"/>
    <w:pPr>
      <w:spacing w:before="280" w:after="280" w:line="240" w:lineRule="auto"/>
      <w:outlineLvl w:val="0"/>
    </w:pPr>
    <w:rPr>
      <w:rFonts w:ascii="Times New Roman" w:eastAsia="Times New Roman" w:hAnsi="Times New Roman"/>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spacing w:after="200" w:line="276" w:lineRule="auto"/>
    </w:pPr>
    <w:rPr>
      <w:rFonts w:ascii="Calibri, 'Arial Rounded MT Bold" w:eastAsia="Calibri, 'Arial Rounded MT Bold" w:hAnsi="Calibri, 'Arial Rounded MT Bold" w:cs="Times New Roman"/>
      <w:sz w:val="22"/>
      <w:szCs w:val="22"/>
      <w:lang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sz w:val="24"/>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PargrafodaLista">
    <w:name w:val="List Paragraph"/>
    <w:basedOn w:val="Standard"/>
    <w:pPr>
      <w:ind w:left="720"/>
    </w:pPr>
  </w:style>
  <w:style w:type="paragraph" w:customStyle="1" w:styleId="Default">
    <w:name w:val="Default"/>
    <w:pPr>
      <w:suppressAutoHyphens/>
      <w:autoSpaceDE w:val="0"/>
    </w:pPr>
    <w:rPr>
      <w:rFonts w:ascii="Calibri, 'Arial Rounded MT Bold" w:eastAsia="Calibri, 'Arial Rounded MT Bold" w:hAnsi="Calibri, 'Arial Rounded MT Bold" w:cs="Times New Roman"/>
      <w:color w:val="000000"/>
      <w:sz w:val="20"/>
      <w:szCs w:val="20"/>
      <w:lang w:eastAsia="pt-BR" w:bidi="ar-SA"/>
    </w:rPr>
  </w:style>
  <w:style w:type="paragraph" w:styleId="Textodebalo">
    <w:name w:val="Balloon Text"/>
    <w:basedOn w:val="Standard"/>
    <w:pPr>
      <w:spacing w:after="0" w:line="240" w:lineRule="auto"/>
    </w:pPr>
    <w:rPr>
      <w:rFonts w:ascii="Segoe UI" w:hAnsi="Segoe UI" w:cs="Segoe UI"/>
      <w:sz w:val="18"/>
      <w:szCs w:val="18"/>
    </w:rPr>
  </w:style>
  <w:style w:type="paragraph" w:styleId="Rodap">
    <w:name w:val="footer"/>
    <w:basedOn w:val="Standard"/>
    <w:pPr>
      <w:tabs>
        <w:tab w:val="center" w:pos="4252"/>
        <w:tab w:val="right" w:pos="8504"/>
      </w:tabs>
    </w:pPr>
  </w:style>
  <w:style w:type="paragraph" w:customStyle="1" w:styleId="Footnote">
    <w:name w:val="Footnote"/>
    <w:basedOn w:val="Standard"/>
  </w:style>
  <w:style w:type="paragraph" w:styleId="Cabealho">
    <w:name w:val="header"/>
    <w:basedOn w:val="Standard"/>
    <w:uiPriority w:val="99"/>
    <w:pPr>
      <w:tabs>
        <w:tab w:val="center" w:pos="4419"/>
        <w:tab w:val="right" w:pos="8838"/>
      </w:tabs>
      <w:spacing w:after="0" w:line="240" w:lineRule="auto"/>
    </w:pPr>
    <w:rPr>
      <w:rFonts w:ascii="Arial" w:eastAsia="Times New Roman" w:hAnsi="Arial" w:cs="Arial"/>
      <w:sz w:val="28"/>
      <w:szCs w:val="24"/>
      <w:lang w:eastAsia="ar-SA"/>
    </w:rPr>
  </w:style>
  <w:style w:type="paragraph" w:styleId="NormalWeb">
    <w:name w:val="Normal (Web)"/>
    <w:basedOn w:val="Standard"/>
    <w:uiPriority w:val="99"/>
    <w:pPr>
      <w:spacing w:before="240" w:after="240" w:line="240" w:lineRule="auto"/>
    </w:pPr>
    <w:rPr>
      <w:rFonts w:ascii="Times New Roman" w:eastAsia="Times New Roman" w:hAnsi="Times New Roman"/>
      <w:sz w:val="24"/>
      <w:szCs w:val="24"/>
      <w:lang w:eastAsia="pt-BR"/>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TextodebaloChar">
    <w:name w:val="Texto de balão Char"/>
    <w:rPr>
      <w:rFonts w:ascii="Segoe UI" w:hAnsi="Segoe UI" w:cs="Segoe UI"/>
      <w:sz w:val="18"/>
      <w:szCs w:val="18"/>
      <w:lang w:eastAsia="en-US"/>
    </w:rPr>
  </w:style>
  <w:style w:type="character" w:customStyle="1" w:styleId="Ttulo1Char">
    <w:name w:val="Título 1 Char"/>
    <w:rPr>
      <w:rFonts w:ascii="Times New Roman" w:eastAsia="Times New Roman" w:hAnsi="Times New Roman" w:cs="Times New Roman"/>
      <w:b/>
      <w:bCs/>
      <w:kern w:val="3"/>
      <w:sz w:val="48"/>
      <w:szCs w:val="48"/>
    </w:rPr>
  </w:style>
  <w:style w:type="character" w:customStyle="1" w:styleId="RodapChar">
    <w:name w:val="Rodapé Char"/>
    <w:rPr>
      <w:sz w:val="22"/>
      <w:szCs w:val="22"/>
      <w:lang w:eastAsia="en-US"/>
    </w:rPr>
  </w:style>
  <w:style w:type="character" w:customStyle="1" w:styleId="TextodenotaderodapChar">
    <w:name w:val="Texto de nota de rodapé Char"/>
    <w:rPr>
      <w:lang w:eastAsia="en-US"/>
    </w:rPr>
  </w:style>
  <w:style w:type="character" w:customStyle="1" w:styleId="CabealhoChar">
    <w:name w:val="Cabeçalho Char"/>
    <w:uiPriority w:val="99"/>
    <w:rPr>
      <w:rFonts w:ascii="Arial" w:eastAsia="Times New Roman" w:hAnsi="Arial" w:cs="Arial"/>
      <w:sz w:val="28"/>
      <w:szCs w:val="24"/>
      <w:lang w:eastAsia="ar-SA"/>
    </w:rPr>
  </w:style>
  <w:style w:type="character" w:styleId="Nmerodepgina">
    <w:name w:val="page number"/>
    <w:basedOn w:val="Fontepargpadro"/>
  </w:style>
  <w:style w:type="character" w:customStyle="1" w:styleId="Internetlink">
    <w:name w:val="Internet link"/>
    <w:rPr>
      <w:color w:val="0000FF"/>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styleId="Refdenotaderodap">
    <w:name w:val="footnote reference"/>
    <w:basedOn w:val="Fontepargpadro"/>
    <w:rPr>
      <w:position w:val="0"/>
      <w:vertAlign w:val="superscript"/>
    </w:rPr>
  </w:style>
  <w:style w:type="numbering" w:customStyle="1" w:styleId="WW8Num1">
    <w:name w:val="WW8Num1"/>
    <w:basedOn w:val="Semlista"/>
    <w:pPr>
      <w:numPr>
        <w:numId w:val="1"/>
      </w:numPr>
    </w:pPr>
  </w:style>
  <w:style w:type="character" w:customStyle="1" w:styleId="apple-converted-space">
    <w:name w:val="apple-converted-space"/>
    <w:basedOn w:val="Fontepargpadro"/>
    <w:rsid w:val="00144600"/>
  </w:style>
  <w:style w:type="character" w:styleId="nfase">
    <w:name w:val="Emphasis"/>
    <w:basedOn w:val="Fontepargpadro"/>
    <w:uiPriority w:val="20"/>
    <w:qFormat/>
    <w:rsid w:val="00144600"/>
    <w:rPr>
      <w:i/>
      <w:iCs/>
    </w:rPr>
  </w:style>
  <w:style w:type="character" w:styleId="Forte">
    <w:name w:val="Strong"/>
    <w:basedOn w:val="Fontepargpadro"/>
    <w:uiPriority w:val="22"/>
    <w:qFormat/>
    <w:rsid w:val="00144600"/>
    <w:rPr>
      <w:b/>
      <w:bCs/>
    </w:rPr>
  </w:style>
  <w:style w:type="paragraph" w:customStyle="1" w:styleId="texto2">
    <w:name w:val="texto2"/>
    <w:basedOn w:val="Normal"/>
    <w:rsid w:val="00183B51"/>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styleId="Hyperlink">
    <w:name w:val="Hyperlink"/>
    <w:basedOn w:val="Fontepargpadro"/>
    <w:uiPriority w:val="99"/>
    <w:unhideWhenUsed/>
    <w:rsid w:val="005A778A"/>
    <w:rPr>
      <w:color w:val="0563C1" w:themeColor="hyperlink"/>
      <w:u w:val="single"/>
    </w:rPr>
  </w:style>
  <w:style w:type="paragraph" w:styleId="Textodenotaderodap">
    <w:name w:val="footnote text"/>
    <w:basedOn w:val="Normal"/>
    <w:link w:val="TextodenotaderodapChar1"/>
    <w:uiPriority w:val="99"/>
    <w:semiHidden/>
    <w:unhideWhenUsed/>
    <w:rsid w:val="00ED1C0C"/>
    <w:rPr>
      <w:sz w:val="20"/>
      <w:szCs w:val="18"/>
    </w:rPr>
  </w:style>
  <w:style w:type="character" w:customStyle="1" w:styleId="TextodenotaderodapChar1">
    <w:name w:val="Texto de nota de rodapé Char1"/>
    <w:basedOn w:val="Fontepargpadro"/>
    <w:link w:val="Textodenotaderodap"/>
    <w:uiPriority w:val="99"/>
    <w:semiHidden/>
    <w:rsid w:val="00ED1C0C"/>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09190">
      <w:bodyDiv w:val="1"/>
      <w:marLeft w:val="0"/>
      <w:marRight w:val="0"/>
      <w:marTop w:val="0"/>
      <w:marBottom w:val="0"/>
      <w:divBdr>
        <w:top w:val="none" w:sz="0" w:space="0" w:color="auto"/>
        <w:left w:val="none" w:sz="0" w:space="0" w:color="auto"/>
        <w:bottom w:val="none" w:sz="0" w:space="0" w:color="auto"/>
        <w:right w:val="none" w:sz="0" w:space="0" w:color="auto"/>
      </w:divBdr>
      <w:divsChild>
        <w:div w:id="2053843485">
          <w:marLeft w:val="0"/>
          <w:marRight w:val="0"/>
          <w:marTop w:val="0"/>
          <w:marBottom w:val="0"/>
          <w:divBdr>
            <w:top w:val="none" w:sz="0" w:space="0" w:color="auto"/>
            <w:left w:val="none" w:sz="0" w:space="0" w:color="auto"/>
            <w:bottom w:val="none" w:sz="0" w:space="0" w:color="auto"/>
            <w:right w:val="none" w:sz="0" w:space="0" w:color="auto"/>
          </w:divBdr>
        </w:div>
        <w:div w:id="625544646">
          <w:marLeft w:val="0"/>
          <w:marRight w:val="0"/>
          <w:marTop w:val="0"/>
          <w:marBottom w:val="0"/>
          <w:divBdr>
            <w:top w:val="none" w:sz="0" w:space="0" w:color="auto"/>
            <w:left w:val="none" w:sz="0" w:space="0" w:color="auto"/>
            <w:bottom w:val="none" w:sz="0" w:space="0" w:color="auto"/>
            <w:right w:val="none" w:sz="0" w:space="0" w:color="auto"/>
          </w:divBdr>
        </w:div>
        <w:div w:id="1772160350">
          <w:marLeft w:val="0"/>
          <w:marRight w:val="0"/>
          <w:marTop w:val="0"/>
          <w:marBottom w:val="0"/>
          <w:divBdr>
            <w:top w:val="none" w:sz="0" w:space="0" w:color="auto"/>
            <w:left w:val="none" w:sz="0" w:space="0" w:color="auto"/>
            <w:bottom w:val="none" w:sz="0" w:space="0" w:color="auto"/>
            <w:right w:val="none" w:sz="0" w:space="0" w:color="auto"/>
          </w:divBdr>
        </w:div>
        <w:div w:id="2088531962">
          <w:marLeft w:val="0"/>
          <w:marRight w:val="0"/>
          <w:marTop w:val="0"/>
          <w:marBottom w:val="0"/>
          <w:divBdr>
            <w:top w:val="none" w:sz="0" w:space="0" w:color="auto"/>
            <w:left w:val="none" w:sz="0" w:space="0" w:color="auto"/>
            <w:bottom w:val="none" w:sz="0" w:space="0" w:color="auto"/>
            <w:right w:val="none" w:sz="0" w:space="0" w:color="auto"/>
          </w:divBdr>
        </w:div>
        <w:div w:id="1643577963">
          <w:marLeft w:val="0"/>
          <w:marRight w:val="0"/>
          <w:marTop w:val="0"/>
          <w:marBottom w:val="0"/>
          <w:divBdr>
            <w:top w:val="none" w:sz="0" w:space="0" w:color="auto"/>
            <w:left w:val="none" w:sz="0" w:space="0" w:color="auto"/>
            <w:bottom w:val="none" w:sz="0" w:space="0" w:color="auto"/>
            <w:right w:val="none" w:sz="0" w:space="0" w:color="auto"/>
          </w:divBdr>
        </w:div>
        <w:div w:id="1254049991">
          <w:marLeft w:val="0"/>
          <w:marRight w:val="0"/>
          <w:marTop w:val="0"/>
          <w:marBottom w:val="0"/>
          <w:divBdr>
            <w:top w:val="none" w:sz="0" w:space="0" w:color="auto"/>
            <w:left w:val="none" w:sz="0" w:space="0" w:color="auto"/>
            <w:bottom w:val="none" w:sz="0" w:space="0" w:color="auto"/>
            <w:right w:val="none" w:sz="0" w:space="0" w:color="auto"/>
          </w:divBdr>
        </w:div>
        <w:div w:id="135418726">
          <w:marLeft w:val="0"/>
          <w:marRight w:val="0"/>
          <w:marTop w:val="0"/>
          <w:marBottom w:val="0"/>
          <w:divBdr>
            <w:top w:val="none" w:sz="0" w:space="0" w:color="auto"/>
            <w:left w:val="none" w:sz="0" w:space="0" w:color="auto"/>
            <w:bottom w:val="none" w:sz="0" w:space="0" w:color="auto"/>
            <w:right w:val="none" w:sz="0" w:space="0" w:color="auto"/>
          </w:divBdr>
        </w:div>
        <w:div w:id="2143183946">
          <w:marLeft w:val="0"/>
          <w:marRight w:val="0"/>
          <w:marTop w:val="0"/>
          <w:marBottom w:val="0"/>
          <w:divBdr>
            <w:top w:val="none" w:sz="0" w:space="0" w:color="auto"/>
            <w:left w:val="none" w:sz="0" w:space="0" w:color="auto"/>
            <w:bottom w:val="none" w:sz="0" w:space="0" w:color="auto"/>
            <w:right w:val="none" w:sz="0" w:space="0" w:color="auto"/>
          </w:divBdr>
        </w:div>
        <w:div w:id="581527326">
          <w:marLeft w:val="0"/>
          <w:marRight w:val="0"/>
          <w:marTop w:val="0"/>
          <w:marBottom w:val="0"/>
          <w:divBdr>
            <w:top w:val="none" w:sz="0" w:space="0" w:color="auto"/>
            <w:left w:val="none" w:sz="0" w:space="0" w:color="auto"/>
            <w:bottom w:val="none" w:sz="0" w:space="0" w:color="auto"/>
            <w:right w:val="none" w:sz="0" w:space="0" w:color="auto"/>
          </w:divBdr>
        </w:div>
        <w:div w:id="252513040">
          <w:marLeft w:val="0"/>
          <w:marRight w:val="0"/>
          <w:marTop w:val="0"/>
          <w:marBottom w:val="0"/>
          <w:divBdr>
            <w:top w:val="none" w:sz="0" w:space="0" w:color="auto"/>
            <w:left w:val="none" w:sz="0" w:space="0" w:color="auto"/>
            <w:bottom w:val="none" w:sz="0" w:space="0" w:color="auto"/>
            <w:right w:val="none" w:sz="0" w:space="0" w:color="auto"/>
          </w:divBdr>
        </w:div>
        <w:div w:id="1807970573">
          <w:marLeft w:val="0"/>
          <w:marRight w:val="0"/>
          <w:marTop w:val="0"/>
          <w:marBottom w:val="0"/>
          <w:divBdr>
            <w:top w:val="none" w:sz="0" w:space="0" w:color="auto"/>
            <w:left w:val="none" w:sz="0" w:space="0" w:color="auto"/>
            <w:bottom w:val="none" w:sz="0" w:space="0" w:color="auto"/>
            <w:right w:val="none" w:sz="0" w:space="0" w:color="auto"/>
          </w:divBdr>
        </w:div>
        <w:div w:id="634600712">
          <w:marLeft w:val="0"/>
          <w:marRight w:val="0"/>
          <w:marTop w:val="0"/>
          <w:marBottom w:val="0"/>
          <w:divBdr>
            <w:top w:val="none" w:sz="0" w:space="0" w:color="auto"/>
            <w:left w:val="none" w:sz="0" w:space="0" w:color="auto"/>
            <w:bottom w:val="none" w:sz="0" w:space="0" w:color="auto"/>
            <w:right w:val="none" w:sz="0" w:space="0" w:color="auto"/>
          </w:divBdr>
        </w:div>
        <w:div w:id="1962110884">
          <w:marLeft w:val="0"/>
          <w:marRight w:val="0"/>
          <w:marTop w:val="0"/>
          <w:marBottom w:val="0"/>
          <w:divBdr>
            <w:top w:val="none" w:sz="0" w:space="0" w:color="auto"/>
            <w:left w:val="none" w:sz="0" w:space="0" w:color="auto"/>
            <w:bottom w:val="none" w:sz="0" w:space="0" w:color="auto"/>
            <w:right w:val="none" w:sz="0" w:space="0" w:color="auto"/>
          </w:divBdr>
        </w:div>
        <w:div w:id="500970997">
          <w:marLeft w:val="0"/>
          <w:marRight w:val="0"/>
          <w:marTop w:val="0"/>
          <w:marBottom w:val="0"/>
          <w:divBdr>
            <w:top w:val="none" w:sz="0" w:space="0" w:color="auto"/>
            <w:left w:val="none" w:sz="0" w:space="0" w:color="auto"/>
            <w:bottom w:val="none" w:sz="0" w:space="0" w:color="auto"/>
            <w:right w:val="none" w:sz="0" w:space="0" w:color="auto"/>
          </w:divBdr>
        </w:div>
        <w:div w:id="2097705409">
          <w:marLeft w:val="0"/>
          <w:marRight w:val="0"/>
          <w:marTop w:val="0"/>
          <w:marBottom w:val="0"/>
          <w:divBdr>
            <w:top w:val="none" w:sz="0" w:space="0" w:color="auto"/>
            <w:left w:val="none" w:sz="0" w:space="0" w:color="auto"/>
            <w:bottom w:val="none" w:sz="0" w:space="0" w:color="auto"/>
            <w:right w:val="none" w:sz="0" w:space="0" w:color="auto"/>
          </w:divBdr>
        </w:div>
        <w:div w:id="340937806">
          <w:marLeft w:val="0"/>
          <w:marRight w:val="0"/>
          <w:marTop w:val="0"/>
          <w:marBottom w:val="0"/>
          <w:divBdr>
            <w:top w:val="none" w:sz="0" w:space="0" w:color="auto"/>
            <w:left w:val="none" w:sz="0" w:space="0" w:color="auto"/>
            <w:bottom w:val="none" w:sz="0" w:space="0" w:color="auto"/>
            <w:right w:val="none" w:sz="0" w:space="0" w:color="auto"/>
          </w:divBdr>
        </w:div>
        <w:div w:id="2041931894">
          <w:marLeft w:val="0"/>
          <w:marRight w:val="0"/>
          <w:marTop w:val="0"/>
          <w:marBottom w:val="0"/>
          <w:divBdr>
            <w:top w:val="none" w:sz="0" w:space="0" w:color="auto"/>
            <w:left w:val="none" w:sz="0" w:space="0" w:color="auto"/>
            <w:bottom w:val="none" w:sz="0" w:space="0" w:color="auto"/>
            <w:right w:val="none" w:sz="0" w:space="0" w:color="auto"/>
          </w:divBdr>
        </w:div>
      </w:divsChild>
    </w:div>
    <w:div w:id="1294671213">
      <w:bodyDiv w:val="1"/>
      <w:marLeft w:val="0"/>
      <w:marRight w:val="0"/>
      <w:marTop w:val="0"/>
      <w:marBottom w:val="0"/>
      <w:divBdr>
        <w:top w:val="none" w:sz="0" w:space="0" w:color="auto"/>
        <w:left w:val="none" w:sz="0" w:space="0" w:color="auto"/>
        <w:bottom w:val="none" w:sz="0" w:space="0" w:color="auto"/>
        <w:right w:val="none" w:sz="0" w:space="0" w:color="auto"/>
      </w:divBdr>
    </w:div>
    <w:div w:id="1672681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5BDB80-39A7-456F-BBAE-60A9685405C9}">
  <we:reference id="wa10308792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868</TotalTime>
  <Pages>10</Pages>
  <Words>3631</Words>
  <Characters>19612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1º CHECK DO PAPER DE PROCESSO DE CONHECIMENTO 1</vt:lpstr>
    </vt:vector>
  </TitlesOfParts>
  <Company>Microsoft</Company>
  <LinksUpToDate>false</LinksUpToDate>
  <CharactersWithSpaces>23197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1º CHECK DO PAPER DE PROCESSO DE CONHECIMENTO 1</dc:title>
  <dc:creator>Felipe Noronha</dc:creator>
  <cp:lastModifiedBy>FELIPE NORONHA</cp:lastModifiedBy>
  <cp:revision>46</cp:revision>
  <cp:lastPrinted>2014-02-20T22:07:00Z</cp:lastPrinted>
  <dcterms:created xsi:type="dcterms:W3CDTF">2014-04-25T17:45:00Z</dcterms:created>
  <dcterms:modified xsi:type="dcterms:W3CDTF">2014-04-30T20:34:00Z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