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06" w:rsidRPr="009E2725" w:rsidRDefault="00497C06" w:rsidP="00497C06">
      <w:pPr>
        <w:jc w:val="center"/>
        <w:rPr>
          <w:rFonts w:asciiTheme="minorHAnsi" w:hAnsiTheme="minorHAnsi" w:cs="Arial"/>
          <w:b/>
          <w:sz w:val="24"/>
          <w:szCs w:val="22"/>
        </w:rPr>
      </w:pPr>
      <w:r w:rsidRPr="009E2725">
        <w:rPr>
          <w:rFonts w:asciiTheme="minorHAnsi" w:hAnsiTheme="minorHAnsi" w:cs="Arial"/>
          <w:b/>
          <w:sz w:val="24"/>
          <w:szCs w:val="22"/>
        </w:rPr>
        <w:t>A utilização do celular ou rádio em prol da empresa e o direito ao adicional de sobreaviso</w:t>
      </w:r>
    </w:p>
    <w:p w:rsidR="00497C06" w:rsidRPr="009E2725" w:rsidRDefault="00497C06" w:rsidP="00497C06">
      <w:pPr>
        <w:jc w:val="both"/>
        <w:rPr>
          <w:rFonts w:asciiTheme="minorHAnsi" w:hAnsiTheme="minorHAnsi" w:cs="Arial"/>
          <w:sz w:val="22"/>
          <w:szCs w:val="22"/>
        </w:rPr>
      </w:pPr>
    </w:p>
    <w:p w:rsidR="00497C06" w:rsidRPr="009E2725" w:rsidRDefault="00497C06" w:rsidP="00497C06">
      <w:pPr>
        <w:jc w:val="both"/>
        <w:rPr>
          <w:rFonts w:asciiTheme="minorHAnsi" w:hAnsiTheme="minorHAnsi" w:cs="Arial"/>
          <w:sz w:val="22"/>
          <w:szCs w:val="22"/>
        </w:rPr>
      </w:pPr>
      <w:r w:rsidRPr="009E2725">
        <w:rPr>
          <w:rFonts w:asciiTheme="minorHAnsi" w:hAnsiTheme="minorHAnsi" w:cs="Arial"/>
          <w:sz w:val="22"/>
          <w:szCs w:val="22"/>
        </w:rPr>
        <w:t xml:space="preserve">No atual contexto econômico globalizado, a utilização do telefone e da internet para se comunicar se tornou uma necessidade. O maior exemplo disso é o uso desenfreado e inapropriado de </w:t>
      </w:r>
      <w:proofErr w:type="spellStart"/>
      <w:r w:rsidRPr="009E2725">
        <w:rPr>
          <w:rFonts w:asciiTheme="minorHAnsi" w:hAnsiTheme="minorHAnsi" w:cs="Arial"/>
          <w:sz w:val="22"/>
          <w:szCs w:val="22"/>
        </w:rPr>
        <w:t>smartfones</w:t>
      </w:r>
      <w:proofErr w:type="spellEnd"/>
      <w:r w:rsidRPr="009E2725">
        <w:rPr>
          <w:rFonts w:asciiTheme="minorHAnsi" w:hAnsiTheme="minorHAnsi" w:cs="Arial"/>
          <w:sz w:val="22"/>
          <w:szCs w:val="22"/>
        </w:rPr>
        <w:t>.</w:t>
      </w:r>
    </w:p>
    <w:p w:rsidR="00497C06" w:rsidRPr="009E2725" w:rsidRDefault="00497C06" w:rsidP="00497C06">
      <w:pPr>
        <w:jc w:val="both"/>
        <w:rPr>
          <w:rFonts w:asciiTheme="minorHAnsi" w:hAnsiTheme="minorHAnsi" w:cs="Arial"/>
          <w:sz w:val="22"/>
          <w:szCs w:val="22"/>
        </w:rPr>
      </w:pPr>
    </w:p>
    <w:p w:rsidR="00497C06" w:rsidRPr="009E2725" w:rsidRDefault="00497C06" w:rsidP="00497C06">
      <w:pPr>
        <w:jc w:val="both"/>
        <w:rPr>
          <w:rFonts w:asciiTheme="minorHAnsi" w:hAnsiTheme="minorHAnsi" w:cs="Arial"/>
          <w:sz w:val="22"/>
          <w:szCs w:val="22"/>
        </w:rPr>
      </w:pPr>
      <w:r w:rsidRPr="009E2725">
        <w:rPr>
          <w:rFonts w:asciiTheme="minorHAnsi" w:hAnsiTheme="minorHAnsi" w:cs="Arial"/>
          <w:sz w:val="22"/>
          <w:szCs w:val="22"/>
        </w:rPr>
        <w:t xml:space="preserve">Nas relações de trabalho o uso dos </w:t>
      </w:r>
      <w:proofErr w:type="spellStart"/>
      <w:r w:rsidRPr="009E2725">
        <w:rPr>
          <w:rFonts w:asciiTheme="minorHAnsi" w:hAnsiTheme="minorHAnsi" w:cs="Arial"/>
          <w:sz w:val="22"/>
          <w:szCs w:val="22"/>
        </w:rPr>
        <w:t>smartfones</w:t>
      </w:r>
      <w:proofErr w:type="spellEnd"/>
      <w:r w:rsidRPr="009E2725">
        <w:rPr>
          <w:rFonts w:asciiTheme="minorHAnsi" w:hAnsiTheme="minorHAnsi" w:cs="Arial"/>
          <w:sz w:val="22"/>
          <w:szCs w:val="22"/>
        </w:rPr>
        <w:t xml:space="preserve"> trazem ora prejuízos, ora benefícios, sendo certo que o seu uso tem sido abordado em vários regimentos internos de várias empresas.</w:t>
      </w:r>
    </w:p>
    <w:p w:rsidR="00497C06" w:rsidRPr="009E2725" w:rsidRDefault="00497C06" w:rsidP="00497C06">
      <w:pPr>
        <w:jc w:val="both"/>
        <w:rPr>
          <w:rFonts w:asciiTheme="minorHAnsi" w:hAnsiTheme="minorHAnsi" w:cs="Arial"/>
          <w:sz w:val="22"/>
          <w:szCs w:val="22"/>
        </w:rPr>
      </w:pPr>
    </w:p>
    <w:p w:rsidR="00497C06" w:rsidRPr="009E2725" w:rsidRDefault="00497C06" w:rsidP="00497C06">
      <w:pPr>
        <w:jc w:val="both"/>
        <w:rPr>
          <w:rFonts w:asciiTheme="minorHAnsi" w:hAnsiTheme="minorHAnsi" w:cs="Arial"/>
          <w:sz w:val="22"/>
          <w:szCs w:val="22"/>
        </w:rPr>
      </w:pPr>
      <w:r w:rsidRPr="009E2725">
        <w:rPr>
          <w:rFonts w:asciiTheme="minorHAnsi" w:hAnsiTheme="minorHAnsi" w:cs="Arial"/>
          <w:sz w:val="22"/>
          <w:szCs w:val="22"/>
        </w:rPr>
        <w:t>A questão que se procura elucidar neste texto é quando o empregado tem direito ao adicional de sobreaviso.</w:t>
      </w:r>
    </w:p>
    <w:p w:rsidR="00497C06" w:rsidRPr="009E2725" w:rsidRDefault="00497C06" w:rsidP="00497C06">
      <w:pPr>
        <w:jc w:val="both"/>
        <w:rPr>
          <w:rFonts w:asciiTheme="minorHAnsi" w:hAnsiTheme="minorHAnsi" w:cs="Arial"/>
          <w:sz w:val="22"/>
          <w:szCs w:val="22"/>
        </w:rPr>
      </w:pPr>
    </w:p>
    <w:p w:rsidR="00497C06" w:rsidRPr="009E2725" w:rsidRDefault="002D5522" w:rsidP="002D5522">
      <w:pPr>
        <w:jc w:val="both"/>
        <w:rPr>
          <w:rFonts w:asciiTheme="minorHAnsi" w:hAnsiTheme="minorHAnsi" w:cs="Arial"/>
          <w:sz w:val="22"/>
          <w:szCs w:val="22"/>
        </w:rPr>
      </w:pPr>
      <w:r w:rsidRPr="009E2725">
        <w:rPr>
          <w:rFonts w:asciiTheme="minorHAnsi" w:hAnsiTheme="minorHAnsi" w:cs="Arial"/>
          <w:sz w:val="22"/>
          <w:szCs w:val="22"/>
        </w:rPr>
        <w:t xml:space="preserve">Segundo </w:t>
      </w:r>
      <w:r w:rsidR="009E2725" w:rsidRPr="009E2725">
        <w:rPr>
          <w:rFonts w:asciiTheme="minorHAnsi" w:hAnsiTheme="minorHAnsi" w:cs="Arial"/>
          <w:sz w:val="22"/>
          <w:szCs w:val="22"/>
        </w:rPr>
        <w:t>a legislação trabalhista, c</w:t>
      </w:r>
      <w:r w:rsidR="00497C06" w:rsidRPr="009E2725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onsidera-se de </w:t>
      </w:r>
      <w:r w:rsidRPr="009E2725">
        <w:rPr>
          <w:rFonts w:asciiTheme="minorHAnsi" w:hAnsiTheme="minorHAnsi" w:cs="Arial"/>
          <w:sz w:val="22"/>
          <w:szCs w:val="22"/>
          <w:shd w:val="clear" w:color="auto" w:fill="FFFFFF"/>
        </w:rPr>
        <w:t>sobre</w:t>
      </w:r>
      <w:r w:rsidR="00497C06" w:rsidRPr="009E2725">
        <w:rPr>
          <w:rFonts w:asciiTheme="minorHAnsi" w:hAnsiTheme="minorHAnsi" w:cs="Arial"/>
          <w:sz w:val="22"/>
          <w:szCs w:val="22"/>
          <w:shd w:val="clear" w:color="auto" w:fill="FFFFFF"/>
        </w:rPr>
        <w:t>aviso</w:t>
      </w:r>
      <w:r w:rsidRPr="009E2725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497C06" w:rsidRPr="009E2725">
        <w:rPr>
          <w:rFonts w:asciiTheme="minorHAnsi" w:hAnsiTheme="minorHAnsi" w:cs="Arial"/>
          <w:sz w:val="22"/>
          <w:szCs w:val="22"/>
          <w:shd w:val="clear" w:color="auto" w:fill="FFFFFF"/>
        </w:rPr>
        <w:t>o empregado efetivo, que permanecer em sua própria casa, aguardando a qualquer momento o chamado para o serviço</w:t>
      </w:r>
      <w:r w:rsidR="009E2725" w:rsidRPr="009E2725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(§</w:t>
      </w:r>
      <w:r w:rsidR="009E2725" w:rsidRPr="009E2725">
        <w:rPr>
          <w:rFonts w:asciiTheme="minorHAnsi" w:hAnsiTheme="minorHAnsi" w:cs="Arial"/>
          <w:sz w:val="22"/>
          <w:szCs w:val="22"/>
        </w:rPr>
        <w:t>2º do art. 244 da CLT)</w:t>
      </w:r>
      <w:r w:rsidR="00497C06" w:rsidRPr="009E2725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:rsidR="002D5522" w:rsidRPr="009E2725" w:rsidRDefault="002D5522" w:rsidP="002D5522">
      <w:pPr>
        <w:jc w:val="both"/>
        <w:rPr>
          <w:rFonts w:asciiTheme="minorHAnsi" w:hAnsiTheme="minorHAnsi" w:cs="Arial"/>
          <w:sz w:val="22"/>
          <w:szCs w:val="22"/>
        </w:rPr>
      </w:pPr>
    </w:p>
    <w:p w:rsidR="002D5522" w:rsidRPr="009E2725" w:rsidRDefault="002D5522" w:rsidP="002D5522">
      <w:pPr>
        <w:jc w:val="both"/>
        <w:rPr>
          <w:rFonts w:asciiTheme="minorHAnsi" w:hAnsiTheme="minorHAnsi" w:cs="Arial"/>
          <w:sz w:val="22"/>
          <w:szCs w:val="22"/>
        </w:rPr>
      </w:pPr>
      <w:r w:rsidRPr="009E2725">
        <w:rPr>
          <w:rFonts w:asciiTheme="minorHAnsi" w:hAnsiTheme="minorHAnsi" w:cs="Arial"/>
          <w:sz w:val="22"/>
          <w:szCs w:val="22"/>
        </w:rPr>
        <w:t>A Súmula 428 do Tribunal Superior do Trabalho estendeu o direito ao adicional de sobreaviso aos empregados que trabalham à distância e ficam submetidos a controle patronal por instrumentos telemáticos ou informatizados.</w:t>
      </w:r>
    </w:p>
    <w:p w:rsidR="002D5522" w:rsidRPr="009E2725" w:rsidRDefault="002D5522" w:rsidP="002D5522">
      <w:pPr>
        <w:ind w:firstLine="2342"/>
        <w:jc w:val="both"/>
        <w:rPr>
          <w:rFonts w:asciiTheme="minorHAnsi" w:hAnsiTheme="minorHAnsi" w:cs="Arial"/>
          <w:sz w:val="22"/>
          <w:szCs w:val="22"/>
        </w:rPr>
      </w:pPr>
    </w:p>
    <w:p w:rsidR="002D5522" w:rsidRPr="009E2725" w:rsidRDefault="002D5522" w:rsidP="002D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jc w:val="both"/>
        <w:rPr>
          <w:rFonts w:asciiTheme="minorHAnsi" w:hAnsiTheme="minorHAnsi" w:cs="Arial"/>
          <w:b/>
          <w:i/>
          <w:sz w:val="22"/>
          <w:szCs w:val="22"/>
          <w:u w:val="single"/>
        </w:rPr>
      </w:pPr>
      <w:r w:rsidRPr="009E2725">
        <w:rPr>
          <w:rFonts w:asciiTheme="minorHAnsi" w:hAnsiTheme="minorHAnsi" w:cs="Arial"/>
          <w:b/>
          <w:i/>
          <w:sz w:val="22"/>
          <w:szCs w:val="22"/>
          <w:u w:val="single"/>
        </w:rPr>
        <w:t>Súmula nº 428 do TST</w:t>
      </w:r>
    </w:p>
    <w:p w:rsidR="002D5522" w:rsidRPr="009E2725" w:rsidRDefault="002D5522" w:rsidP="002D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jc w:val="both"/>
        <w:rPr>
          <w:rFonts w:asciiTheme="minorHAnsi" w:hAnsiTheme="minorHAnsi" w:cs="Arial"/>
          <w:i/>
          <w:sz w:val="22"/>
          <w:szCs w:val="22"/>
        </w:rPr>
      </w:pPr>
    </w:p>
    <w:p w:rsidR="002D5522" w:rsidRPr="009E2725" w:rsidRDefault="002D5522" w:rsidP="002D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jc w:val="both"/>
        <w:rPr>
          <w:rFonts w:asciiTheme="minorHAnsi" w:hAnsiTheme="minorHAnsi" w:cs="Arial"/>
          <w:i/>
          <w:sz w:val="22"/>
          <w:szCs w:val="22"/>
        </w:rPr>
      </w:pPr>
      <w:r w:rsidRPr="009E2725">
        <w:rPr>
          <w:rFonts w:asciiTheme="minorHAnsi" w:hAnsiTheme="minorHAnsi" w:cs="Arial"/>
          <w:i/>
          <w:sz w:val="22"/>
          <w:szCs w:val="22"/>
        </w:rPr>
        <w:t>“SOBREAVISO APLICAÇÃO ANALÓGICA DO ART. 244, § 2º DA CLT (redação alterada na sessão do Tribunal Pleno realizada em 14.09.2012)</w:t>
      </w:r>
      <w:proofErr w:type="gramStart"/>
      <w:r w:rsidRPr="009E2725">
        <w:rPr>
          <w:rFonts w:asciiTheme="minorHAnsi" w:hAnsiTheme="minorHAnsi" w:cs="Arial"/>
          <w:i/>
          <w:sz w:val="22"/>
          <w:szCs w:val="22"/>
        </w:rPr>
        <w:t xml:space="preserve">  </w:t>
      </w:r>
      <w:proofErr w:type="gramEnd"/>
      <w:r w:rsidRPr="009E2725">
        <w:rPr>
          <w:rFonts w:asciiTheme="minorHAnsi" w:hAnsiTheme="minorHAnsi" w:cs="Arial"/>
          <w:i/>
          <w:sz w:val="22"/>
          <w:szCs w:val="22"/>
        </w:rPr>
        <w:t xml:space="preserve">- Res. 185/2012, DEJT divulgado em 25, 26 e 27.09.2012 </w:t>
      </w:r>
    </w:p>
    <w:p w:rsidR="002D5522" w:rsidRPr="009E2725" w:rsidRDefault="002D5522" w:rsidP="002D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jc w:val="both"/>
        <w:rPr>
          <w:rFonts w:asciiTheme="minorHAnsi" w:hAnsiTheme="minorHAnsi" w:cs="Arial"/>
          <w:i/>
          <w:sz w:val="22"/>
          <w:szCs w:val="22"/>
        </w:rPr>
      </w:pPr>
      <w:r w:rsidRPr="009E2725">
        <w:rPr>
          <w:rFonts w:asciiTheme="minorHAnsi" w:hAnsiTheme="minorHAnsi" w:cs="Arial"/>
          <w:i/>
          <w:sz w:val="22"/>
          <w:szCs w:val="22"/>
        </w:rPr>
        <w:t xml:space="preserve">I - O uso de instrumentos telemáticos ou informatizados fornecidos pela empresa ao empregado, por si só, não caracteriza o regime de sobreaviso. </w:t>
      </w:r>
    </w:p>
    <w:p w:rsidR="002D5522" w:rsidRPr="009E2725" w:rsidRDefault="002D5522" w:rsidP="002D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jc w:val="both"/>
        <w:rPr>
          <w:rFonts w:asciiTheme="minorHAnsi" w:hAnsiTheme="minorHAnsi" w:cs="Arial"/>
          <w:i/>
          <w:sz w:val="22"/>
          <w:szCs w:val="22"/>
        </w:rPr>
      </w:pPr>
      <w:proofErr w:type="gramStart"/>
      <w:r w:rsidRPr="009E2725">
        <w:rPr>
          <w:rFonts w:asciiTheme="minorHAnsi" w:hAnsiTheme="minorHAnsi" w:cs="Arial"/>
          <w:b/>
          <w:i/>
          <w:sz w:val="22"/>
          <w:szCs w:val="22"/>
          <w:u w:val="single"/>
        </w:rPr>
        <w:t>II - Considera-se em sobreaviso o empregado que, à distância e submetido a controle patronal por instrumentos telemáticos ou informatizados, permanecer em regime de plantão ou equivalente, aguardando a qualquer momento o chamado para o serviço durante o período de descanso</w:t>
      </w:r>
      <w:r w:rsidRPr="009E2725">
        <w:rPr>
          <w:rFonts w:asciiTheme="minorHAnsi" w:hAnsiTheme="minorHAnsi" w:cs="Arial"/>
          <w:i/>
          <w:sz w:val="22"/>
          <w:szCs w:val="22"/>
        </w:rPr>
        <w:t>.”</w:t>
      </w:r>
      <w:proofErr w:type="gramEnd"/>
      <w:r w:rsidRPr="009E2725">
        <w:rPr>
          <w:rFonts w:asciiTheme="minorHAnsi" w:hAnsiTheme="minorHAnsi" w:cs="Arial"/>
          <w:i/>
          <w:sz w:val="22"/>
          <w:szCs w:val="22"/>
        </w:rPr>
        <w:t xml:space="preserve"> (</w:t>
      </w:r>
      <w:proofErr w:type="spellStart"/>
      <w:r w:rsidRPr="009E2725">
        <w:rPr>
          <w:rFonts w:asciiTheme="minorHAnsi" w:hAnsiTheme="minorHAnsi" w:cs="Arial"/>
          <w:i/>
          <w:sz w:val="22"/>
          <w:szCs w:val="22"/>
        </w:rPr>
        <w:t>g.n.</w:t>
      </w:r>
      <w:proofErr w:type="spellEnd"/>
      <w:r w:rsidRPr="009E2725">
        <w:rPr>
          <w:rFonts w:asciiTheme="minorHAnsi" w:hAnsiTheme="minorHAnsi" w:cs="Arial"/>
          <w:i/>
          <w:sz w:val="22"/>
          <w:szCs w:val="22"/>
        </w:rPr>
        <w:t>).</w:t>
      </w:r>
    </w:p>
    <w:p w:rsidR="002D5522" w:rsidRPr="009E2725" w:rsidRDefault="002D5522" w:rsidP="00497C06">
      <w:pPr>
        <w:jc w:val="both"/>
        <w:rPr>
          <w:rFonts w:asciiTheme="minorHAnsi" w:hAnsiTheme="minorHAnsi" w:cs="Arial"/>
          <w:sz w:val="22"/>
          <w:szCs w:val="22"/>
        </w:rPr>
      </w:pPr>
    </w:p>
    <w:p w:rsidR="00497C06" w:rsidRPr="009E2725" w:rsidRDefault="002D5522" w:rsidP="00497C06">
      <w:pPr>
        <w:jc w:val="both"/>
        <w:rPr>
          <w:rFonts w:asciiTheme="minorHAnsi" w:hAnsiTheme="minorHAnsi" w:cs="Arial"/>
          <w:sz w:val="22"/>
          <w:szCs w:val="22"/>
        </w:rPr>
      </w:pPr>
      <w:r w:rsidRPr="009E2725">
        <w:rPr>
          <w:rFonts w:asciiTheme="minorHAnsi" w:hAnsiTheme="minorHAnsi" w:cs="Arial"/>
          <w:sz w:val="22"/>
          <w:szCs w:val="22"/>
        </w:rPr>
        <w:t xml:space="preserve">Como se observa pelo texto legal, a simples utilização de celulares, </w:t>
      </w:r>
      <w:proofErr w:type="spellStart"/>
      <w:r w:rsidRPr="009E2725">
        <w:rPr>
          <w:rFonts w:asciiTheme="minorHAnsi" w:hAnsiTheme="minorHAnsi" w:cs="Arial"/>
          <w:sz w:val="22"/>
          <w:szCs w:val="22"/>
        </w:rPr>
        <w:t>pagers</w:t>
      </w:r>
      <w:proofErr w:type="spellEnd"/>
      <w:r w:rsidRPr="009E2725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9E2725">
        <w:rPr>
          <w:rFonts w:asciiTheme="minorHAnsi" w:hAnsiTheme="minorHAnsi" w:cs="Arial"/>
          <w:sz w:val="22"/>
          <w:szCs w:val="22"/>
        </w:rPr>
        <w:t>tablets</w:t>
      </w:r>
      <w:proofErr w:type="spellEnd"/>
      <w:r w:rsidRPr="009E2725">
        <w:rPr>
          <w:rFonts w:asciiTheme="minorHAnsi" w:hAnsiTheme="minorHAnsi" w:cs="Arial"/>
          <w:sz w:val="22"/>
          <w:szCs w:val="22"/>
        </w:rPr>
        <w:t xml:space="preserve">, notebooks, </w:t>
      </w:r>
      <w:proofErr w:type="spellStart"/>
      <w:r w:rsidRPr="009E2725">
        <w:rPr>
          <w:rFonts w:asciiTheme="minorHAnsi" w:hAnsiTheme="minorHAnsi" w:cs="Arial"/>
          <w:sz w:val="22"/>
          <w:szCs w:val="22"/>
        </w:rPr>
        <w:t>smartfones</w:t>
      </w:r>
      <w:proofErr w:type="spellEnd"/>
      <w:r w:rsidRPr="009E2725">
        <w:rPr>
          <w:rFonts w:asciiTheme="minorHAnsi" w:hAnsiTheme="minorHAnsi" w:cs="Arial"/>
          <w:sz w:val="22"/>
          <w:szCs w:val="22"/>
        </w:rPr>
        <w:t xml:space="preserve"> e </w:t>
      </w:r>
      <w:proofErr w:type="spellStart"/>
      <w:r w:rsidRPr="009E2725">
        <w:rPr>
          <w:rFonts w:asciiTheme="minorHAnsi" w:hAnsiTheme="minorHAnsi" w:cs="Arial"/>
          <w:sz w:val="22"/>
          <w:szCs w:val="22"/>
        </w:rPr>
        <w:t>etc</w:t>
      </w:r>
      <w:proofErr w:type="spellEnd"/>
      <w:r w:rsidRPr="009E2725">
        <w:rPr>
          <w:rFonts w:asciiTheme="minorHAnsi" w:hAnsiTheme="minorHAnsi" w:cs="Arial"/>
          <w:sz w:val="22"/>
          <w:szCs w:val="22"/>
        </w:rPr>
        <w:t>, em prol da empresa durante o horário de expediente, não concede ao empregado o direito de receber o adicional de sobreaviso.</w:t>
      </w:r>
    </w:p>
    <w:p w:rsidR="00497C06" w:rsidRPr="009E2725" w:rsidRDefault="00497C06" w:rsidP="00497C06">
      <w:pPr>
        <w:jc w:val="both"/>
        <w:rPr>
          <w:rFonts w:asciiTheme="minorHAnsi" w:hAnsiTheme="minorHAnsi" w:cs="Arial"/>
          <w:sz w:val="22"/>
          <w:szCs w:val="22"/>
        </w:rPr>
      </w:pPr>
    </w:p>
    <w:p w:rsidR="002D5522" w:rsidRPr="009E2725" w:rsidRDefault="002D5522" w:rsidP="00497C06">
      <w:pPr>
        <w:jc w:val="both"/>
        <w:rPr>
          <w:rFonts w:asciiTheme="minorHAnsi" w:hAnsiTheme="minorHAnsi" w:cs="Arial"/>
          <w:sz w:val="22"/>
          <w:szCs w:val="22"/>
        </w:rPr>
      </w:pPr>
      <w:r w:rsidRPr="009E2725">
        <w:rPr>
          <w:rFonts w:asciiTheme="minorHAnsi" w:hAnsiTheme="minorHAnsi" w:cs="Arial"/>
          <w:sz w:val="22"/>
          <w:szCs w:val="22"/>
        </w:rPr>
        <w:t xml:space="preserve">Para que </w:t>
      </w:r>
      <w:proofErr w:type="gramStart"/>
      <w:r w:rsidRPr="009E2725">
        <w:rPr>
          <w:rFonts w:asciiTheme="minorHAnsi" w:hAnsiTheme="minorHAnsi" w:cs="Arial"/>
          <w:sz w:val="22"/>
          <w:szCs w:val="22"/>
        </w:rPr>
        <w:t>a utilização destes instrumentos telemáticos ou informatizados ensejem</w:t>
      </w:r>
      <w:proofErr w:type="gramEnd"/>
      <w:r w:rsidRPr="009E2725">
        <w:rPr>
          <w:rFonts w:asciiTheme="minorHAnsi" w:hAnsiTheme="minorHAnsi" w:cs="Arial"/>
          <w:sz w:val="22"/>
          <w:szCs w:val="22"/>
        </w:rPr>
        <w:t xml:space="preserve"> o pagamento do adicional de sobreaviso, é preciso que o empregado não esteja em horário de trabalho e, que, </w:t>
      </w:r>
      <w:r w:rsidRPr="009E2725">
        <w:rPr>
          <w:rFonts w:asciiTheme="minorHAnsi" w:hAnsiTheme="minorHAnsi" w:cs="Arial"/>
          <w:b/>
          <w:sz w:val="22"/>
          <w:szCs w:val="22"/>
        </w:rPr>
        <w:t>por ordem expressa do empregador ou de seu preposto</w:t>
      </w:r>
      <w:r w:rsidRPr="009E2725">
        <w:rPr>
          <w:rFonts w:asciiTheme="minorHAnsi" w:hAnsiTheme="minorHAnsi" w:cs="Arial"/>
          <w:sz w:val="22"/>
          <w:szCs w:val="22"/>
        </w:rPr>
        <w:t>,  o empregado tenha que ficar aguardando o chamado para o serviço durante o período de descanso.</w:t>
      </w:r>
    </w:p>
    <w:p w:rsidR="002D5522" w:rsidRPr="009E2725" w:rsidRDefault="002D5522" w:rsidP="00497C06">
      <w:pPr>
        <w:jc w:val="both"/>
        <w:rPr>
          <w:rFonts w:asciiTheme="minorHAnsi" w:hAnsiTheme="minorHAnsi" w:cs="Arial"/>
          <w:sz w:val="22"/>
          <w:szCs w:val="22"/>
        </w:rPr>
      </w:pPr>
    </w:p>
    <w:p w:rsidR="002D5522" w:rsidRPr="009E2725" w:rsidRDefault="002D5522" w:rsidP="009E2725">
      <w:pPr>
        <w:jc w:val="both"/>
        <w:rPr>
          <w:rFonts w:asciiTheme="minorHAnsi" w:hAnsiTheme="minorHAnsi" w:cs="Arial"/>
          <w:sz w:val="22"/>
          <w:szCs w:val="22"/>
        </w:rPr>
      </w:pPr>
      <w:r w:rsidRPr="009E2725">
        <w:rPr>
          <w:rFonts w:asciiTheme="minorHAnsi" w:hAnsiTheme="minorHAnsi" w:cs="Arial"/>
          <w:sz w:val="22"/>
          <w:szCs w:val="22"/>
        </w:rPr>
        <w:t xml:space="preserve">A respeito do valor do adicional de sobreaviso, a CLT – Consolidação das Leis Trabalhistas </w:t>
      </w:r>
      <w:r w:rsidR="009E2725" w:rsidRPr="009E2725">
        <w:rPr>
          <w:rFonts w:asciiTheme="minorHAnsi" w:hAnsiTheme="minorHAnsi" w:cs="Arial"/>
          <w:sz w:val="22"/>
          <w:szCs w:val="22"/>
        </w:rPr>
        <w:t>–</w:t>
      </w:r>
      <w:r w:rsidRPr="009E2725">
        <w:rPr>
          <w:rFonts w:asciiTheme="minorHAnsi" w:hAnsiTheme="minorHAnsi" w:cs="Arial"/>
          <w:sz w:val="22"/>
          <w:szCs w:val="22"/>
        </w:rPr>
        <w:t xml:space="preserve"> </w:t>
      </w:r>
      <w:r w:rsidR="009E2725" w:rsidRPr="009E2725">
        <w:rPr>
          <w:rFonts w:asciiTheme="minorHAnsi" w:hAnsiTheme="minorHAnsi" w:cs="Arial"/>
          <w:sz w:val="22"/>
          <w:szCs w:val="22"/>
        </w:rPr>
        <w:t xml:space="preserve">prevê </w:t>
      </w:r>
      <w:r w:rsidR="009E2725" w:rsidRPr="009E2725">
        <w:rPr>
          <w:rFonts w:asciiTheme="minorHAnsi" w:hAnsiTheme="minorHAnsi" w:cs="Arial"/>
          <w:sz w:val="22"/>
          <w:szCs w:val="22"/>
          <w:shd w:val="clear" w:color="auto" w:fill="FFFFFF"/>
        </w:rPr>
        <w:t>que a</w:t>
      </w:r>
      <w:r w:rsidRPr="009E2725">
        <w:rPr>
          <w:rFonts w:asciiTheme="minorHAnsi" w:hAnsiTheme="minorHAnsi" w:cs="Arial"/>
          <w:sz w:val="22"/>
          <w:szCs w:val="22"/>
          <w:shd w:val="clear" w:color="auto" w:fill="FFFFFF"/>
        </w:rPr>
        <w:t>s horas de sobreaviso, para todos os efeitos, serão contadas à razão de 1/3 (um terço) do salário normal</w:t>
      </w:r>
      <w:r w:rsidR="009E2725" w:rsidRPr="009E2725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(§ </w:t>
      </w:r>
      <w:r w:rsidR="009E2725" w:rsidRPr="009E2725">
        <w:rPr>
          <w:rFonts w:asciiTheme="minorHAnsi" w:hAnsiTheme="minorHAnsi" w:cs="Arial"/>
          <w:sz w:val="22"/>
          <w:szCs w:val="22"/>
        </w:rPr>
        <w:t>2º do art. 244).</w:t>
      </w:r>
    </w:p>
    <w:p w:rsidR="00497C06" w:rsidRPr="009E2725" w:rsidRDefault="00497C06" w:rsidP="009E2725">
      <w:pPr>
        <w:jc w:val="both"/>
        <w:rPr>
          <w:rFonts w:asciiTheme="minorHAnsi" w:hAnsiTheme="minorHAnsi" w:cs="Arial"/>
          <w:sz w:val="22"/>
          <w:szCs w:val="22"/>
        </w:rPr>
      </w:pPr>
    </w:p>
    <w:p w:rsidR="00497C06" w:rsidRPr="009E2725" w:rsidRDefault="009E2725" w:rsidP="002D5522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9E2725">
        <w:rPr>
          <w:rFonts w:asciiTheme="minorHAnsi" w:hAnsiTheme="minorHAnsi" w:cs="Arial"/>
          <w:sz w:val="22"/>
          <w:szCs w:val="22"/>
        </w:rPr>
        <w:t>Vale</w:t>
      </w:r>
      <w:proofErr w:type="gramEnd"/>
      <w:r w:rsidRPr="009E2725">
        <w:rPr>
          <w:rFonts w:asciiTheme="minorHAnsi" w:hAnsiTheme="minorHAnsi" w:cs="Arial"/>
          <w:sz w:val="22"/>
          <w:szCs w:val="22"/>
        </w:rPr>
        <w:t xml:space="preserve"> dizer que por se tratar de verba de caráter salarial, o recebimento do adicional de insalubridade repercutirá em aumento nas demais verbas trabalhistas, tais quais: </w:t>
      </w:r>
      <w:r w:rsidR="00497C06" w:rsidRPr="009E2725">
        <w:rPr>
          <w:rFonts w:asciiTheme="minorHAnsi" w:hAnsiTheme="minorHAnsi" w:cs="Arial"/>
          <w:sz w:val="22"/>
          <w:szCs w:val="22"/>
        </w:rPr>
        <w:t xml:space="preserve">férias, 13º salário, FGTS, repouso semanal remunerado, </w:t>
      </w:r>
      <w:r w:rsidRPr="009E2725">
        <w:rPr>
          <w:rFonts w:asciiTheme="minorHAnsi" w:hAnsiTheme="minorHAnsi" w:cs="Arial"/>
          <w:sz w:val="22"/>
          <w:szCs w:val="22"/>
        </w:rPr>
        <w:t>contribuições previdenciárias.</w:t>
      </w:r>
    </w:p>
    <w:p w:rsidR="00096212" w:rsidRPr="009E2725" w:rsidRDefault="009E2725">
      <w:pPr>
        <w:rPr>
          <w:rFonts w:asciiTheme="minorHAnsi" w:hAnsiTheme="minorHAnsi"/>
          <w:sz w:val="22"/>
          <w:szCs w:val="22"/>
        </w:rPr>
      </w:pPr>
    </w:p>
    <w:sectPr w:rsidR="00096212" w:rsidRPr="009E2725" w:rsidSect="00277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/>
  <w:rsids>
    <w:rsidRoot w:val="00497C06"/>
    <w:rsid w:val="0011603E"/>
    <w:rsid w:val="002779EC"/>
    <w:rsid w:val="002D5522"/>
    <w:rsid w:val="00497C06"/>
    <w:rsid w:val="009E2725"/>
    <w:rsid w:val="00BA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97C06"/>
  </w:style>
  <w:style w:type="character" w:styleId="Hyperlink">
    <w:name w:val="Hyperlink"/>
    <w:basedOn w:val="Fontepargpadro"/>
    <w:uiPriority w:val="99"/>
    <w:unhideWhenUsed/>
    <w:rsid w:val="00497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CBFCA-3F2C-4122-885E-66FFD95D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Iranley</dc:creator>
  <cp:lastModifiedBy>Marcelo Iranley</cp:lastModifiedBy>
  <cp:revision>1</cp:revision>
  <dcterms:created xsi:type="dcterms:W3CDTF">2016-01-14T19:44:00Z</dcterms:created>
  <dcterms:modified xsi:type="dcterms:W3CDTF">2016-01-14T20:10:00Z</dcterms:modified>
</cp:coreProperties>
</file>