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726" w:rsidRPr="00D96A98" w:rsidRDefault="00B45726" w:rsidP="00B45726">
      <w:pPr>
        <w:jc w:val="center"/>
        <w:rPr>
          <w:rFonts w:ascii="Times New Roman" w:hAnsi="Times New Roman" w:cs="Times New Roman"/>
          <w:b/>
        </w:rPr>
      </w:pPr>
      <w:r w:rsidRPr="00D96A98">
        <w:rPr>
          <w:rFonts w:ascii="Times New Roman" w:hAnsi="Times New Roman" w:cs="Times New Roman"/>
          <w:b/>
        </w:rPr>
        <w:t>A responsabilidade civil pela inscrição indevida de título de crédito nos sistemas de proteção de crédito</w:t>
      </w:r>
    </w:p>
    <w:p w:rsidR="00B45726" w:rsidRDefault="00B45726" w:rsidP="00B45726">
      <w:pPr>
        <w:jc w:val="center"/>
        <w:rPr>
          <w:rFonts w:ascii="Times New Roman" w:hAnsi="Times New Roman" w:cs="Times New Roman"/>
        </w:rPr>
      </w:pPr>
    </w:p>
    <w:p w:rsidR="00B45726" w:rsidRPr="00D96A98" w:rsidRDefault="00B45726" w:rsidP="00B45726">
      <w:pPr>
        <w:pStyle w:val="PargrafodaLista"/>
        <w:tabs>
          <w:tab w:val="left" w:pos="284"/>
        </w:tabs>
        <w:ind w:left="0"/>
        <w:rPr>
          <w:rFonts w:ascii="Times New Roman" w:hAnsi="Times New Roman" w:cs="Times New Roman"/>
          <w:b/>
        </w:rPr>
      </w:pPr>
    </w:p>
    <w:p w:rsidR="00B45726" w:rsidRDefault="008C6E63" w:rsidP="00B45726">
      <w:pPr>
        <w:pStyle w:val="PargrafodaLista"/>
        <w:numPr>
          <w:ilvl w:val="0"/>
          <w:numId w:val="1"/>
        </w:numPr>
        <w:tabs>
          <w:tab w:val="left" w:pos="284"/>
        </w:tabs>
        <w:ind w:left="426"/>
        <w:rPr>
          <w:rFonts w:ascii="Times New Roman" w:hAnsi="Times New Roman" w:cs="Times New Roman"/>
          <w:b/>
        </w:rPr>
      </w:pPr>
      <w:r w:rsidRPr="00D96A98">
        <w:rPr>
          <w:rFonts w:ascii="Times New Roman" w:hAnsi="Times New Roman" w:cs="Times New Roman"/>
          <w:b/>
        </w:rPr>
        <w:t>INTRODUÇÃO</w:t>
      </w:r>
      <w:r w:rsidR="00B45726" w:rsidRPr="00D96A98">
        <w:rPr>
          <w:rFonts w:ascii="Times New Roman" w:hAnsi="Times New Roman" w:cs="Times New Roman"/>
          <w:b/>
        </w:rPr>
        <w:t xml:space="preserve"> </w:t>
      </w:r>
    </w:p>
    <w:p w:rsidR="0084470F" w:rsidRDefault="0084470F" w:rsidP="0073039E">
      <w:pPr>
        <w:tabs>
          <w:tab w:val="left" w:pos="284"/>
        </w:tabs>
        <w:spacing w:before="240"/>
        <w:rPr>
          <w:rFonts w:ascii="Times New Roman" w:hAnsi="Times New Roman" w:cs="Times New Roman"/>
          <w:b/>
        </w:rPr>
      </w:pPr>
    </w:p>
    <w:p w:rsidR="0084470F" w:rsidRPr="0084470F" w:rsidRDefault="0084470F" w:rsidP="0084470F">
      <w:pPr>
        <w:tabs>
          <w:tab w:val="left" w:pos="284"/>
        </w:tabs>
        <w:rPr>
          <w:rFonts w:ascii="Times New Roman" w:hAnsi="Times New Roman" w:cs="Times New Roman"/>
          <w:b/>
        </w:rPr>
      </w:pPr>
    </w:p>
    <w:p w:rsidR="00DD58FD" w:rsidRDefault="00DD58FD" w:rsidP="00DD58FD">
      <w:pPr>
        <w:ind w:firstLine="1134"/>
        <w:jc w:val="both"/>
        <w:rPr>
          <w:rFonts w:ascii="Times New Roman" w:hAnsi="Times New Roman" w:cs="Times New Roman"/>
        </w:rPr>
      </w:pPr>
      <w:r w:rsidRPr="00DD58FD">
        <w:rPr>
          <w:rFonts w:ascii="Times New Roman" w:hAnsi="Times New Roman" w:cs="Times New Roman"/>
        </w:rPr>
        <w:t>Na dinâmica financeira atual, ter o nome incluído em cadastros de restrição ao crédito traz para o cliente consequências extremamente nocivas, uma vez que, com o nome “sujo” na praça fica impossibilitado de obter concessão de financiamento e outros.</w:t>
      </w:r>
    </w:p>
    <w:p w:rsidR="00362AB8" w:rsidRDefault="00DD58FD" w:rsidP="00DD58FD">
      <w:pPr>
        <w:ind w:firstLine="1134"/>
        <w:jc w:val="both"/>
        <w:rPr>
          <w:rFonts w:ascii="Times New Roman" w:hAnsi="Times New Roman" w:cs="Times New Roman"/>
        </w:rPr>
      </w:pPr>
      <w:r>
        <w:rPr>
          <w:rFonts w:ascii="Times New Roman" w:hAnsi="Times New Roman" w:cs="Times New Roman"/>
        </w:rPr>
        <w:t>Nesse contexto surgiram, ainda na década de 50, o</w:t>
      </w:r>
      <w:r w:rsidR="00362AB8">
        <w:rPr>
          <w:rFonts w:ascii="Times New Roman" w:hAnsi="Times New Roman" w:cs="Times New Roman"/>
        </w:rPr>
        <w:t xml:space="preserve">s bancos de proteção </w:t>
      </w:r>
      <w:r w:rsidR="002D31B1">
        <w:rPr>
          <w:rFonts w:ascii="Times New Roman" w:hAnsi="Times New Roman" w:cs="Times New Roman"/>
        </w:rPr>
        <w:t xml:space="preserve">ao crédito </w:t>
      </w:r>
      <w:r>
        <w:rPr>
          <w:rFonts w:ascii="Times New Roman" w:hAnsi="Times New Roman" w:cs="Times New Roman"/>
        </w:rPr>
        <w:t xml:space="preserve">que </w:t>
      </w:r>
      <w:r w:rsidR="002D31B1">
        <w:rPr>
          <w:rFonts w:ascii="Times New Roman" w:hAnsi="Times New Roman" w:cs="Times New Roman"/>
        </w:rPr>
        <w:t xml:space="preserve">têm por </w:t>
      </w:r>
      <w:r w:rsidR="00BC1723" w:rsidRPr="00BC1723">
        <w:rPr>
          <w:rFonts w:ascii="Times New Roman" w:hAnsi="Times New Roman" w:cs="Times New Roman"/>
          <w:iCs/>
        </w:rPr>
        <w:t>objeto a coleta, o armazename</w:t>
      </w:r>
      <w:r w:rsidR="002D31B1">
        <w:rPr>
          <w:rFonts w:ascii="Times New Roman" w:hAnsi="Times New Roman" w:cs="Times New Roman"/>
          <w:iCs/>
        </w:rPr>
        <w:t xml:space="preserve">nto e transferência a terceiros </w:t>
      </w:r>
      <w:r w:rsidR="00BC1723" w:rsidRPr="00BC1723">
        <w:rPr>
          <w:rFonts w:ascii="Times New Roman" w:hAnsi="Times New Roman" w:cs="Times New Roman"/>
          <w:iCs/>
        </w:rPr>
        <w:t>de informações pessoais dos pre</w:t>
      </w:r>
      <w:r>
        <w:rPr>
          <w:rFonts w:ascii="Times New Roman" w:hAnsi="Times New Roman" w:cs="Times New Roman"/>
          <w:iCs/>
        </w:rPr>
        <w:t>tendentes à obtenção de crédito</w:t>
      </w:r>
      <w:r w:rsidR="00362AB8" w:rsidRPr="00BC1723">
        <w:rPr>
          <w:rFonts w:ascii="Times New Roman" w:hAnsi="Times New Roman" w:cs="Times New Roman"/>
        </w:rPr>
        <w:t xml:space="preserve"> como forma de proteger o credor do mal pagador.</w:t>
      </w:r>
    </w:p>
    <w:p w:rsidR="00590EE7" w:rsidRDefault="00590EE7" w:rsidP="00DD58FD">
      <w:pPr>
        <w:ind w:firstLine="1134"/>
        <w:jc w:val="both"/>
        <w:rPr>
          <w:rFonts w:ascii="Times New Roman" w:hAnsi="Times New Roman" w:cs="Times New Roman"/>
        </w:rPr>
      </w:pPr>
      <w:r>
        <w:rPr>
          <w:rFonts w:ascii="Times New Roman" w:hAnsi="Times New Roman" w:cs="Times New Roman"/>
        </w:rPr>
        <w:t>Uma antiga forma de crédito que resiste às transformações político-econômicas e culturais são os títulos de créditos. Esses documentos representam um dos principais instrumentos de circulação de riqueza e, por isso, necessitam de normas para</w:t>
      </w:r>
      <w:r w:rsidR="00FC3AD4">
        <w:rPr>
          <w:rFonts w:ascii="Times New Roman" w:hAnsi="Times New Roman" w:cs="Times New Roman"/>
        </w:rPr>
        <w:t xml:space="preserve"> reger sua circulação.</w:t>
      </w:r>
    </w:p>
    <w:p w:rsidR="00DD58FD" w:rsidRPr="00BC1723" w:rsidRDefault="00DD58FD" w:rsidP="00DD58FD">
      <w:pPr>
        <w:ind w:firstLine="1134"/>
        <w:jc w:val="both"/>
        <w:rPr>
          <w:rFonts w:ascii="Times New Roman" w:hAnsi="Times New Roman" w:cs="Times New Roman"/>
        </w:rPr>
      </w:pPr>
      <w:r>
        <w:rPr>
          <w:rFonts w:ascii="Times New Roman" w:hAnsi="Times New Roman" w:cs="Times New Roman"/>
        </w:rPr>
        <w:t>O trabalho apresentado</w:t>
      </w:r>
      <w:r w:rsidR="00B71F68">
        <w:rPr>
          <w:rFonts w:ascii="Times New Roman" w:hAnsi="Times New Roman" w:cs="Times New Roman"/>
        </w:rPr>
        <w:t xml:space="preserve"> tem como objetivo explorar os limites da atuação dos bancos de dados, bem como as leis que regulamentam e disciplinam sua atuação no Brasil. E, por conseguinte, analisar a responsabilidade civil de tais instituições ao incluir irregularmente nomes de clientes possuidores de títulos de crédito.</w:t>
      </w:r>
    </w:p>
    <w:p w:rsidR="008C6E63" w:rsidRDefault="008C6E63" w:rsidP="008C6E63">
      <w:pPr>
        <w:tabs>
          <w:tab w:val="left" w:pos="284"/>
        </w:tabs>
        <w:rPr>
          <w:rFonts w:ascii="Times New Roman" w:hAnsi="Times New Roman" w:cs="Times New Roman"/>
        </w:rPr>
      </w:pPr>
    </w:p>
    <w:p w:rsidR="008C6E63" w:rsidRDefault="008C6E63" w:rsidP="008C6E63">
      <w:pPr>
        <w:tabs>
          <w:tab w:val="left" w:pos="284"/>
        </w:tabs>
        <w:rPr>
          <w:rFonts w:ascii="Times New Roman" w:hAnsi="Times New Roman" w:cs="Times New Roman"/>
        </w:rPr>
      </w:pPr>
    </w:p>
    <w:p w:rsidR="008C6E63" w:rsidRDefault="008C6E63" w:rsidP="008C6E63">
      <w:pPr>
        <w:tabs>
          <w:tab w:val="left" w:pos="284"/>
        </w:tabs>
        <w:rPr>
          <w:rFonts w:ascii="Times New Roman" w:hAnsi="Times New Roman" w:cs="Times New Roman"/>
        </w:rPr>
      </w:pPr>
    </w:p>
    <w:p w:rsidR="008C6E63" w:rsidRDefault="008C6E63" w:rsidP="008C6E63">
      <w:pPr>
        <w:tabs>
          <w:tab w:val="left" w:pos="284"/>
        </w:tabs>
        <w:rPr>
          <w:rFonts w:ascii="Times New Roman" w:hAnsi="Times New Roman" w:cs="Times New Roman"/>
        </w:rPr>
      </w:pPr>
    </w:p>
    <w:p w:rsidR="008C6E63" w:rsidRDefault="008C6E63" w:rsidP="008C6E63">
      <w:pPr>
        <w:tabs>
          <w:tab w:val="left" w:pos="284"/>
        </w:tabs>
        <w:rPr>
          <w:rFonts w:ascii="Times New Roman" w:hAnsi="Times New Roman" w:cs="Times New Roman"/>
        </w:rPr>
      </w:pPr>
    </w:p>
    <w:p w:rsidR="008C6E63" w:rsidRDefault="008C6E63" w:rsidP="008C6E63">
      <w:pPr>
        <w:tabs>
          <w:tab w:val="left" w:pos="284"/>
        </w:tabs>
        <w:rPr>
          <w:rFonts w:ascii="Times New Roman" w:hAnsi="Times New Roman" w:cs="Times New Roman"/>
        </w:rPr>
      </w:pPr>
    </w:p>
    <w:p w:rsidR="008C6E63" w:rsidRDefault="008C6E63" w:rsidP="008C6E63">
      <w:pPr>
        <w:tabs>
          <w:tab w:val="left" w:pos="284"/>
        </w:tabs>
        <w:rPr>
          <w:rFonts w:ascii="Times New Roman" w:hAnsi="Times New Roman" w:cs="Times New Roman"/>
        </w:rPr>
      </w:pPr>
    </w:p>
    <w:p w:rsidR="008C6E63" w:rsidRDefault="008C6E63" w:rsidP="008C6E63">
      <w:pPr>
        <w:tabs>
          <w:tab w:val="left" w:pos="284"/>
        </w:tabs>
        <w:rPr>
          <w:rFonts w:ascii="Times New Roman" w:hAnsi="Times New Roman" w:cs="Times New Roman"/>
        </w:rPr>
      </w:pPr>
    </w:p>
    <w:p w:rsidR="008C6E63" w:rsidRDefault="008C6E63" w:rsidP="008C6E63">
      <w:pPr>
        <w:tabs>
          <w:tab w:val="left" w:pos="284"/>
        </w:tabs>
        <w:rPr>
          <w:rFonts w:ascii="Times New Roman" w:hAnsi="Times New Roman" w:cs="Times New Roman"/>
        </w:rPr>
      </w:pPr>
    </w:p>
    <w:p w:rsidR="008C6E63" w:rsidRDefault="008C6E63" w:rsidP="008C6E63">
      <w:pPr>
        <w:tabs>
          <w:tab w:val="left" w:pos="284"/>
        </w:tabs>
        <w:rPr>
          <w:rFonts w:ascii="Times New Roman" w:hAnsi="Times New Roman" w:cs="Times New Roman"/>
        </w:rPr>
      </w:pPr>
    </w:p>
    <w:p w:rsidR="008C6E63" w:rsidRDefault="008C6E63" w:rsidP="008C6E63">
      <w:pPr>
        <w:tabs>
          <w:tab w:val="left" w:pos="284"/>
        </w:tabs>
        <w:rPr>
          <w:rFonts w:ascii="Times New Roman" w:hAnsi="Times New Roman" w:cs="Times New Roman"/>
        </w:rPr>
      </w:pPr>
    </w:p>
    <w:p w:rsidR="003C0294" w:rsidRDefault="003C0294" w:rsidP="008C6E63">
      <w:pPr>
        <w:tabs>
          <w:tab w:val="left" w:pos="284"/>
        </w:tabs>
        <w:rPr>
          <w:rFonts w:ascii="Times New Roman" w:hAnsi="Times New Roman" w:cs="Times New Roman"/>
          <w:b/>
        </w:rPr>
      </w:pPr>
    </w:p>
    <w:p w:rsidR="008C6E63" w:rsidRPr="006620B4" w:rsidRDefault="00B45726" w:rsidP="008C6E63">
      <w:pPr>
        <w:tabs>
          <w:tab w:val="left" w:pos="284"/>
        </w:tabs>
        <w:rPr>
          <w:rFonts w:ascii="Times New Roman" w:hAnsi="Times New Roman" w:cs="Times New Roman"/>
          <w:b/>
        </w:rPr>
      </w:pPr>
      <w:proofErr w:type="gramStart"/>
      <w:r w:rsidRPr="006620B4">
        <w:rPr>
          <w:rFonts w:ascii="Times New Roman" w:hAnsi="Times New Roman" w:cs="Times New Roman"/>
          <w:b/>
        </w:rPr>
        <w:t>2</w:t>
      </w:r>
      <w:proofErr w:type="gramEnd"/>
      <w:r w:rsidRPr="006620B4">
        <w:rPr>
          <w:rFonts w:ascii="Times New Roman" w:hAnsi="Times New Roman" w:cs="Times New Roman"/>
          <w:b/>
        </w:rPr>
        <w:t xml:space="preserve"> </w:t>
      </w:r>
      <w:r w:rsidR="008C6E63" w:rsidRPr="006620B4">
        <w:rPr>
          <w:rFonts w:ascii="Times New Roman" w:hAnsi="Times New Roman" w:cs="Times New Roman"/>
          <w:b/>
        </w:rPr>
        <w:t>A RESPONSABILIDADE CIVIL PELA INSCRIÇÃO INDEVIDA DE TÍTULO DE CRÉDITO NOS SISTEMAS DE PROTEÇÃO DE CRÉDITO</w:t>
      </w:r>
    </w:p>
    <w:p w:rsidR="00B45726" w:rsidRPr="006620B4" w:rsidRDefault="00B45726" w:rsidP="008C6E63">
      <w:pPr>
        <w:tabs>
          <w:tab w:val="left" w:pos="284"/>
        </w:tabs>
        <w:rPr>
          <w:rFonts w:ascii="Times New Roman" w:hAnsi="Times New Roman" w:cs="Times New Roman"/>
          <w:b/>
          <w:color w:val="000000"/>
          <w:szCs w:val="21"/>
          <w:shd w:val="clear" w:color="auto" w:fill="FFFFFF"/>
        </w:rPr>
      </w:pPr>
    </w:p>
    <w:p w:rsidR="00B45726" w:rsidRPr="006620B4" w:rsidRDefault="008C6E63" w:rsidP="00B45726">
      <w:pPr>
        <w:pStyle w:val="PargrafodaLista"/>
        <w:tabs>
          <w:tab w:val="left" w:pos="284"/>
        </w:tabs>
        <w:ind w:left="0"/>
        <w:rPr>
          <w:rFonts w:ascii="Times New Roman" w:hAnsi="Times New Roman" w:cs="Times New Roman"/>
          <w:b/>
        </w:rPr>
      </w:pPr>
      <w:proofErr w:type="gramStart"/>
      <w:r w:rsidRPr="006620B4">
        <w:rPr>
          <w:rFonts w:ascii="Times New Roman" w:hAnsi="Times New Roman" w:cs="Times New Roman"/>
          <w:b/>
        </w:rPr>
        <w:t>2</w:t>
      </w:r>
      <w:r w:rsidR="00B45726" w:rsidRPr="006620B4">
        <w:rPr>
          <w:rFonts w:ascii="Times New Roman" w:hAnsi="Times New Roman" w:cs="Times New Roman"/>
          <w:b/>
        </w:rPr>
        <w:t>.1 O</w:t>
      </w:r>
      <w:proofErr w:type="gramEnd"/>
      <w:r w:rsidR="00B45726" w:rsidRPr="006620B4">
        <w:rPr>
          <w:rFonts w:ascii="Times New Roman" w:hAnsi="Times New Roman" w:cs="Times New Roman"/>
          <w:b/>
        </w:rPr>
        <w:t xml:space="preserve"> que são títulos de crédito </w:t>
      </w:r>
    </w:p>
    <w:p w:rsidR="004F5E22" w:rsidRDefault="00B45726" w:rsidP="004F5E22">
      <w:pPr>
        <w:pStyle w:val="PargrafodaLista"/>
        <w:tabs>
          <w:tab w:val="left" w:pos="284"/>
        </w:tabs>
        <w:ind w:left="0" w:firstLine="1134"/>
        <w:jc w:val="both"/>
        <w:rPr>
          <w:rFonts w:ascii="Times New Roman" w:hAnsi="Times New Roman" w:cs="Times New Roman"/>
        </w:rPr>
      </w:pPr>
      <w:r w:rsidRPr="00C239E7">
        <w:rPr>
          <w:rFonts w:ascii="Times New Roman" w:hAnsi="Times New Roman" w:cs="Times New Roman"/>
          <w:color w:val="000000" w:themeColor="text1"/>
        </w:rPr>
        <w:t>O conceito de título</w:t>
      </w:r>
      <w:r w:rsidR="00C239E7" w:rsidRPr="00C239E7">
        <w:rPr>
          <w:rFonts w:ascii="Times New Roman" w:hAnsi="Times New Roman" w:cs="Times New Roman"/>
          <w:color w:val="000000" w:themeColor="text1"/>
        </w:rPr>
        <w:t>s de crédito, embora consagrado</w:t>
      </w:r>
      <w:r w:rsidRPr="00C239E7">
        <w:rPr>
          <w:rFonts w:ascii="Times New Roman" w:hAnsi="Times New Roman" w:cs="Times New Roman"/>
          <w:color w:val="000000" w:themeColor="text1"/>
        </w:rPr>
        <w:t xml:space="preserve"> na atualidade, </w:t>
      </w:r>
      <w:r w:rsidR="00C239E7" w:rsidRPr="00C239E7">
        <w:rPr>
          <w:rFonts w:ascii="Times New Roman" w:hAnsi="Times New Roman" w:cs="Times New Roman"/>
          <w:color w:val="000000" w:themeColor="text1"/>
        </w:rPr>
        <w:t>consiste em práticas que nos remetem</w:t>
      </w:r>
      <w:r w:rsidRPr="00C239E7">
        <w:rPr>
          <w:rFonts w:ascii="Times New Roman" w:hAnsi="Times New Roman" w:cs="Times New Roman"/>
          <w:color w:val="000000" w:themeColor="text1"/>
        </w:rPr>
        <w:t xml:space="preserve"> a muitos séculos passados – na qual um documento materializava o direito de exigir bens ou dinheiro.</w:t>
      </w:r>
      <w:r w:rsidRPr="00CF3F10">
        <w:rPr>
          <w:rFonts w:ascii="Times New Roman" w:hAnsi="Times New Roman" w:cs="Times New Roman"/>
        </w:rPr>
        <w:t xml:space="preserve"> A vantagem da utilização de tais títu</w:t>
      </w:r>
      <w:r>
        <w:rPr>
          <w:rFonts w:ascii="Times New Roman" w:hAnsi="Times New Roman" w:cs="Times New Roman"/>
        </w:rPr>
        <w:t xml:space="preserve">los era, e ainda </w:t>
      </w:r>
      <w:proofErr w:type="gramStart"/>
      <w:r>
        <w:rPr>
          <w:rFonts w:ascii="Times New Roman" w:hAnsi="Times New Roman" w:cs="Times New Roman"/>
        </w:rPr>
        <w:t>é,</w:t>
      </w:r>
      <w:proofErr w:type="gramEnd"/>
      <w:r>
        <w:rPr>
          <w:rFonts w:ascii="Times New Roman" w:hAnsi="Times New Roman" w:cs="Times New Roman"/>
        </w:rPr>
        <w:t xml:space="preserve"> </w:t>
      </w:r>
      <w:r w:rsidRPr="00CF3F10">
        <w:rPr>
          <w:rFonts w:ascii="Times New Roman" w:hAnsi="Times New Roman" w:cs="Times New Roman"/>
        </w:rPr>
        <w:t>óbvia: grandes somas em dinheiro</w:t>
      </w:r>
      <w:r>
        <w:rPr>
          <w:rFonts w:ascii="Times New Roman" w:hAnsi="Times New Roman" w:cs="Times New Roman"/>
        </w:rPr>
        <w:t xml:space="preserve"> ou grandes quantidades de bens </w:t>
      </w:r>
      <w:r w:rsidRPr="00CF3F10">
        <w:rPr>
          <w:rFonts w:ascii="Times New Roman" w:hAnsi="Times New Roman" w:cs="Times New Roman"/>
        </w:rPr>
        <w:t xml:space="preserve">eram substituídos por um pequeno papel: a cártula (em latim, </w:t>
      </w:r>
      <w:proofErr w:type="spellStart"/>
      <w:r w:rsidRPr="00CF3F10">
        <w:rPr>
          <w:rFonts w:ascii="Times New Roman" w:hAnsi="Times New Roman" w:cs="Times New Roman"/>
          <w:i/>
        </w:rPr>
        <w:t>charta</w:t>
      </w:r>
      <w:proofErr w:type="spellEnd"/>
      <w:r w:rsidRPr="00CF3F10">
        <w:rPr>
          <w:rFonts w:ascii="Times New Roman" w:hAnsi="Times New Roman" w:cs="Times New Roman"/>
        </w:rPr>
        <w:t xml:space="preserve"> é papel; </w:t>
      </w:r>
      <w:proofErr w:type="spellStart"/>
      <w:r w:rsidRPr="00CF3F10">
        <w:rPr>
          <w:rFonts w:ascii="Times New Roman" w:hAnsi="Times New Roman" w:cs="Times New Roman"/>
          <w:i/>
        </w:rPr>
        <w:t>chártula</w:t>
      </w:r>
      <w:proofErr w:type="spellEnd"/>
      <w:r w:rsidRPr="00CF3F10">
        <w:rPr>
          <w:rFonts w:ascii="Times New Roman" w:hAnsi="Times New Roman" w:cs="Times New Roman"/>
        </w:rPr>
        <w:t>, seu diminutivo).</w:t>
      </w:r>
    </w:p>
    <w:p w:rsidR="004F5E22" w:rsidRDefault="004F5E22" w:rsidP="004F5E22">
      <w:pPr>
        <w:pStyle w:val="PargrafodaLista"/>
        <w:tabs>
          <w:tab w:val="left" w:pos="284"/>
        </w:tabs>
        <w:ind w:left="0" w:firstLine="1134"/>
        <w:jc w:val="both"/>
        <w:rPr>
          <w:rFonts w:ascii="Times New Roman" w:hAnsi="Times New Roman" w:cs="Times New Roman"/>
          <w:i/>
        </w:rPr>
      </w:pPr>
      <w:r w:rsidRPr="004F5E22">
        <w:rPr>
          <w:rFonts w:ascii="Times New Roman" w:hAnsi="Times New Roman" w:cs="Times New Roman"/>
        </w:rPr>
        <w:t xml:space="preserve">Na doutrina, a mais completa definição é de </w:t>
      </w:r>
      <w:proofErr w:type="spellStart"/>
      <w:r w:rsidRPr="004F5E22">
        <w:rPr>
          <w:rFonts w:ascii="Times New Roman" w:hAnsi="Times New Roman" w:cs="Times New Roman"/>
        </w:rPr>
        <w:t>Cesare</w:t>
      </w:r>
      <w:proofErr w:type="spellEnd"/>
      <w:r w:rsidRPr="004F5E22">
        <w:rPr>
          <w:rFonts w:ascii="Times New Roman" w:hAnsi="Times New Roman" w:cs="Times New Roman"/>
        </w:rPr>
        <w:t xml:space="preserve"> </w:t>
      </w:r>
      <w:proofErr w:type="spellStart"/>
      <w:r w:rsidRPr="004F5E22">
        <w:rPr>
          <w:rFonts w:ascii="Times New Roman" w:hAnsi="Times New Roman" w:cs="Times New Roman"/>
        </w:rPr>
        <w:t>Vivante</w:t>
      </w:r>
      <w:proofErr w:type="spellEnd"/>
      <w:r w:rsidRPr="004F5E22">
        <w:rPr>
          <w:rFonts w:ascii="Times New Roman" w:hAnsi="Times New Roman" w:cs="Times New Roman"/>
        </w:rPr>
        <w:t>, “Título de crédito é o documento necessário para o exercício do direito literal e autônomo, nele mencionado”.</w:t>
      </w:r>
      <w:r>
        <w:rPr>
          <w:rFonts w:ascii="Times New Roman" w:hAnsi="Times New Roman" w:cs="Times New Roman"/>
        </w:rPr>
        <w:t xml:space="preserve"> Tal é a sua completude que o </w:t>
      </w:r>
      <w:r w:rsidRPr="004F5E22">
        <w:rPr>
          <w:rFonts w:ascii="Times New Roman" w:hAnsi="Times New Roman" w:cs="Times New Roman"/>
        </w:rPr>
        <w:t>art. 887 do Novo Código Civil</w:t>
      </w:r>
      <w:r>
        <w:rPr>
          <w:rFonts w:ascii="Times New Roman" w:hAnsi="Times New Roman" w:cs="Times New Roman"/>
        </w:rPr>
        <w:t xml:space="preserve"> ao </w:t>
      </w:r>
      <w:proofErr w:type="gramStart"/>
      <w:r>
        <w:rPr>
          <w:rFonts w:ascii="Times New Roman" w:hAnsi="Times New Roman" w:cs="Times New Roman"/>
        </w:rPr>
        <w:t>disciplinar Títulos</w:t>
      </w:r>
      <w:proofErr w:type="gramEnd"/>
      <w:r>
        <w:rPr>
          <w:rFonts w:ascii="Times New Roman" w:hAnsi="Times New Roman" w:cs="Times New Roman"/>
        </w:rPr>
        <w:t xml:space="preserve"> de Crédito, retira elementos essenciais de seu texto, definindo-o como </w:t>
      </w:r>
      <w:r w:rsidRPr="004F5E22">
        <w:rPr>
          <w:rFonts w:ascii="Times New Roman" w:hAnsi="Times New Roman" w:cs="Times New Roman"/>
          <w:i/>
        </w:rPr>
        <w:t>“documento necessário ao exercício do direito literal e autônomo nele contido, somente produz efeito quando preencha os requisitos da lei”.</w:t>
      </w:r>
    </w:p>
    <w:p w:rsidR="00CD4D4C" w:rsidRDefault="00CD4D4C" w:rsidP="00CD4D4C">
      <w:pPr>
        <w:pStyle w:val="PargrafodaLista"/>
        <w:tabs>
          <w:tab w:val="left" w:pos="284"/>
        </w:tabs>
        <w:ind w:left="0" w:firstLine="1134"/>
        <w:jc w:val="both"/>
        <w:rPr>
          <w:rFonts w:ascii="Times New Roman" w:hAnsi="Times New Roman" w:cs="Times New Roman"/>
        </w:rPr>
      </w:pPr>
      <w:r>
        <w:rPr>
          <w:rFonts w:ascii="Times New Roman" w:hAnsi="Times New Roman" w:cs="Times New Roman"/>
        </w:rPr>
        <w:t xml:space="preserve">De modo genérico, podemos conceituar </w:t>
      </w:r>
      <w:r w:rsidRPr="00CD4D4C">
        <w:rPr>
          <w:rFonts w:ascii="Times New Roman" w:hAnsi="Times New Roman" w:cs="Times New Roman"/>
        </w:rPr>
        <w:t>Título</w:t>
      </w:r>
      <w:r>
        <w:rPr>
          <w:rFonts w:ascii="Times New Roman" w:hAnsi="Times New Roman" w:cs="Times New Roman"/>
        </w:rPr>
        <w:t>s de C</w:t>
      </w:r>
      <w:r w:rsidRPr="00CD4D4C">
        <w:rPr>
          <w:rFonts w:ascii="Times New Roman" w:hAnsi="Times New Roman" w:cs="Times New Roman"/>
        </w:rPr>
        <w:t xml:space="preserve">rédito </w:t>
      </w:r>
      <w:r>
        <w:rPr>
          <w:rFonts w:ascii="Times New Roman" w:hAnsi="Times New Roman" w:cs="Times New Roman"/>
        </w:rPr>
        <w:t xml:space="preserve">como sendo </w:t>
      </w:r>
      <w:r w:rsidRPr="00CD4D4C">
        <w:rPr>
          <w:rFonts w:ascii="Times New Roman" w:hAnsi="Times New Roman" w:cs="Times New Roman"/>
        </w:rPr>
        <w:t>um documento que tem como objetivo representar um crédito relativo a uma transação específica de mercado, facilitando desta forma a sua circulação entre diversos titulares distintos, substituindo num dado momento a moeda corrente ou dinheiro em espécie, além de garantir a segurança da transação.</w:t>
      </w:r>
    </w:p>
    <w:p w:rsidR="003C0294" w:rsidRDefault="00B45726" w:rsidP="003C0294">
      <w:pPr>
        <w:pStyle w:val="PargrafodaLista"/>
        <w:tabs>
          <w:tab w:val="left" w:pos="284"/>
        </w:tabs>
        <w:ind w:left="0" w:firstLine="1134"/>
        <w:jc w:val="both"/>
        <w:rPr>
          <w:rFonts w:ascii="Times New Roman" w:hAnsi="Times New Roman" w:cs="Times New Roman"/>
        </w:rPr>
      </w:pPr>
      <w:r w:rsidRPr="00E10AC9">
        <w:rPr>
          <w:rFonts w:ascii="Times New Roman" w:hAnsi="Times New Roman" w:cs="Times New Roman"/>
        </w:rPr>
        <w:t>Nesse sentido, cabe-nos delimitar quais documentos são qualificados como títulos de crédito, uma vez que</w:t>
      </w:r>
      <w:r w:rsidRPr="00E10AC9">
        <w:t xml:space="preserve"> </w:t>
      </w:r>
      <w:r>
        <w:rPr>
          <w:rFonts w:ascii="Times New Roman" w:hAnsi="Times New Roman" w:cs="Times New Roman"/>
        </w:rPr>
        <w:t>se devedor e c</w:t>
      </w:r>
      <w:r w:rsidRPr="00E10AC9">
        <w:rPr>
          <w:rFonts w:ascii="Times New Roman" w:hAnsi="Times New Roman" w:cs="Times New Roman"/>
        </w:rPr>
        <w:t>redor estiverem de acordo quanto à existência da obrigação e também quanto à sua extensão, esta pode ser represe</w:t>
      </w:r>
      <w:r>
        <w:rPr>
          <w:rFonts w:ascii="Times New Roman" w:hAnsi="Times New Roman" w:cs="Times New Roman"/>
        </w:rPr>
        <w:t>ntada por um título de crédito</w:t>
      </w:r>
      <w:r w:rsidR="00CD4D4C">
        <w:rPr>
          <w:rFonts w:ascii="Times New Roman" w:hAnsi="Times New Roman" w:cs="Times New Roman"/>
        </w:rPr>
        <w:t xml:space="preserve">. Contudo, </w:t>
      </w:r>
      <w:r>
        <w:rPr>
          <w:rFonts w:ascii="Times New Roman" w:hAnsi="Times New Roman" w:cs="Times New Roman"/>
        </w:rPr>
        <w:t xml:space="preserve">nem todo documento será um </w:t>
      </w:r>
      <w:r w:rsidR="00CD4D4C">
        <w:rPr>
          <w:rFonts w:ascii="Times New Roman" w:hAnsi="Times New Roman" w:cs="Times New Roman"/>
        </w:rPr>
        <w:t xml:space="preserve">título de </w:t>
      </w:r>
      <w:r w:rsidRPr="00E10AC9">
        <w:rPr>
          <w:rFonts w:ascii="Times New Roman" w:hAnsi="Times New Roman" w:cs="Times New Roman"/>
        </w:rPr>
        <w:t>crédito; mas todo título de crédito é, antes de</w:t>
      </w:r>
      <w:r>
        <w:rPr>
          <w:rFonts w:ascii="Times New Roman" w:hAnsi="Times New Roman" w:cs="Times New Roman"/>
        </w:rPr>
        <w:t xml:space="preserve"> tudo, um documento, no qual se </w:t>
      </w:r>
      <w:r w:rsidRPr="00E10AC9">
        <w:rPr>
          <w:rFonts w:ascii="Times New Roman" w:hAnsi="Times New Roman" w:cs="Times New Roman"/>
        </w:rPr>
        <w:t>consigna a prestação futura prometida pelo devedor.</w:t>
      </w:r>
    </w:p>
    <w:p w:rsidR="003C0294" w:rsidRPr="003C0294" w:rsidRDefault="003C0294" w:rsidP="003C0294">
      <w:pPr>
        <w:pStyle w:val="PargrafodaLista"/>
        <w:tabs>
          <w:tab w:val="left" w:pos="284"/>
        </w:tabs>
        <w:ind w:left="0" w:firstLine="1134"/>
        <w:jc w:val="both"/>
        <w:rPr>
          <w:rFonts w:ascii="Times New Roman" w:hAnsi="Times New Roman" w:cs="Times New Roman"/>
        </w:rPr>
      </w:pPr>
      <w:r w:rsidRPr="003C0294">
        <w:rPr>
          <w:rFonts w:ascii="Times New Roman" w:hAnsi="Times New Roman" w:cs="Times New Roman"/>
        </w:rPr>
        <w:t>A origem de uma obrigação representada por um título de crédito pode ser:</w:t>
      </w:r>
    </w:p>
    <w:p w:rsidR="003C0294" w:rsidRDefault="003C0294" w:rsidP="003C0294">
      <w:pPr>
        <w:pStyle w:val="PargrafodaLista"/>
        <w:tabs>
          <w:tab w:val="left" w:pos="284"/>
        </w:tabs>
        <w:ind w:left="0" w:firstLine="1134"/>
        <w:jc w:val="both"/>
        <w:rPr>
          <w:rFonts w:ascii="Times New Roman" w:hAnsi="Times New Roman" w:cs="Times New Roman"/>
        </w:rPr>
      </w:pPr>
      <w:r w:rsidRPr="003C0294">
        <w:rPr>
          <w:rFonts w:ascii="Times New Roman" w:hAnsi="Times New Roman" w:cs="Times New Roman"/>
        </w:rPr>
        <w:t xml:space="preserve">a) </w:t>
      </w:r>
      <w:r w:rsidRPr="009F4587">
        <w:rPr>
          <w:rFonts w:ascii="Times New Roman" w:hAnsi="Times New Roman" w:cs="Times New Roman"/>
          <w:b/>
          <w:i/>
        </w:rPr>
        <w:t>Extracambial</w:t>
      </w:r>
      <w:r w:rsidRPr="003C0294">
        <w:rPr>
          <w:rFonts w:ascii="Times New Roman" w:hAnsi="Times New Roman" w:cs="Times New Roman"/>
        </w:rPr>
        <w:t>, que é o caso</w:t>
      </w:r>
      <w:proofErr w:type="gramStart"/>
      <w:r w:rsidRPr="003C0294">
        <w:rPr>
          <w:rFonts w:ascii="Times New Roman" w:hAnsi="Times New Roman" w:cs="Times New Roman"/>
        </w:rPr>
        <w:t xml:space="preserve"> por exemplo</w:t>
      </w:r>
      <w:proofErr w:type="gramEnd"/>
      <w:r w:rsidRPr="003C0294">
        <w:rPr>
          <w:rFonts w:ascii="Times New Roman" w:hAnsi="Times New Roman" w:cs="Times New Roman"/>
        </w:rPr>
        <w:t xml:space="preserve"> de uma pessoa que pede emprestado um computador a um amigo e o devolve com defeito, decorrente do mau uso. Neste caso, a pessoa ao assumir a culpa, e sendo a importância devidamente quantificada, pode ter o valor da obrigação de pagar, representado pela a assinatura de um cheque ou uma nota promissória;</w:t>
      </w:r>
    </w:p>
    <w:p w:rsidR="003C0294" w:rsidRDefault="003C0294" w:rsidP="003C0294">
      <w:pPr>
        <w:pStyle w:val="PargrafodaLista"/>
        <w:tabs>
          <w:tab w:val="left" w:pos="284"/>
        </w:tabs>
        <w:ind w:left="0" w:firstLine="1134"/>
        <w:jc w:val="both"/>
        <w:rPr>
          <w:rFonts w:ascii="Times New Roman" w:hAnsi="Times New Roman" w:cs="Times New Roman"/>
        </w:rPr>
      </w:pPr>
      <w:r w:rsidRPr="003C0294">
        <w:rPr>
          <w:rFonts w:ascii="Times New Roman" w:hAnsi="Times New Roman" w:cs="Times New Roman"/>
        </w:rPr>
        <w:t xml:space="preserve">b) </w:t>
      </w:r>
      <w:r w:rsidRPr="009F4587">
        <w:rPr>
          <w:rFonts w:ascii="Times New Roman" w:hAnsi="Times New Roman" w:cs="Times New Roman"/>
          <w:b/>
          <w:i/>
        </w:rPr>
        <w:t>Contrato de compra e venda ou mútuo</w:t>
      </w:r>
      <w:r w:rsidRPr="003C0294">
        <w:rPr>
          <w:rFonts w:ascii="Times New Roman" w:hAnsi="Times New Roman" w:cs="Times New Roman"/>
        </w:rPr>
        <w:t>, etc., no qual consta o valor da obrigação a ser cumprida;</w:t>
      </w:r>
    </w:p>
    <w:p w:rsidR="003C0294" w:rsidRDefault="003C0294" w:rsidP="003C0294">
      <w:pPr>
        <w:pStyle w:val="PargrafodaLista"/>
        <w:tabs>
          <w:tab w:val="left" w:pos="284"/>
        </w:tabs>
        <w:ind w:left="0" w:firstLine="1134"/>
        <w:jc w:val="both"/>
        <w:rPr>
          <w:rFonts w:ascii="Times New Roman" w:hAnsi="Times New Roman" w:cs="Times New Roman"/>
        </w:rPr>
      </w:pPr>
      <w:r w:rsidRPr="003C0294">
        <w:rPr>
          <w:rFonts w:ascii="Times New Roman" w:hAnsi="Times New Roman" w:cs="Times New Roman"/>
        </w:rPr>
        <w:t xml:space="preserve">c) </w:t>
      </w:r>
      <w:r w:rsidRPr="009F4587">
        <w:rPr>
          <w:rFonts w:ascii="Times New Roman" w:hAnsi="Times New Roman" w:cs="Times New Roman"/>
          <w:b/>
        </w:rPr>
        <w:t>Cambial</w:t>
      </w:r>
      <w:r w:rsidRPr="003C0294">
        <w:rPr>
          <w:rFonts w:ascii="Times New Roman" w:hAnsi="Times New Roman" w:cs="Times New Roman"/>
        </w:rPr>
        <w:t>, que é o caso do avalista de uma nota promissória;</w:t>
      </w:r>
    </w:p>
    <w:p w:rsidR="004736CE" w:rsidRDefault="008E4AA4" w:rsidP="004736CE">
      <w:pPr>
        <w:pStyle w:val="PargrafodaLista"/>
        <w:tabs>
          <w:tab w:val="left" w:pos="284"/>
        </w:tabs>
        <w:ind w:left="0" w:firstLine="1134"/>
        <w:jc w:val="both"/>
        <w:rPr>
          <w:rFonts w:ascii="Times New Roman" w:hAnsi="Times New Roman" w:cs="Times New Roman"/>
        </w:rPr>
      </w:pPr>
      <w:r w:rsidRPr="008E4AA4">
        <w:rPr>
          <w:rFonts w:ascii="Times New Roman" w:hAnsi="Times New Roman" w:cs="Times New Roman"/>
        </w:rPr>
        <w:lastRenderedPageBreak/>
        <w:t xml:space="preserve">Os títulos de crédito são de fundamental importância para os negócios, </w:t>
      </w:r>
      <w:r>
        <w:rPr>
          <w:rFonts w:ascii="Times New Roman" w:hAnsi="Times New Roman" w:cs="Times New Roman"/>
        </w:rPr>
        <w:t xml:space="preserve">uma vez </w:t>
      </w:r>
      <w:r w:rsidRPr="008E4AA4">
        <w:rPr>
          <w:rFonts w:ascii="Times New Roman" w:hAnsi="Times New Roman" w:cs="Times New Roman"/>
        </w:rPr>
        <w:t xml:space="preserve">que promovem e facilitam a circulação de créditos e dos respectivos valores a estes inerentes, além de propiciar </w:t>
      </w:r>
      <w:r>
        <w:rPr>
          <w:rFonts w:ascii="Times New Roman" w:hAnsi="Times New Roman" w:cs="Times New Roman"/>
        </w:rPr>
        <w:t>segurança circulação de valores.</w:t>
      </w:r>
    </w:p>
    <w:p w:rsidR="008E4AA4" w:rsidRPr="004736CE" w:rsidRDefault="008E4AA4" w:rsidP="004736CE">
      <w:pPr>
        <w:pStyle w:val="PargrafodaLista"/>
        <w:tabs>
          <w:tab w:val="left" w:pos="284"/>
        </w:tabs>
        <w:ind w:left="0" w:firstLine="1134"/>
        <w:jc w:val="both"/>
        <w:rPr>
          <w:rFonts w:ascii="Times New Roman" w:hAnsi="Times New Roman" w:cs="Times New Roman"/>
        </w:rPr>
      </w:pPr>
      <w:r w:rsidRPr="004736CE">
        <w:rPr>
          <w:rFonts w:ascii="Times New Roman" w:hAnsi="Times New Roman" w:cs="Times New Roman"/>
        </w:rPr>
        <w:t>Existem dezenas de espécies de títulos de crédito no Brasil, todos eles regulados por legislação específica. Para os propósitos deste breve estudo, vamos apresentar as principais modalidades que garantem a grande maioria das operações de crédito no mercado brasileiro. São eles:</w:t>
      </w:r>
    </w:p>
    <w:p w:rsidR="004736CE" w:rsidRDefault="004736CE" w:rsidP="004736CE">
      <w:pPr>
        <w:pStyle w:val="PargrafodaLista"/>
        <w:tabs>
          <w:tab w:val="left" w:pos="284"/>
        </w:tabs>
        <w:ind w:left="0" w:firstLine="567"/>
        <w:jc w:val="both"/>
        <w:rPr>
          <w:rFonts w:ascii="Times New Roman" w:hAnsi="Times New Roman" w:cs="Times New Roman"/>
        </w:rPr>
      </w:pPr>
      <w:r>
        <w:rPr>
          <w:rFonts w:ascii="Times New Roman" w:hAnsi="Times New Roman" w:cs="Times New Roman"/>
        </w:rPr>
        <w:t xml:space="preserve">a) </w:t>
      </w:r>
      <w:r w:rsidRPr="00D27E14">
        <w:rPr>
          <w:rFonts w:ascii="Times New Roman" w:hAnsi="Times New Roman" w:cs="Times New Roman"/>
          <w:i/>
        </w:rPr>
        <w:t>letra de câmbio</w:t>
      </w:r>
      <w:r>
        <w:rPr>
          <w:rFonts w:ascii="Times New Roman" w:hAnsi="Times New Roman" w:cs="Times New Roman"/>
        </w:rPr>
        <w:t>: é</w:t>
      </w:r>
      <w:r w:rsidRPr="004736CE">
        <w:rPr>
          <w:rFonts w:ascii="Times New Roman" w:hAnsi="Times New Roman" w:cs="Times New Roman"/>
        </w:rPr>
        <w:t xml:space="preserve"> uma ordem de pagamento à vista ou a prazo, por meio da qual o sacador dirige ao sacado com o objetivo de que este pague a importância nela consignad</w:t>
      </w:r>
      <w:r>
        <w:rPr>
          <w:rFonts w:ascii="Times New Roman" w:hAnsi="Times New Roman" w:cs="Times New Roman"/>
        </w:rPr>
        <w:t>a a um terceiro chamado tomador;</w:t>
      </w:r>
    </w:p>
    <w:p w:rsidR="004736CE" w:rsidRDefault="004736CE" w:rsidP="004736CE">
      <w:pPr>
        <w:pStyle w:val="PargrafodaLista"/>
        <w:tabs>
          <w:tab w:val="left" w:pos="284"/>
        </w:tabs>
        <w:ind w:left="0" w:firstLine="567"/>
        <w:jc w:val="both"/>
        <w:rPr>
          <w:rFonts w:ascii="Times New Roman" w:hAnsi="Times New Roman" w:cs="Times New Roman"/>
        </w:rPr>
      </w:pPr>
      <w:r>
        <w:rPr>
          <w:rFonts w:ascii="Times New Roman" w:hAnsi="Times New Roman" w:cs="Times New Roman"/>
        </w:rPr>
        <w:t xml:space="preserve">b) </w:t>
      </w:r>
      <w:r w:rsidRPr="004736CE">
        <w:rPr>
          <w:rFonts w:ascii="Times New Roman" w:hAnsi="Times New Roman" w:cs="Times New Roman"/>
          <w:i/>
        </w:rPr>
        <w:t>nota promissória</w:t>
      </w:r>
      <w:r>
        <w:rPr>
          <w:rFonts w:ascii="Times New Roman" w:hAnsi="Times New Roman" w:cs="Times New Roman"/>
        </w:rPr>
        <w:t>: e</w:t>
      </w:r>
      <w:r w:rsidRPr="004736CE">
        <w:rPr>
          <w:rFonts w:ascii="Times New Roman" w:hAnsi="Times New Roman" w:cs="Times New Roman"/>
        </w:rPr>
        <w:t>sse título de crédito constitui compromisso escrito e solene pelo qual alguém se obriga a </w:t>
      </w:r>
      <w:hyperlink r:id="rId8" w:history="1">
        <w:r w:rsidRPr="004736CE">
          <w:rPr>
            <w:rStyle w:val="Hyperlink"/>
            <w:rFonts w:ascii="Times New Roman" w:hAnsi="Times New Roman" w:cs="Times New Roman"/>
            <w:color w:val="auto"/>
            <w:u w:val="none"/>
          </w:rPr>
          <w:t>pagar</w:t>
        </w:r>
      </w:hyperlink>
      <w:r w:rsidRPr="004736CE">
        <w:rPr>
          <w:rFonts w:ascii="Times New Roman" w:hAnsi="Times New Roman" w:cs="Times New Roman"/>
        </w:rPr>
        <w:t> </w:t>
      </w:r>
      <w:r>
        <w:rPr>
          <w:rFonts w:ascii="Times New Roman" w:hAnsi="Times New Roman" w:cs="Times New Roman"/>
        </w:rPr>
        <w:t>a outrem certa soma em dinheiro;</w:t>
      </w:r>
    </w:p>
    <w:p w:rsidR="004736CE" w:rsidRDefault="008E4AA4" w:rsidP="004736CE">
      <w:pPr>
        <w:pStyle w:val="PargrafodaLista"/>
        <w:tabs>
          <w:tab w:val="left" w:pos="284"/>
        </w:tabs>
        <w:ind w:left="0" w:firstLine="567"/>
        <w:jc w:val="both"/>
        <w:rPr>
          <w:rFonts w:ascii="Times New Roman" w:hAnsi="Times New Roman" w:cs="Times New Roman"/>
        </w:rPr>
      </w:pPr>
      <w:r w:rsidRPr="004736CE">
        <w:rPr>
          <w:rFonts w:ascii="Times New Roman" w:hAnsi="Times New Roman" w:cs="Times New Roman"/>
        </w:rPr>
        <w:t xml:space="preserve">c) </w:t>
      </w:r>
      <w:r w:rsidRPr="00763397">
        <w:rPr>
          <w:rFonts w:ascii="Times New Roman" w:hAnsi="Times New Roman" w:cs="Times New Roman"/>
          <w:i/>
        </w:rPr>
        <w:t>ch</w:t>
      </w:r>
      <w:r w:rsidR="004736CE" w:rsidRPr="00763397">
        <w:rPr>
          <w:rFonts w:ascii="Times New Roman" w:hAnsi="Times New Roman" w:cs="Times New Roman"/>
          <w:i/>
        </w:rPr>
        <w:t>eque</w:t>
      </w:r>
      <w:r w:rsidR="004736CE">
        <w:rPr>
          <w:rFonts w:ascii="Times New Roman" w:hAnsi="Times New Roman" w:cs="Times New Roman"/>
        </w:rPr>
        <w:t>: é</w:t>
      </w:r>
      <w:r w:rsidR="004736CE" w:rsidRPr="004736CE">
        <w:rPr>
          <w:rFonts w:ascii="Times New Roman" w:hAnsi="Times New Roman" w:cs="Times New Roman"/>
        </w:rPr>
        <w:t xml:space="preserve"> uma ordem de </w:t>
      </w:r>
      <w:hyperlink r:id="rId9" w:history="1">
        <w:r w:rsidR="004736CE" w:rsidRPr="004736CE">
          <w:rPr>
            <w:rStyle w:val="Hyperlink"/>
            <w:rFonts w:ascii="Times New Roman" w:hAnsi="Times New Roman" w:cs="Times New Roman"/>
            <w:color w:val="auto"/>
            <w:u w:val="none"/>
          </w:rPr>
          <w:t>pagamento</w:t>
        </w:r>
      </w:hyperlink>
      <w:r w:rsidR="004736CE" w:rsidRPr="004736CE">
        <w:rPr>
          <w:rFonts w:ascii="Times New Roman" w:hAnsi="Times New Roman" w:cs="Times New Roman"/>
        </w:rPr>
        <w:t xml:space="preserve"> à vista, sacada em favor do </w:t>
      </w:r>
      <w:r w:rsidR="004736CE">
        <w:rPr>
          <w:rFonts w:ascii="Times New Roman" w:hAnsi="Times New Roman" w:cs="Times New Roman"/>
        </w:rPr>
        <w:t>próprio emitente ou de terceiro;</w:t>
      </w:r>
    </w:p>
    <w:p w:rsidR="008E4AA4" w:rsidRDefault="008E4AA4" w:rsidP="00AE5287">
      <w:pPr>
        <w:pStyle w:val="PargrafodaLista"/>
        <w:tabs>
          <w:tab w:val="left" w:pos="284"/>
        </w:tabs>
        <w:ind w:left="0" w:firstLine="567"/>
        <w:jc w:val="both"/>
        <w:rPr>
          <w:rFonts w:ascii="Times New Roman" w:hAnsi="Times New Roman" w:cs="Times New Roman"/>
        </w:rPr>
      </w:pPr>
      <w:r w:rsidRPr="004736CE">
        <w:rPr>
          <w:rFonts w:ascii="Times New Roman" w:hAnsi="Times New Roman" w:cs="Times New Roman"/>
        </w:rPr>
        <w:t xml:space="preserve">d) </w:t>
      </w:r>
      <w:r w:rsidRPr="00D27E14">
        <w:rPr>
          <w:rFonts w:ascii="Times New Roman" w:hAnsi="Times New Roman" w:cs="Times New Roman"/>
          <w:i/>
        </w:rPr>
        <w:t>duplicata</w:t>
      </w:r>
      <w:r w:rsidR="004736CE">
        <w:rPr>
          <w:rFonts w:ascii="Times New Roman" w:hAnsi="Times New Roman" w:cs="Times New Roman"/>
        </w:rPr>
        <w:t>:</w:t>
      </w:r>
      <w:r w:rsidR="00D27E14">
        <w:rPr>
          <w:rFonts w:ascii="Times New Roman" w:hAnsi="Times New Roman" w:cs="Times New Roman"/>
        </w:rPr>
        <w:t xml:space="preserve"> </w:t>
      </w:r>
      <w:r w:rsidR="00D27E14" w:rsidRPr="00D27E14">
        <w:rPr>
          <w:rFonts w:ascii="Times New Roman" w:hAnsi="Times New Roman" w:cs="Times New Roman"/>
        </w:rPr>
        <w:t>é o título de crédito emitido com base em obrigação proveniente de compra e venda comercial ou prestação de certos serviços</w:t>
      </w:r>
      <w:r w:rsidR="008F1F6F">
        <w:rPr>
          <w:rFonts w:ascii="Times New Roman" w:hAnsi="Times New Roman" w:cs="Times New Roman"/>
        </w:rPr>
        <w:t>.</w:t>
      </w:r>
    </w:p>
    <w:p w:rsidR="008F1F6F" w:rsidRPr="00AE5287" w:rsidRDefault="008F1F6F" w:rsidP="00AE5287">
      <w:pPr>
        <w:pStyle w:val="PargrafodaLista"/>
        <w:tabs>
          <w:tab w:val="left" w:pos="284"/>
        </w:tabs>
        <w:ind w:left="0" w:firstLine="567"/>
        <w:jc w:val="both"/>
        <w:rPr>
          <w:rFonts w:ascii="Times New Roman" w:hAnsi="Times New Roman" w:cs="Times New Roman"/>
        </w:rPr>
      </w:pPr>
    </w:p>
    <w:p w:rsidR="00B45726" w:rsidRDefault="008F1F6F" w:rsidP="00B45726">
      <w:pPr>
        <w:pStyle w:val="PargrafodaLista"/>
        <w:tabs>
          <w:tab w:val="left" w:pos="284"/>
        </w:tabs>
        <w:ind w:left="0" w:firstLine="1134"/>
        <w:jc w:val="both"/>
        <w:rPr>
          <w:rFonts w:ascii="Times New Roman" w:hAnsi="Times New Roman" w:cs="Times New Roman"/>
          <w:b/>
        </w:rPr>
      </w:pPr>
      <w:r>
        <w:rPr>
          <w:rFonts w:ascii="Times New Roman" w:hAnsi="Times New Roman" w:cs="Times New Roman"/>
        </w:rPr>
        <w:t xml:space="preserve">Uma vez especificados os principais tipos de títulos de créditos utilizados nas transações comerciais. Faz-se necessário, delimitarmos </w:t>
      </w:r>
      <w:r w:rsidR="00B45726">
        <w:rPr>
          <w:rFonts w:ascii="Times New Roman" w:hAnsi="Times New Roman" w:cs="Times New Roman"/>
        </w:rPr>
        <w:t>os princípios que nor</w:t>
      </w:r>
      <w:r>
        <w:rPr>
          <w:rFonts w:ascii="Times New Roman" w:hAnsi="Times New Roman" w:cs="Times New Roman"/>
        </w:rPr>
        <w:t>teiam os títulos de crédito, sendo estes:</w:t>
      </w:r>
    </w:p>
    <w:p w:rsidR="008F1F6F" w:rsidRPr="008F1F6F" w:rsidRDefault="009A34B3" w:rsidP="008F1F6F">
      <w:pPr>
        <w:pStyle w:val="PargrafodaLista"/>
        <w:numPr>
          <w:ilvl w:val="0"/>
          <w:numId w:val="4"/>
        </w:numPr>
        <w:tabs>
          <w:tab w:val="left" w:pos="284"/>
        </w:tabs>
        <w:jc w:val="both"/>
        <w:rPr>
          <w:rFonts w:ascii="Times New Roman" w:hAnsi="Times New Roman" w:cs="Times New Roman"/>
          <w:b/>
        </w:rPr>
      </w:pPr>
      <w:r w:rsidRPr="008F1F6F">
        <w:rPr>
          <w:rFonts w:ascii="Times New Roman" w:hAnsi="Times New Roman" w:cs="Times New Roman"/>
          <w:i/>
        </w:rPr>
        <w:t>Abstração</w:t>
      </w:r>
      <w:r w:rsidRPr="008F1F6F">
        <w:rPr>
          <w:rFonts w:ascii="Times New Roman" w:hAnsi="Times New Roman" w:cs="Times New Roman"/>
        </w:rPr>
        <w:t xml:space="preserve">: </w:t>
      </w:r>
    </w:p>
    <w:p w:rsidR="00DA5AD4" w:rsidRDefault="008F1F6F" w:rsidP="008F1F6F">
      <w:pPr>
        <w:pStyle w:val="PargrafodaLista"/>
        <w:tabs>
          <w:tab w:val="left" w:pos="284"/>
        </w:tabs>
        <w:ind w:left="0" w:firstLine="1134"/>
        <w:jc w:val="both"/>
        <w:rPr>
          <w:rFonts w:ascii="Verdana" w:hAnsi="Verdana"/>
          <w:color w:val="666666"/>
          <w:sz w:val="20"/>
          <w:szCs w:val="20"/>
          <w:shd w:val="clear" w:color="auto" w:fill="FFFFFF"/>
        </w:rPr>
      </w:pPr>
      <w:r>
        <w:rPr>
          <w:rFonts w:ascii="Times New Roman" w:hAnsi="Times New Roman" w:cs="Times New Roman"/>
        </w:rPr>
        <w:t>E</w:t>
      </w:r>
      <w:r w:rsidR="004F5E22" w:rsidRPr="008F1F6F">
        <w:rPr>
          <w:rFonts w:ascii="Times New Roman" w:hAnsi="Times New Roman" w:cs="Times New Roman"/>
        </w:rPr>
        <w:t>mbora todos os títulos de crédito tenham um motivo para sua emissão, nem todos trazem em seu texto a causa declarada no título. D</w:t>
      </w:r>
      <w:r w:rsidR="00DA5AD4">
        <w:rPr>
          <w:rFonts w:ascii="Times New Roman" w:hAnsi="Times New Roman" w:cs="Times New Roman"/>
        </w:rPr>
        <w:t xml:space="preserve">aí a abstração de tal documento. </w:t>
      </w:r>
      <w:r w:rsidR="00DA5AD4" w:rsidRPr="00DA5AD4">
        <w:rPr>
          <w:rFonts w:ascii="Times New Roman" w:hAnsi="Times New Roman" w:cs="Times New Roman"/>
        </w:rPr>
        <w:t>Não se pode confundir a abstração do crédito com a abstração do título, pois não existe título de crédito abstrato - sendo todos materiais - mesmo porque, como sabido, só é título de crédito a obrigação escrita em algo palpável.</w:t>
      </w:r>
    </w:p>
    <w:p w:rsidR="00B45726" w:rsidRDefault="00DA5AD4" w:rsidP="008F1F6F">
      <w:pPr>
        <w:pStyle w:val="PargrafodaLista"/>
        <w:tabs>
          <w:tab w:val="left" w:pos="284"/>
        </w:tabs>
        <w:ind w:left="0" w:firstLine="1134"/>
        <w:jc w:val="both"/>
        <w:rPr>
          <w:rFonts w:ascii="Times New Roman" w:hAnsi="Times New Roman" w:cs="Times New Roman"/>
        </w:rPr>
      </w:pPr>
      <w:r w:rsidRPr="00DA5AD4">
        <w:rPr>
          <w:rFonts w:ascii="Times New Roman" w:hAnsi="Times New Roman" w:cs="Times New Roman"/>
        </w:rPr>
        <w:t>A abstração também é importante, porque, se não existisse, o portador do título ficaria sempre na insegurança e na incerteza da legalidade da existência do crédito.</w:t>
      </w:r>
    </w:p>
    <w:p w:rsidR="00B43679" w:rsidRPr="008F1F6F" w:rsidRDefault="00B43679" w:rsidP="008F1F6F">
      <w:pPr>
        <w:pStyle w:val="PargrafodaLista"/>
        <w:tabs>
          <w:tab w:val="left" w:pos="284"/>
        </w:tabs>
        <w:ind w:left="0" w:firstLine="1134"/>
        <w:jc w:val="both"/>
        <w:rPr>
          <w:rFonts w:ascii="Times New Roman" w:hAnsi="Times New Roman" w:cs="Times New Roman"/>
          <w:b/>
        </w:rPr>
      </w:pPr>
    </w:p>
    <w:p w:rsidR="00B43679" w:rsidRPr="00B43679" w:rsidRDefault="009A34B3" w:rsidP="00B43679">
      <w:pPr>
        <w:pStyle w:val="PargrafodaLista"/>
        <w:numPr>
          <w:ilvl w:val="0"/>
          <w:numId w:val="4"/>
        </w:numPr>
        <w:tabs>
          <w:tab w:val="left" w:pos="284"/>
        </w:tabs>
        <w:jc w:val="both"/>
        <w:rPr>
          <w:rFonts w:ascii="Times New Roman" w:hAnsi="Times New Roman" w:cs="Times New Roman"/>
          <w:b/>
        </w:rPr>
      </w:pPr>
      <w:r w:rsidRPr="00763397">
        <w:rPr>
          <w:rFonts w:ascii="Times New Roman" w:hAnsi="Times New Roman" w:cs="Times New Roman"/>
          <w:i/>
        </w:rPr>
        <w:t>Autonomia</w:t>
      </w:r>
      <w:r w:rsidR="00B43679">
        <w:rPr>
          <w:rFonts w:ascii="Times New Roman" w:hAnsi="Times New Roman" w:cs="Times New Roman"/>
        </w:rPr>
        <w:t>:</w:t>
      </w:r>
    </w:p>
    <w:p w:rsidR="00B45726" w:rsidRDefault="009E30DC" w:rsidP="009E30DC">
      <w:pPr>
        <w:tabs>
          <w:tab w:val="left" w:pos="284"/>
        </w:tabs>
        <w:ind w:firstLine="1134"/>
        <w:jc w:val="both"/>
        <w:rPr>
          <w:rFonts w:ascii="Times New Roman" w:hAnsi="Times New Roman" w:cs="Times New Roman"/>
        </w:rPr>
      </w:pPr>
      <w:r>
        <w:rPr>
          <w:rFonts w:ascii="Times New Roman" w:hAnsi="Times New Roman" w:cs="Times New Roman"/>
        </w:rPr>
        <w:t>O</w:t>
      </w:r>
      <w:r w:rsidRPr="009E30DC">
        <w:rPr>
          <w:rFonts w:ascii="Times New Roman" w:hAnsi="Times New Roman" w:cs="Times New Roman"/>
        </w:rPr>
        <w:t xml:space="preserve"> direito cambial determina a autonomia das obrigações estabelecidas no título de crédito, assim este constitui uma declaração autônoma do devedor, comprometendo-se a pagar as obrigações nele estabelecidas. Esta autonomia não se configura em relação à causa de</w:t>
      </w:r>
      <w:r>
        <w:rPr>
          <w:rFonts w:ascii="Times New Roman" w:hAnsi="Times New Roman" w:cs="Times New Roman"/>
        </w:rPr>
        <w:t xml:space="preserve"> </w:t>
      </w:r>
      <w:r w:rsidRPr="009E30DC">
        <w:rPr>
          <w:rFonts w:ascii="Times New Roman" w:hAnsi="Times New Roman" w:cs="Times New Roman"/>
        </w:rPr>
        <w:t>tais obrigações, mas em relação ao terceiro de boa-fé, o qual possui um direito próprio que não</w:t>
      </w:r>
      <w:r>
        <w:rPr>
          <w:rFonts w:ascii="Times New Roman" w:hAnsi="Times New Roman" w:cs="Times New Roman"/>
        </w:rPr>
        <w:t xml:space="preserve"> </w:t>
      </w:r>
      <w:r w:rsidRPr="009E30DC">
        <w:rPr>
          <w:rFonts w:ascii="Times New Roman" w:hAnsi="Times New Roman" w:cs="Times New Roman"/>
        </w:rPr>
        <w:t xml:space="preserve">lhe </w:t>
      </w:r>
      <w:r w:rsidRPr="009E30DC">
        <w:rPr>
          <w:rFonts w:ascii="Times New Roman" w:hAnsi="Times New Roman" w:cs="Times New Roman"/>
        </w:rPr>
        <w:lastRenderedPageBreak/>
        <w:t xml:space="preserve">pode ser negado em razão das relações existentes entre os seus antigos possuidores e o </w:t>
      </w:r>
      <w:r>
        <w:rPr>
          <w:rFonts w:ascii="Times New Roman" w:hAnsi="Times New Roman" w:cs="Times New Roman"/>
        </w:rPr>
        <w:t>devedor, ou seja, o</w:t>
      </w:r>
      <w:r w:rsidR="009A34B3" w:rsidRPr="009E30DC">
        <w:rPr>
          <w:rFonts w:ascii="Times New Roman" w:hAnsi="Times New Roman" w:cs="Times New Roman"/>
        </w:rPr>
        <w:t xml:space="preserve"> detentor do título passa a ser o titular de direito autônomo, independente da relaçã</w:t>
      </w:r>
      <w:r w:rsidR="004F5E22" w:rsidRPr="009E30DC">
        <w:rPr>
          <w:rFonts w:ascii="Times New Roman" w:hAnsi="Times New Roman" w:cs="Times New Roman"/>
        </w:rPr>
        <w:t>o a</w:t>
      </w:r>
      <w:r w:rsidRPr="009E30DC">
        <w:rPr>
          <w:rFonts w:ascii="Times New Roman" w:hAnsi="Times New Roman" w:cs="Times New Roman"/>
        </w:rPr>
        <w:t>nterior entre os possuidores.</w:t>
      </w:r>
    </w:p>
    <w:p w:rsidR="00B43679" w:rsidRPr="00B43679" w:rsidRDefault="00B43679" w:rsidP="00B43679">
      <w:pPr>
        <w:tabs>
          <w:tab w:val="left" w:pos="284"/>
        </w:tabs>
        <w:ind w:firstLine="1134"/>
        <w:jc w:val="both"/>
        <w:rPr>
          <w:rFonts w:ascii="Times New Roman" w:hAnsi="Times New Roman" w:cs="Times New Roman"/>
          <w:b/>
        </w:rPr>
      </w:pPr>
    </w:p>
    <w:p w:rsidR="00B43679" w:rsidRPr="00B43679" w:rsidRDefault="006006DD" w:rsidP="00B43679">
      <w:pPr>
        <w:pStyle w:val="PargrafodaLista"/>
        <w:numPr>
          <w:ilvl w:val="0"/>
          <w:numId w:val="4"/>
        </w:numPr>
        <w:tabs>
          <w:tab w:val="left" w:pos="284"/>
        </w:tabs>
        <w:jc w:val="both"/>
        <w:rPr>
          <w:rFonts w:ascii="Times New Roman" w:hAnsi="Times New Roman" w:cs="Times New Roman"/>
          <w:b/>
        </w:rPr>
      </w:pPr>
      <w:r w:rsidRPr="00763397">
        <w:rPr>
          <w:rFonts w:ascii="Times New Roman" w:hAnsi="Times New Roman" w:cs="Times New Roman"/>
          <w:i/>
        </w:rPr>
        <w:t>Literalidade</w:t>
      </w:r>
      <w:r w:rsidR="00B43679">
        <w:rPr>
          <w:rFonts w:ascii="Times New Roman" w:hAnsi="Times New Roman" w:cs="Times New Roman"/>
        </w:rPr>
        <w:t>:</w:t>
      </w:r>
    </w:p>
    <w:p w:rsidR="00B45726" w:rsidRDefault="00B43679" w:rsidP="00B43679">
      <w:pPr>
        <w:tabs>
          <w:tab w:val="left" w:pos="284"/>
        </w:tabs>
        <w:ind w:firstLine="1134"/>
        <w:jc w:val="both"/>
        <w:rPr>
          <w:rFonts w:ascii="Times New Roman" w:hAnsi="Times New Roman" w:cs="Times New Roman"/>
        </w:rPr>
      </w:pPr>
      <w:r w:rsidRPr="00B43679">
        <w:rPr>
          <w:rFonts w:ascii="Times New Roman" w:hAnsi="Times New Roman" w:cs="Times New Roman"/>
        </w:rPr>
        <w:t>Um dos princípios importantes que orientam os títulos de crédito é o </w:t>
      </w:r>
      <w:r w:rsidRPr="00B43679">
        <w:rPr>
          <w:rFonts w:ascii="Times New Roman" w:hAnsi="Times New Roman" w:cs="Times New Roman"/>
          <w:bCs/>
        </w:rPr>
        <w:t>Princípio da Literalidade</w:t>
      </w:r>
      <w:r w:rsidRPr="00B43679">
        <w:rPr>
          <w:rFonts w:ascii="Times New Roman" w:hAnsi="Times New Roman" w:cs="Times New Roman"/>
        </w:rPr>
        <w:t>,</w:t>
      </w:r>
      <w:r>
        <w:rPr>
          <w:rFonts w:ascii="Times New Roman" w:hAnsi="Times New Roman" w:cs="Times New Roman"/>
        </w:rPr>
        <w:t xml:space="preserve"> </w:t>
      </w:r>
      <w:r w:rsidRPr="00B43679">
        <w:rPr>
          <w:rFonts w:ascii="Times New Roman" w:hAnsi="Times New Roman" w:cs="Times New Roman"/>
        </w:rPr>
        <w:t>segundo o qual,</w:t>
      </w:r>
      <w:r>
        <w:rPr>
          <w:rFonts w:ascii="Times New Roman" w:hAnsi="Times New Roman" w:cs="Times New Roman"/>
        </w:rPr>
        <w:t xml:space="preserve"> </w:t>
      </w:r>
      <w:r w:rsidRPr="00B43679">
        <w:rPr>
          <w:rFonts w:ascii="Times New Roman" w:hAnsi="Times New Roman" w:cs="Times New Roman"/>
        </w:rPr>
        <w:t xml:space="preserve">o que não está contido no título, expressamente, não terá eficácia. Em outras palavras, é o teor do documento – sua exigência, </w:t>
      </w:r>
      <w:r>
        <w:rPr>
          <w:rFonts w:ascii="Times New Roman" w:hAnsi="Times New Roman" w:cs="Times New Roman"/>
        </w:rPr>
        <w:t xml:space="preserve">conteúdo, extensão e modalidade. </w:t>
      </w:r>
      <w:r w:rsidRPr="00B43679">
        <w:rPr>
          <w:rFonts w:ascii="Times New Roman" w:hAnsi="Times New Roman" w:cs="Times New Roman"/>
        </w:rPr>
        <w:t>Sendo assim, no caso de um aval ser outorgado por um instrumento privado, este não terá nenhuma eficácia, pois não gera vínculo jurídico com o título de crédito, já que como foi dito, seria necessário que o seu conteúdo estivesse contido no próprio título</w:t>
      </w:r>
      <w:r>
        <w:rPr>
          <w:rFonts w:ascii="Times New Roman" w:hAnsi="Times New Roman" w:cs="Times New Roman"/>
        </w:rPr>
        <w:t xml:space="preserve"> - é</w:t>
      </w:r>
      <w:r w:rsidR="006006DD" w:rsidRPr="00B43679">
        <w:rPr>
          <w:rFonts w:ascii="Times New Roman" w:hAnsi="Times New Roman" w:cs="Times New Roman"/>
        </w:rPr>
        <w:t xml:space="preserve"> a medida do direito contido no título. </w:t>
      </w:r>
    </w:p>
    <w:p w:rsidR="00B43679" w:rsidRPr="00B43679" w:rsidRDefault="00B43679" w:rsidP="00B43679">
      <w:pPr>
        <w:tabs>
          <w:tab w:val="left" w:pos="284"/>
        </w:tabs>
        <w:jc w:val="both"/>
        <w:rPr>
          <w:rFonts w:ascii="Times New Roman" w:hAnsi="Times New Roman" w:cs="Times New Roman"/>
          <w:b/>
        </w:rPr>
      </w:pPr>
    </w:p>
    <w:p w:rsidR="00B43679" w:rsidRPr="00B43679" w:rsidRDefault="006006DD" w:rsidP="00B43679">
      <w:pPr>
        <w:pStyle w:val="PargrafodaLista"/>
        <w:numPr>
          <w:ilvl w:val="0"/>
          <w:numId w:val="4"/>
        </w:numPr>
        <w:tabs>
          <w:tab w:val="left" w:pos="284"/>
        </w:tabs>
        <w:jc w:val="both"/>
        <w:rPr>
          <w:rFonts w:ascii="Times New Roman" w:hAnsi="Times New Roman" w:cs="Times New Roman"/>
          <w:b/>
        </w:rPr>
      </w:pPr>
      <w:r w:rsidRPr="00763397">
        <w:rPr>
          <w:rFonts w:ascii="Times New Roman" w:hAnsi="Times New Roman" w:cs="Times New Roman"/>
          <w:i/>
          <w:szCs w:val="18"/>
        </w:rPr>
        <w:t>Cartularidade</w:t>
      </w:r>
      <w:r>
        <w:rPr>
          <w:rFonts w:ascii="Times New Roman" w:hAnsi="Times New Roman" w:cs="Times New Roman"/>
          <w:szCs w:val="18"/>
        </w:rPr>
        <w:t xml:space="preserve">: </w:t>
      </w:r>
    </w:p>
    <w:p w:rsidR="00B45726" w:rsidRDefault="00B43679" w:rsidP="00B43679">
      <w:pPr>
        <w:tabs>
          <w:tab w:val="left" w:pos="284"/>
        </w:tabs>
        <w:ind w:firstLine="1134"/>
        <w:jc w:val="both"/>
        <w:rPr>
          <w:rFonts w:ascii="Times New Roman" w:hAnsi="Times New Roman" w:cs="Times New Roman"/>
          <w:szCs w:val="18"/>
        </w:rPr>
      </w:pPr>
      <w:r>
        <w:rPr>
          <w:rFonts w:ascii="Times New Roman" w:hAnsi="Times New Roman" w:cs="Times New Roman"/>
          <w:szCs w:val="18"/>
        </w:rPr>
        <w:t>C</w:t>
      </w:r>
      <w:r w:rsidR="006006DD" w:rsidRPr="00B43679">
        <w:rPr>
          <w:rFonts w:ascii="Times New Roman" w:hAnsi="Times New Roman" w:cs="Times New Roman"/>
          <w:szCs w:val="18"/>
        </w:rPr>
        <w:t xml:space="preserve">onsiste na materialização do direito no documento, ou seja, incorpora-se o direito ao documento. </w:t>
      </w:r>
      <w:r w:rsidRPr="00B43679">
        <w:rPr>
          <w:rFonts w:ascii="Times New Roman" w:hAnsi="Times New Roman" w:cs="Times New Roman"/>
          <w:szCs w:val="18"/>
        </w:rPr>
        <w:t xml:space="preserve">Segundo Fábio </w:t>
      </w:r>
      <w:proofErr w:type="spellStart"/>
      <w:r w:rsidRPr="00B43679">
        <w:rPr>
          <w:rFonts w:ascii="Times New Roman" w:hAnsi="Times New Roman" w:cs="Times New Roman"/>
          <w:szCs w:val="18"/>
        </w:rPr>
        <w:t>Ulhoa</w:t>
      </w:r>
      <w:proofErr w:type="spellEnd"/>
      <w:r w:rsidRPr="00B43679">
        <w:rPr>
          <w:rFonts w:ascii="Times New Roman" w:hAnsi="Times New Roman" w:cs="Times New Roman"/>
          <w:szCs w:val="18"/>
        </w:rPr>
        <w:t xml:space="preserve"> “</w:t>
      </w:r>
      <w:r w:rsidRPr="00B43679">
        <w:rPr>
          <w:rFonts w:ascii="Times New Roman" w:hAnsi="Times New Roman" w:cs="Times New Roman"/>
          <w:iCs/>
          <w:szCs w:val="18"/>
        </w:rPr>
        <w:t>é a garantia de que o sujeito que postula a satisfação do direito é mesmo o seu titular, sendo, desse modo, o postulado que evita o enriquecimento indevido de quem, tenha sido credor de um título de crédito, o negociou com terceiros (descontou num banco, por exemplo)</w:t>
      </w:r>
      <w:r w:rsidRPr="00B43679">
        <w:rPr>
          <w:rFonts w:ascii="Times New Roman" w:hAnsi="Times New Roman" w:cs="Times New Roman"/>
          <w:szCs w:val="18"/>
        </w:rPr>
        <w:t>”.</w:t>
      </w:r>
    </w:p>
    <w:p w:rsidR="00B43679" w:rsidRPr="00B43679" w:rsidRDefault="00B43679" w:rsidP="00B43679">
      <w:pPr>
        <w:tabs>
          <w:tab w:val="left" w:pos="284"/>
        </w:tabs>
        <w:jc w:val="both"/>
        <w:rPr>
          <w:rFonts w:ascii="Times New Roman" w:hAnsi="Times New Roman" w:cs="Times New Roman"/>
          <w:b/>
        </w:rPr>
      </w:pPr>
    </w:p>
    <w:p w:rsidR="00B43679" w:rsidRPr="00B43679" w:rsidRDefault="004F5E22" w:rsidP="00B43679">
      <w:pPr>
        <w:pStyle w:val="PargrafodaLista"/>
        <w:numPr>
          <w:ilvl w:val="0"/>
          <w:numId w:val="4"/>
        </w:numPr>
        <w:tabs>
          <w:tab w:val="left" w:pos="284"/>
        </w:tabs>
        <w:jc w:val="both"/>
        <w:rPr>
          <w:rFonts w:ascii="Times New Roman" w:hAnsi="Times New Roman" w:cs="Times New Roman"/>
          <w:b/>
        </w:rPr>
      </w:pPr>
      <w:r>
        <w:rPr>
          <w:rFonts w:ascii="Times New Roman" w:hAnsi="Times New Roman" w:cs="Times New Roman"/>
          <w:szCs w:val="18"/>
        </w:rPr>
        <w:t xml:space="preserve">Legalidade ou tipicidade: </w:t>
      </w:r>
    </w:p>
    <w:p w:rsidR="00B45726" w:rsidRDefault="00B43679" w:rsidP="00B43679">
      <w:pPr>
        <w:tabs>
          <w:tab w:val="left" w:pos="284"/>
        </w:tabs>
        <w:ind w:firstLine="1134"/>
        <w:jc w:val="both"/>
        <w:rPr>
          <w:rFonts w:ascii="Times New Roman" w:hAnsi="Times New Roman" w:cs="Times New Roman"/>
          <w:szCs w:val="18"/>
        </w:rPr>
      </w:pPr>
      <w:r>
        <w:rPr>
          <w:rFonts w:ascii="Times New Roman" w:hAnsi="Times New Roman" w:cs="Times New Roman"/>
          <w:szCs w:val="18"/>
        </w:rPr>
        <w:t>C</w:t>
      </w:r>
      <w:r w:rsidR="004F5E22" w:rsidRPr="00B43679">
        <w:rPr>
          <w:rFonts w:ascii="Times New Roman" w:hAnsi="Times New Roman" w:cs="Times New Roman"/>
          <w:szCs w:val="18"/>
        </w:rPr>
        <w:t>onsiste na impossibilidade de emitir, por lei, títulos de crédito que não estejam previamente definidos e disciplinados por lei.</w:t>
      </w:r>
    </w:p>
    <w:p w:rsidR="00B65B5C" w:rsidRPr="00B65B5C" w:rsidRDefault="00B65B5C" w:rsidP="00AE5287">
      <w:pPr>
        <w:tabs>
          <w:tab w:val="left" w:pos="284"/>
        </w:tabs>
        <w:jc w:val="both"/>
        <w:rPr>
          <w:rFonts w:ascii="Times New Roman" w:hAnsi="Times New Roman" w:cs="Times New Roman"/>
          <w:b/>
        </w:rPr>
      </w:pPr>
      <w:r>
        <w:rPr>
          <w:rFonts w:ascii="Times New Roman" w:hAnsi="Times New Roman" w:cs="Times New Roman"/>
          <w:b/>
        </w:rPr>
        <w:t xml:space="preserve"> </w:t>
      </w:r>
    </w:p>
    <w:p w:rsidR="00B65B5C" w:rsidRDefault="00B65B5C" w:rsidP="00B65B5C">
      <w:pPr>
        <w:tabs>
          <w:tab w:val="left" w:pos="284"/>
        </w:tabs>
        <w:ind w:firstLine="1134"/>
        <w:jc w:val="both"/>
        <w:rPr>
          <w:rFonts w:ascii="Times New Roman" w:hAnsi="Times New Roman" w:cs="Times New Roman"/>
        </w:rPr>
      </w:pPr>
      <w:r>
        <w:rPr>
          <w:rFonts w:ascii="Times New Roman" w:hAnsi="Times New Roman" w:cs="Times New Roman"/>
          <w:bCs/>
        </w:rPr>
        <w:t xml:space="preserve">Uma vez sabendo os critérios que definem os títulos de créditos é importante também conhecer seus critérios de classificação </w:t>
      </w:r>
      <w:r w:rsidRPr="00B65B5C">
        <w:rPr>
          <w:rFonts w:ascii="Times New Roman" w:hAnsi="Times New Roman" w:cs="Times New Roman"/>
          <w:bCs/>
        </w:rPr>
        <w:t>quanto a sua circulação:</w:t>
      </w:r>
    </w:p>
    <w:p w:rsidR="00B65B5C" w:rsidRPr="009F4112" w:rsidRDefault="00B65B5C" w:rsidP="009F4112">
      <w:pPr>
        <w:pStyle w:val="PargrafodaLista"/>
        <w:numPr>
          <w:ilvl w:val="0"/>
          <w:numId w:val="5"/>
        </w:numPr>
        <w:tabs>
          <w:tab w:val="left" w:pos="284"/>
        </w:tabs>
        <w:jc w:val="both"/>
        <w:rPr>
          <w:rFonts w:ascii="Times New Roman" w:hAnsi="Times New Roman" w:cs="Times New Roman"/>
        </w:rPr>
      </w:pPr>
      <w:r w:rsidRPr="009F4112">
        <w:rPr>
          <w:rFonts w:ascii="Times New Roman" w:hAnsi="Times New Roman" w:cs="Times New Roman"/>
          <w:i/>
        </w:rPr>
        <w:t>Títulos ao Portador</w:t>
      </w:r>
      <w:r w:rsidRPr="009F4112">
        <w:rPr>
          <w:rFonts w:ascii="Times New Roman" w:hAnsi="Times New Roman" w:cs="Times New Roman"/>
        </w:rPr>
        <w:t>, que são aqueles que não expressam o nome da pessoa beneficiada. Têm como característica a facilidade de circulação, pois se processa com a simples tradição.</w:t>
      </w:r>
    </w:p>
    <w:p w:rsidR="009F4112" w:rsidRDefault="00B65B5C" w:rsidP="00AE5287">
      <w:pPr>
        <w:pStyle w:val="PargrafodaLista"/>
        <w:numPr>
          <w:ilvl w:val="0"/>
          <w:numId w:val="5"/>
        </w:numPr>
        <w:tabs>
          <w:tab w:val="left" w:pos="284"/>
        </w:tabs>
        <w:jc w:val="both"/>
        <w:rPr>
          <w:rFonts w:ascii="Times New Roman" w:hAnsi="Times New Roman" w:cs="Times New Roman"/>
        </w:rPr>
      </w:pPr>
      <w:r w:rsidRPr="009F4112">
        <w:rPr>
          <w:rFonts w:ascii="Times New Roman" w:hAnsi="Times New Roman" w:cs="Times New Roman"/>
          <w:i/>
        </w:rPr>
        <w:t>Títulos Nominativos</w:t>
      </w:r>
      <w:r w:rsidRPr="009F4112">
        <w:rPr>
          <w:rFonts w:ascii="Times New Roman" w:hAnsi="Times New Roman" w:cs="Times New Roman"/>
        </w:rPr>
        <w:t>, que são os que possuem o nome do beneficiário. Portanto, têm por característica o endosso em preto.</w:t>
      </w:r>
    </w:p>
    <w:p w:rsidR="00B65B5C" w:rsidRPr="009F4112" w:rsidRDefault="00B65B5C" w:rsidP="00AE5287">
      <w:pPr>
        <w:pStyle w:val="PargrafodaLista"/>
        <w:numPr>
          <w:ilvl w:val="0"/>
          <w:numId w:val="5"/>
        </w:numPr>
        <w:tabs>
          <w:tab w:val="left" w:pos="284"/>
        </w:tabs>
        <w:jc w:val="both"/>
        <w:rPr>
          <w:rFonts w:ascii="Times New Roman" w:hAnsi="Times New Roman" w:cs="Times New Roman"/>
        </w:rPr>
      </w:pPr>
      <w:r w:rsidRPr="009F4112">
        <w:rPr>
          <w:rFonts w:ascii="Times New Roman" w:hAnsi="Times New Roman" w:cs="Times New Roman"/>
          <w:i/>
        </w:rPr>
        <w:t>Títulos à Ordem</w:t>
      </w:r>
      <w:r w:rsidRPr="009F4112">
        <w:rPr>
          <w:rFonts w:ascii="Times New Roman" w:hAnsi="Times New Roman" w:cs="Times New Roman"/>
        </w:rPr>
        <w:t>, que são emitidos em favor de pessoa determinada, transferindo–se pelo endosso.</w:t>
      </w:r>
    </w:p>
    <w:p w:rsidR="00B65B5C" w:rsidRDefault="00B65B5C" w:rsidP="00AE5287">
      <w:pPr>
        <w:tabs>
          <w:tab w:val="left" w:pos="284"/>
        </w:tabs>
        <w:jc w:val="both"/>
        <w:rPr>
          <w:rFonts w:ascii="Times New Roman" w:hAnsi="Times New Roman" w:cs="Times New Roman"/>
          <w:b/>
        </w:rPr>
      </w:pPr>
    </w:p>
    <w:p w:rsidR="00B45726" w:rsidRPr="00601B60" w:rsidRDefault="008C6E63" w:rsidP="00B45726">
      <w:pPr>
        <w:pStyle w:val="PargrafodaLista"/>
        <w:tabs>
          <w:tab w:val="left" w:pos="284"/>
        </w:tabs>
        <w:ind w:left="0"/>
        <w:rPr>
          <w:rFonts w:ascii="Times New Roman" w:hAnsi="Times New Roman" w:cs="Times New Roman"/>
          <w:b/>
        </w:rPr>
      </w:pPr>
      <w:proofErr w:type="gramStart"/>
      <w:r w:rsidRPr="00601B60">
        <w:rPr>
          <w:rFonts w:ascii="Times New Roman" w:hAnsi="Times New Roman" w:cs="Times New Roman"/>
          <w:b/>
        </w:rPr>
        <w:lastRenderedPageBreak/>
        <w:t>2</w:t>
      </w:r>
      <w:r w:rsidR="00052599">
        <w:rPr>
          <w:rFonts w:ascii="Times New Roman" w:hAnsi="Times New Roman" w:cs="Times New Roman"/>
          <w:b/>
        </w:rPr>
        <w:t>.2</w:t>
      </w:r>
      <w:r w:rsidR="00663BF8">
        <w:rPr>
          <w:rFonts w:ascii="Times New Roman" w:hAnsi="Times New Roman" w:cs="Times New Roman"/>
          <w:b/>
        </w:rPr>
        <w:t xml:space="preserve"> Anotação</w:t>
      </w:r>
      <w:proofErr w:type="gramEnd"/>
      <w:r w:rsidR="00663BF8">
        <w:rPr>
          <w:rFonts w:ascii="Times New Roman" w:hAnsi="Times New Roman" w:cs="Times New Roman"/>
          <w:b/>
        </w:rPr>
        <w:t xml:space="preserve"> D</w:t>
      </w:r>
      <w:r w:rsidR="00B45726" w:rsidRPr="00601B60">
        <w:rPr>
          <w:rFonts w:ascii="Times New Roman" w:hAnsi="Times New Roman" w:cs="Times New Roman"/>
          <w:b/>
        </w:rPr>
        <w:t>evida</w:t>
      </w:r>
    </w:p>
    <w:p w:rsidR="00C76801" w:rsidRDefault="00193D53" w:rsidP="00C76801">
      <w:pPr>
        <w:pStyle w:val="PargrafodaLista"/>
        <w:tabs>
          <w:tab w:val="left" w:pos="284"/>
        </w:tabs>
        <w:ind w:left="0" w:firstLine="1134"/>
        <w:jc w:val="both"/>
        <w:rPr>
          <w:rFonts w:ascii="Times New Roman" w:hAnsi="Times New Roman" w:cs="Times New Roman"/>
        </w:rPr>
      </w:pPr>
      <w:r w:rsidRPr="00601B60">
        <w:rPr>
          <w:rFonts w:ascii="Times New Roman" w:hAnsi="Times New Roman" w:cs="Times New Roman"/>
        </w:rPr>
        <w:t>As relações de consumo na atualidade são marcadas pela</w:t>
      </w:r>
      <w:r w:rsidR="00261920" w:rsidRPr="00601B60">
        <w:rPr>
          <w:rFonts w:ascii="Times New Roman" w:hAnsi="Times New Roman" w:cs="Times New Roman"/>
        </w:rPr>
        <w:t xml:space="preserve"> profissionalização </w:t>
      </w:r>
      <w:r w:rsidRPr="00601B60">
        <w:rPr>
          <w:rFonts w:ascii="Times New Roman" w:hAnsi="Times New Roman" w:cs="Times New Roman"/>
        </w:rPr>
        <w:t>e impessoalidade na prestação de serviços</w:t>
      </w:r>
      <w:r w:rsidR="00261920" w:rsidRPr="00601B60">
        <w:rPr>
          <w:rFonts w:ascii="Times New Roman" w:hAnsi="Times New Roman" w:cs="Times New Roman"/>
        </w:rPr>
        <w:t>. Isso implica na necessidade de uma maior segurança para os fornecedores de bens e serviços para a prática de negócios jurídicos, especialmente no estabelecimento dos chamados “crediários”.</w:t>
      </w:r>
    </w:p>
    <w:p w:rsidR="00C76801" w:rsidRDefault="00C76801" w:rsidP="00C76801">
      <w:pPr>
        <w:pStyle w:val="PargrafodaLista"/>
        <w:tabs>
          <w:tab w:val="left" w:pos="284"/>
        </w:tabs>
        <w:ind w:left="0" w:firstLine="1134"/>
        <w:jc w:val="both"/>
        <w:rPr>
          <w:rFonts w:ascii="Times New Roman" w:hAnsi="Times New Roman" w:cs="Times New Roman"/>
        </w:rPr>
      </w:pPr>
      <w:r w:rsidRPr="00601B60">
        <w:rPr>
          <w:rFonts w:ascii="Times New Roman" w:hAnsi="Times New Roman" w:cs="Times New Roman"/>
        </w:rPr>
        <w:t>Nesse contexto de proteção ao credor, surgem os ca</w:t>
      </w:r>
      <w:r>
        <w:rPr>
          <w:rFonts w:ascii="Times New Roman" w:hAnsi="Times New Roman" w:cs="Times New Roman"/>
        </w:rPr>
        <w:t xml:space="preserve">dastros de proteção ao crédito, cujo objetivo é, segundo </w:t>
      </w:r>
      <w:proofErr w:type="spellStart"/>
      <w:r w:rsidRPr="007640AF">
        <w:rPr>
          <w:rFonts w:ascii="Times New Roman" w:hAnsi="Times New Roman" w:cs="Times New Roman"/>
        </w:rPr>
        <w:t>Silvânio</w:t>
      </w:r>
      <w:proofErr w:type="spellEnd"/>
      <w:r w:rsidRPr="007640AF">
        <w:rPr>
          <w:rFonts w:ascii="Times New Roman" w:hAnsi="Times New Roman" w:cs="Times New Roman"/>
        </w:rPr>
        <w:t xml:space="preserve"> Covas</w:t>
      </w:r>
      <w:r>
        <w:rPr>
          <w:rFonts w:ascii="Times New Roman" w:hAnsi="Times New Roman" w:cs="Times New Roman"/>
        </w:rPr>
        <w:t xml:space="preserve">, </w:t>
      </w:r>
      <w:r w:rsidRPr="007640AF">
        <w:rPr>
          <w:rFonts w:ascii="Times New Roman" w:hAnsi="Times New Roman" w:cs="Times New Roman"/>
        </w:rPr>
        <w:t>a coleta, o armazenamento, o tratamento e a disponibilização, a terceiros, de informações sobre os pretendentes à obtenção de crédito, para a análi</w:t>
      </w:r>
      <w:r>
        <w:rPr>
          <w:rFonts w:ascii="Times New Roman" w:hAnsi="Times New Roman" w:cs="Times New Roman"/>
        </w:rPr>
        <w:t xml:space="preserve">se dos riscos na sua concessão. </w:t>
      </w:r>
      <w:r w:rsidRPr="00C76801">
        <w:rPr>
          <w:rFonts w:ascii="Times New Roman" w:hAnsi="Times New Roman" w:cs="Times New Roman"/>
        </w:rPr>
        <w:t xml:space="preserve">Essas instituições surgiram no Brasil na década de 50, notadamente a partir da Segunda Guerra Mundial e surgiram como uma manifestação da sociedade de consumo como forma de crédito facilitado e massificado. Todavia, a previsão constitucional veio em 1988, com a Constituição Federal vigente (art. 5.º, LXXII, “a”, CF/1988). </w:t>
      </w:r>
    </w:p>
    <w:p w:rsidR="00C76801" w:rsidRPr="00C76801" w:rsidRDefault="00C76801" w:rsidP="00C76801">
      <w:pPr>
        <w:pStyle w:val="PargrafodaLista"/>
        <w:tabs>
          <w:tab w:val="left" w:pos="284"/>
        </w:tabs>
        <w:ind w:left="0" w:firstLine="1134"/>
        <w:jc w:val="both"/>
        <w:rPr>
          <w:rFonts w:ascii="Times New Roman" w:hAnsi="Times New Roman" w:cs="Times New Roman"/>
        </w:rPr>
      </w:pPr>
      <w:r>
        <w:rPr>
          <w:rFonts w:ascii="Times New Roman" w:hAnsi="Times New Roman" w:cs="Times New Roman"/>
        </w:rPr>
        <w:t>Inicialmente, o</w:t>
      </w:r>
      <w:r w:rsidRPr="00C76801">
        <w:rPr>
          <w:rFonts w:ascii="Times New Roman" w:hAnsi="Times New Roman" w:cs="Times New Roman"/>
        </w:rPr>
        <w:t>s abusos cometidos pelos arquivos de consumo eram notórios, as informações contidas nestes serviços não só eram de conhecimento público como também eram divulgadas pelos mais diversos meios de comunicação, causando insatisfação e consequências irreparáveis as pessoas que tinham seus nomes inscritos nestes serviços.</w:t>
      </w:r>
      <w:r>
        <w:rPr>
          <w:rFonts w:ascii="Times New Roman" w:hAnsi="Times New Roman" w:cs="Times New Roman"/>
        </w:rPr>
        <w:t xml:space="preserve"> </w:t>
      </w:r>
      <w:r w:rsidRPr="00C76801">
        <w:rPr>
          <w:rFonts w:ascii="Times New Roman" w:hAnsi="Times New Roman" w:cs="Times New Roman"/>
        </w:rPr>
        <w:t>Assim, o legislador partiu da realidade fática dos abusos cometidos contra os consumidores e destinou uma seção específica do Código de Defesa do Consumidor para direcionar o funcionamento dos bancos de da</w:t>
      </w:r>
      <w:r>
        <w:rPr>
          <w:rFonts w:ascii="Times New Roman" w:hAnsi="Times New Roman" w:cs="Times New Roman"/>
        </w:rPr>
        <w:t>dos e cadastros de consumidores.</w:t>
      </w:r>
    </w:p>
    <w:p w:rsidR="009A2520" w:rsidRDefault="00C76801" w:rsidP="009A2520">
      <w:pPr>
        <w:pStyle w:val="PargrafodaLista"/>
        <w:tabs>
          <w:tab w:val="left" w:pos="284"/>
        </w:tabs>
        <w:ind w:left="0" w:firstLine="1134"/>
        <w:jc w:val="both"/>
        <w:rPr>
          <w:rFonts w:ascii="Times New Roman" w:hAnsi="Times New Roman" w:cs="Times New Roman"/>
        </w:rPr>
      </w:pPr>
      <w:r>
        <w:rPr>
          <w:rFonts w:ascii="Times New Roman" w:hAnsi="Times New Roman" w:cs="Times New Roman"/>
        </w:rPr>
        <w:t xml:space="preserve">Dessa forma, </w:t>
      </w:r>
      <w:r w:rsidR="009A4145" w:rsidRPr="009A4145">
        <w:rPr>
          <w:rFonts w:ascii="Times New Roman" w:hAnsi="Times New Roman" w:cs="Times New Roman"/>
        </w:rPr>
        <w:t>até a promulgação do Código de Defesa do Consumidor</w:t>
      </w:r>
      <w:r>
        <w:rPr>
          <w:rFonts w:ascii="Times New Roman" w:hAnsi="Times New Roman" w:cs="Times New Roman"/>
        </w:rPr>
        <w:t xml:space="preserve"> </w:t>
      </w:r>
      <w:r w:rsidR="008F6E59" w:rsidRPr="008F6E59">
        <w:rPr>
          <w:rFonts w:ascii="Times New Roman" w:hAnsi="Times New Roman" w:cs="Times New Roman"/>
        </w:rPr>
        <w:t>não existia qualquer legislação no sentido de regulamentar estes serviços</w:t>
      </w:r>
      <w:r>
        <w:rPr>
          <w:rFonts w:ascii="Times New Roman" w:hAnsi="Times New Roman" w:cs="Times New Roman"/>
        </w:rPr>
        <w:t xml:space="preserve">, embora </w:t>
      </w:r>
      <w:r w:rsidR="009A4145" w:rsidRPr="009A4145">
        <w:rPr>
          <w:rFonts w:ascii="Times New Roman" w:hAnsi="Times New Roman" w:cs="Times New Roman"/>
        </w:rPr>
        <w:t xml:space="preserve">já </w:t>
      </w:r>
      <w:r w:rsidR="00C239E7" w:rsidRPr="00C239E7">
        <w:rPr>
          <w:rFonts w:ascii="Times New Roman" w:hAnsi="Times New Roman" w:cs="Times New Roman"/>
          <w:color w:val="000000" w:themeColor="text1"/>
        </w:rPr>
        <w:t>existissem</w:t>
      </w:r>
      <w:r w:rsidR="009A4145" w:rsidRPr="00C239E7">
        <w:rPr>
          <w:rFonts w:ascii="Times New Roman" w:hAnsi="Times New Roman" w:cs="Times New Roman"/>
          <w:color w:val="000000" w:themeColor="text1"/>
        </w:rPr>
        <w:t xml:space="preserve"> bancos</w:t>
      </w:r>
      <w:r w:rsidR="009A4145" w:rsidRPr="009A4145">
        <w:rPr>
          <w:rFonts w:ascii="Times New Roman" w:hAnsi="Times New Roman" w:cs="Times New Roman"/>
        </w:rPr>
        <w:t xml:space="preserve"> de dados, cadastros de consumidores e serviços </w:t>
      </w:r>
      <w:r w:rsidR="008F6E59">
        <w:rPr>
          <w:rFonts w:ascii="Times New Roman" w:hAnsi="Times New Roman" w:cs="Times New Roman"/>
        </w:rPr>
        <w:t>de proteção ao crédito</w:t>
      </w:r>
      <w:r w:rsidR="009A4145" w:rsidRPr="009A4145">
        <w:rPr>
          <w:rFonts w:ascii="Times New Roman" w:hAnsi="Times New Roman" w:cs="Times New Roman"/>
        </w:rPr>
        <w:t>.</w:t>
      </w:r>
      <w:r w:rsidR="009A4145">
        <w:rPr>
          <w:rFonts w:ascii="Times New Roman" w:hAnsi="Times New Roman" w:cs="Times New Roman"/>
        </w:rPr>
        <w:t xml:space="preserve"> </w:t>
      </w:r>
      <w:r w:rsidR="007640AF" w:rsidRPr="007640AF">
        <w:rPr>
          <w:rFonts w:ascii="Times New Roman" w:hAnsi="Times New Roman" w:cs="Times New Roman"/>
        </w:rPr>
        <w:t>Na legislação infraconstitucional, estão, basicamente, disciplinadas no art. 43 da Lei 8.078/1990 (Código de Defesa do Consumidor) e na Lei 9</w:t>
      </w:r>
      <w:r w:rsidR="005E0DB8">
        <w:rPr>
          <w:rFonts w:ascii="Times New Roman" w:hAnsi="Times New Roman" w:cs="Times New Roman"/>
        </w:rPr>
        <w:t xml:space="preserve">.507/1997 (Lei do Habeas Data) e </w:t>
      </w:r>
      <w:r w:rsidR="005E0DB8" w:rsidRPr="005E0DB8">
        <w:rPr>
          <w:rFonts w:ascii="Times New Roman" w:hAnsi="Times New Roman" w:cs="Times New Roman"/>
        </w:rPr>
        <w:t>dispõe que os bancos e cadastros relativos a consumidores, os serviços de proteção ao crédito e congêneres são considerado</w:t>
      </w:r>
      <w:r w:rsidR="005E0DB8">
        <w:rPr>
          <w:rFonts w:ascii="Times New Roman" w:hAnsi="Times New Roman" w:cs="Times New Roman"/>
        </w:rPr>
        <w:t>s entidades de caráter público.</w:t>
      </w:r>
    </w:p>
    <w:p w:rsidR="009A2520" w:rsidRPr="009A2520" w:rsidRDefault="009A2520" w:rsidP="009A2520">
      <w:pPr>
        <w:pStyle w:val="PargrafodaLista"/>
        <w:tabs>
          <w:tab w:val="left" w:pos="284"/>
        </w:tabs>
        <w:ind w:left="0" w:firstLine="1134"/>
        <w:jc w:val="both"/>
        <w:rPr>
          <w:rFonts w:ascii="Times New Roman" w:hAnsi="Times New Roman" w:cs="Times New Roman"/>
        </w:rPr>
      </w:pPr>
      <w:r w:rsidRPr="009A2520">
        <w:rPr>
          <w:rFonts w:ascii="Times New Roman" w:hAnsi="Times New Roman" w:cs="Times New Roman"/>
        </w:rPr>
        <w:t>Os serviços de proteção ao crédito são considerados entes de caráter público, ainda que mantidos pela iniciativa privada, e deles é exigido:</w:t>
      </w:r>
    </w:p>
    <w:p w:rsidR="009A2520" w:rsidRPr="009A2520" w:rsidRDefault="009A2520" w:rsidP="009A2520">
      <w:pPr>
        <w:pStyle w:val="PargrafodaLista"/>
        <w:numPr>
          <w:ilvl w:val="0"/>
          <w:numId w:val="3"/>
        </w:numPr>
        <w:tabs>
          <w:tab w:val="clear" w:pos="720"/>
          <w:tab w:val="num" w:pos="709"/>
        </w:tabs>
        <w:rPr>
          <w:rFonts w:ascii="Times New Roman" w:hAnsi="Times New Roman" w:cs="Times New Roman"/>
        </w:rPr>
      </w:pPr>
      <w:r w:rsidRPr="009A2520">
        <w:rPr>
          <w:rFonts w:ascii="Times New Roman" w:hAnsi="Times New Roman" w:cs="Times New Roman"/>
        </w:rPr>
        <w:t>Objetividade e veracidade nas informações;</w:t>
      </w:r>
    </w:p>
    <w:p w:rsidR="009A2520" w:rsidRPr="009A2520" w:rsidRDefault="009A2520" w:rsidP="009A2520">
      <w:pPr>
        <w:pStyle w:val="PargrafodaLista"/>
        <w:numPr>
          <w:ilvl w:val="0"/>
          <w:numId w:val="3"/>
        </w:numPr>
        <w:rPr>
          <w:rFonts w:ascii="Times New Roman" w:hAnsi="Times New Roman" w:cs="Times New Roman"/>
        </w:rPr>
      </w:pPr>
      <w:r w:rsidRPr="009A2520">
        <w:rPr>
          <w:rFonts w:ascii="Times New Roman" w:hAnsi="Times New Roman" w:cs="Times New Roman"/>
        </w:rPr>
        <w:t>Devem ser escritas em linguagem de fácil compreensão;</w:t>
      </w:r>
    </w:p>
    <w:p w:rsidR="009A2520" w:rsidRPr="009A2520" w:rsidRDefault="009A2520" w:rsidP="009A2520">
      <w:pPr>
        <w:pStyle w:val="PargrafodaLista"/>
        <w:numPr>
          <w:ilvl w:val="0"/>
          <w:numId w:val="3"/>
        </w:numPr>
        <w:rPr>
          <w:rFonts w:ascii="Times New Roman" w:hAnsi="Times New Roman" w:cs="Times New Roman"/>
        </w:rPr>
      </w:pPr>
      <w:r w:rsidRPr="009A2520">
        <w:rPr>
          <w:rFonts w:ascii="Times New Roman" w:hAnsi="Times New Roman" w:cs="Times New Roman"/>
        </w:rPr>
        <w:t>Não podendo haver informações negativas referentes a período superior a cinco anos;</w:t>
      </w:r>
    </w:p>
    <w:p w:rsidR="009A2520" w:rsidRPr="009A2520" w:rsidRDefault="009A2520" w:rsidP="009A2520">
      <w:pPr>
        <w:pStyle w:val="PargrafodaLista"/>
        <w:numPr>
          <w:ilvl w:val="0"/>
          <w:numId w:val="3"/>
        </w:numPr>
        <w:rPr>
          <w:rFonts w:ascii="Times New Roman" w:hAnsi="Times New Roman" w:cs="Times New Roman"/>
        </w:rPr>
      </w:pPr>
      <w:r w:rsidRPr="009A2520">
        <w:rPr>
          <w:rFonts w:ascii="Times New Roman" w:hAnsi="Times New Roman" w:cs="Times New Roman"/>
        </w:rPr>
        <w:t>Comunicação por escrito ao consumidor, quando a abertura de cadastro ou banco de dados não for solicitada por ele;</w:t>
      </w:r>
    </w:p>
    <w:p w:rsidR="009A2520" w:rsidRDefault="009A2520" w:rsidP="00807EF0">
      <w:pPr>
        <w:pStyle w:val="PargrafodaLista"/>
        <w:numPr>
          <w:ilvl w:val="0"/>
          <w:numId w:val="3"/>
        </w:numPr>
        <w:rPr>
          <w:rFonts w:ascii="Times New Roman" w:hAnsi="Times New Roman" w:cs="Times New Roman"/>
        </w:rPr>
      </w:pPr>
      <w:r w:rsidRPr="009A2520">
        <w:rPr>
          <w:rFonts w:ascii="Times New Roman" w:hAnsi="Times New Roman" w:cs="Times New Roman"/>
        </w:rPr>
        <w:lastRenderedPageBreak/>
        <w:t>Correção imediata e comunicação, no prazo de cinco dias úteis, aos eventuais destinatários das informações, de quaisquer inexatidões em dados ou cadastros, se o consumidor requerer.</w:t>
      </w:r>
    </w:p>
    <w:p w:rsidR="00807EF0" w:rsidRPr="00807EF0" w:rsidRDefault="00807EF0" w:rsidP="00807EF0">
      <w:pPr>
        <w:pStyle w:val="PargrafodaLista"/>
        <w:rPr>
          <w:rFonts w:ascii="Times New Roman" w:hAnsi="Times New Roman" w:cs="Times New Roman"/>
        </w:rPr>
      </w:pPr>
    </w:p>
    <w:p w:rsidR="007640AF" w:rsidRPr="00807EF0" w:rsidRDefault="009A4145" w:rsidP="00807EF0">
      <w:pPr>
        <w:pStyle w:val="PargrafodaLista"/>
        <w:tabs>
          <w:tab w:val="left" w:pos="284"/>
        </w:tabs>
        <w:ind w:left="0" w:firstLine="1134"/>
        <w:jc w:val="both"/>
        <w:rPr>
          <w:rFonts w:ascii="Times New Roman" w:hAnsi="Times New Roman" w:cs="Times New Roman"/>
        </w:rPr>
      </w:pPr>
      <w:r w:rsidRPr="009A4145">
        <w:rPr>
          <w:rFonts w:ascii="Times New Roman" w:hAnsi="Times New Roman" w:cs="Times New Roman"/>
        </w:rPr>
        <w:t>Atualmente, os principais bancos de dados brasileiros são: Serasa (Centralização de Serviços bancários S.A.), SPC (Serviço de Proteção ao Crédito), CADIN (Cadastro Informativo do Banco Central) e CCF (Cadastro de Emitentes de Cheque sem Fundo do Banco Central).</w:t>
      </w:r>
    </w:p>
    <w:p w:rsidR="007766E1" w:rsidRDefault="007766E1" w:rsidP="007766E1">
      <w:pPr>
        <w:pStyle w:val="PargrafodaLista"/>
        <w:tabs>
          <w:tab w:val="left" w:pos="284"/>
        </w:tabs>
        <w:ind w:left="0" w:firstLine="1134"/>
        <w:jc w:val="both"/>
        <w:rPr>
          <w:rFonts w:ascii="Times New Roman" w:hAnsi="Times New Roman" w:cs="Times New Roman"/>
        </w:rPr>
      </w:pPr>
      <w:r>
        <w:rPr>
          <w:rFonts w:ascii="Times New Roman" w:hAnsi="Times New Roman" w:cs="Times New Roman"/>
        </w:rPr>
        <w:t>A Jurisprudência do Superior Tribunal de Justiça</w:t>
      </w:r>
      <w:r w:rsidR="00387BA5">
        <w:rPr>
          <w:rFonts w:ascii="Times New Roman" w:hAnsi="Times New Roman" w:cs="Times New Roman"/>
        </w:rPr>
        <w:t xml:space="preserve"> afirma:</w:t>
      </w:r>
    </w:p>
    <w:p w:rsidR="00387BA5" w:rsidRDefault="00387BA5" w:rsidP="00387BA5">
      <w:pPr>
        <w:pStyle w:val="PargrafodaLista"/>
        <w:tabs>
          <w:tab w:val="left" w:pos="284"/>
        </w:tabs>
        <w:spacing w:line="240" w:lineRule="auto"/>
        <w:ind w:left="3402"/>
        <w:jc w:val="both"/>
        <w:rPr>
          <w:rFonts w:ascii="Times New Roman" w:hAnsi="Times New Roman" w:cs="Times New Roman"/>
          <w:i/>
        </w:rPr>
      </w:pPr>
      <w:r w:rsidRPr="00387BA5">
        <w:rPr>
          <w:rFonts w:ascii="Times New Roman" w:hAnsi="Times New Roman" w:cs="Times New Roman"/>
          <w:i/>
        </w:rPr>
        <w:t xml:space="preserve">“Legitimo é o procedimento adotado pela instituição financeira em inscrever, os devedores inadimplentes em cadastro de proteção ao crédito, por autorização na legislação pertinente. Todavia, em havendo discussão jurídica sobre o débito, pertinente o deferimento do pedido de abstenção com o fim de assegurar a eficácia do processo principal, </w:t>
      </w:r>
      <w:proofErr w:type="gramStart"/>
      <w:r w:rsidRPr="00387BA5">
        <w:rPr>
          <w:rFonts w:ascii="Times New Roman" w:hAnsi="Times New Roman" w:cs="Times New Roman"/>
          <w:i/>
        </w:rPr>
        <w:t>sob pena</w:t>
      </w:r>
      <w:proofErr w:type="gramEnd"/>
      <w:r w:rsidRPr="00387BA5">
        <w:rPr>
          <w:rFonts w:ascii="Times New Roman" w:hAnsi="Times New Roman" w:cs="Times New Roman"/>
          <w:i/>
        </w:rPr>
        <w:t xml:space="preserve"> de frustrar, ao menos em parte, o direito nele discutido, pela imediata perda da credibilidade dos autores na praça que atuam.”</w:t>
      </w:r>
    </w:p>
    <w:p w:rsidR="00387BA5" w:rsidRPr="00387BA5" w:rsidRDefault="00387BA5" w:rsidP="00387BA5">
      <w:pPr>
        <w:pStyle w:val="PargrafodaLista"/>
        <w:tabs>
          <w:tab w:val="left" w:pos="284"/>
        </w:tabs>
        <w:spacing w:line="240" w:lineRule="auto"/>
        <w:ind w:left="3402"/>
        <w:jc w:val="both"/>
        <w:rPr>
          <w:rFonts w:ascii="Times New Roman" w:hAnsi="Times New Roman" w:cs="Times New Roman"/>
        </w:rPr>
      </w:pPr>
      <w:r w:rsidRPr="00387BA5">
        <w:rPr>
          <w:rFonts w:ascii="Times New Roman" w:hAnsi="Times New Roman" w:cs="Times New Roman"/>
        </w:rPr>
        <w:t>(STJ, data da decisão: 2</w:t>
      </w:r>
      <w:proofErr w:type="gramStart"/>
      <w:r w:rsidRPr="00387BA5">
        <w:rPr>
          <w:rFonts w:ascii="Times New Roman" w:hAnsi="Times New Roman" w:cs="Times New Roman"/>
        </w:rPr>
        <w:t>-.</w:t>
      </w:r>
      <w:proofErr w:type="gramEnd"/>
      <w:r w:rsidRPr="00387BA5">
        <w:rPr>
          <w:rFonts w:ascii="Times New Roman" w:hAnsi="Times New Roman" w:cs="Times New Roman"/>
        </w:rPr>
        <w:t xml:space="preserve">06-2001, órgão julgador: Quarta Turma, </w:t>
      </w:r>
      <w:proofErr w:type="spellStart"/>
      <w:r w:rsidRPr="00387BA5">
        <w:rPr>
          <w:rFonts w:ascii="Times New Roman" w:hAnsi="Times New Roman" w:cs="Times New Roman"/>
        </w:rPr>
        <w:t>REsp</w:t>
      </w:r>
      <w:proofErr w:type="spellEnd"/>
      <w:r w:rsidRPr="00387BA5">
        <w:rPr>
          <w:rFonts w:ascii="Times New Roman" w:hAnsi="Times New Roman" w:cs="Times New Roman"/>
        </w:rPr>
        <w:t xml:space="preserve"> 324877/ RS; </w:t>
      </w:r>
      <w:proofErr w:type="spellStart"/>
      <w:r w:rsidRPr="00387BA5">
        <w:rPr>
          <w:rFonts w:ascii="Times New Roman" w:hAnsi="Times New Roman" w:cs="Times New Roman"/>
        </w:rPr>
        <w:t>REsp</w:t>
      </w:r>
      <w:proofErr w:type="spellEnd"/>
      <w:r w:rsidRPr="00387BA5">
        <w:rPr>
          <w:rFonts w:ascii="Times New Roman" w:hAnsi="Times New Roman" w:cs="Times New Roman"/>
        </w:rPr>
        <w:t xml:space="preserve"> 2001/ 0057789-0, DJ, 15-10-2001, p. 269, Rel. Min. Aldir Passarinho Junior).</w:t>
      </w:r>
    </w:p>
    <w:p w:rsidR="00387BA5" w:rsidRDefault="00387BA5" w:rsidP="007766E1">
      <w:pPr>
        <w:pStyle w:val="PargrafodaLista"/>
        <w:tabs>
          <w:tab w:val="left" w:pos="284"/>
        </w:tabs>
        <w:ind w:left="0" w:firstLine="1134"/>
        <w:jc w:val="both"/>
        <w:rPr>
          <w:rFonts w:ascii="Times New Roman" w:hAnsi="Times New Roman" w:cs="Times New Roman"/>
        </w:rPr>
      </w:pPr>
    </w:p>
    <w:p w:rsidR="00E76E66" w:rsidRPr="00C239E7" w:rsidRDefault="00002EFB" w:rsidP="00E76E66">
      <w:pPr>
        <w:pStyle w:val="PargrafodaLista"/>
        <w:tabs>
          <w:tab w:val="left" w:pos="284"/>
        </w:tabs>
        <w:ind w:left="0" w:firstLine="1134"/>
        <w:jc w:val="both"/>
        <w:rPr>
          <w:rFonts w:ascii="Times New Roman" w:hAnsi="Times New Roman" w:cs="Times New Roman"/>
          <w:color w:val="000000" w:themeColor="text1"/>
        </w:rPr>
      </w:pPr>
      <w:r w:rsidRPr="00C239E7">
        <w:rPr>
          <w:rFonts w:ascii="Times New Roman" w:hAnsi="Times New Roman" w:cs="Times New Roman"/>
          <w:color w:val="000000" w:themeColor="text1"/>
        </w:rPr>
        <w:t xml:space="preserve">Em se tratando da legitimidade do cadastro de restrição ao crédito, (GAGLIANO; PAMPOLHA FILHO) </w:t>
      </w:r>
      <w:r w:rsidR="00C239E7" w:rsidRPr="00C239E7">
        <w:rPr>
          <w:rFonts w:ascii="Times New Roman" w:hAnsi="Times New Roman" w:cs="Times New Roman"/>
          <w:color w:val="000000" w:themeColor="text1"/>
        </w:rPr>
        <w:t>afirma</w:t>
      </w:r>
      <w:r w:rsidRPr="00C239E7">
        <w:rPr>
          <w:rFonts w:ascii="Times New Roman" w:hAnsi="Times New Roman" w:cs="Times New Roman"/>
          <w:color w:val="000000" w:themeColor="text1"/>
        </w:rPr>
        <w:t xml:space="preserve"> que tais serviços, não devem ser considerados, por si só, uma prática abusiva, mas um exercício regular de direito.</w:t>
      </w:r>
    </w:p>
    <w:p w:rsidR="00E76E66" w:rsidRPr="00E76E66" w:rsidRDefault="00E76E66" w:rsidP="00E76E66">
      <w:pPr>
        <w:pStyle w:val="PargrafodaLista"/>
        <w:tabs>
          <w:tab w:val="left" w:pos="284"/>
        </w:tabs>
        <w:ind w:left="0" w:firstLine="1134"/>
        <w:jc w:val="both"/>
        <w:rPr>
          <w:rFonts w:ascii="Times New Roman" w:eastAsia="Times New Roman" w:hAnsi="Times New Roman" w:cs="Times New Roman"/>
          <w:szCs w:val="24"/>
          <w:lang w:eastAsia="pt-BR"/>
        </w:rPr>
      </w:pPr>
      <w:r w:rsidRPr="00E76E66">
        <w:rPr>
          <w:rFonts w:ascii="Times New Roman" w:eastAsia="Times New Roman" w:hAnsi="Times New Roman" w:cs="Times New Roman"/>
          <w:szCs w:val="24"/>
          <w:lang w:eastAsia="pt-BR"/>
        </w:rPr>
        <w:t xml:space="preserve">Ora, como os cadastros arquivam apenas dados negativos relativos ao </w:t>
      </w:r>
      <w:proofErr w:type="gramStart"/>
      <w:r w:rsidRPr="00E76E66">
        <w:rPr>
          <w:rFonts w:ascii="Times New Roman" w:eastAsia="Times New Roman" w:hAnsi="Times New Roman" w:cs="Times New Roman"/>
          <w:szCs w:val="24"/>
          <w:lang w:eastAsia="pt-BR"/>
        </w:rPr>
        <w:t>não-pagamento</w:t>
      </w:r>
      <w:proofErr w:type="gramEnd"/>
      <w:r w:rsidRPr="00E76E66">
        <w:rPr>
          <w:rFonts w:ascii="Times New Roman" w:eastAsia="Times New Roman" w:hAnsi="Times New Roman" w:cs="Times New Roman"/>
          <w:szCs w:val="24"/>
          <w:lang w:eastAsia="pt-BR"/>
        </w:rPr>
        <w:t xml:space="preserve"> de dívidas conclui-se logicamente que</w:t>
      </w:r>
      <w:r>
        <w:rPr>
          <w:rFonts w:ascii="Times New Roman" w:eastAsia="Times New Roman" w:hAnsi="Times New Roman" w:cs="Times New Roman"/>
          <w:szCs w:val="24"/>
          <w:lang w:eastAsia="pt-BR"/>
        </w:rPr>
        <w:t xml:space="preserve"> os requisitos para negativação sejam</w:t>
      </w:r>
      <w:r w:rsidRPr="00E76E66">
        <w:rPr>
          <w:rFonts w:ascii="Times New Roman" w:eastAsia="Times New Roman" w:hAnsi="Times New Roman" w:cs="Times New Roman"/>
          <w:szCs w:val="24"/>
          <w:lang w:eastAsia="pt-BR"/>
        </w:rPr>
        <w:t>:</w:t>
      </w:r>
    </w:p>
    <w:p w:rsidR="00E76E66" w:rsidRPr="00E76E66" w:rsidRDefault="00E76E66" w:rsidP="00E76E66">
      <w:pPr>
        <w:pStyle w:val="PargrafodaLista"/>
        <w:tabs>
          <w:tab w:val="left" w:pos="284"/>
        </w:tabs>
        <w:ind w:left="0" w:firstLine="1134"/>
        <w:jc w:val="both"/>
        <w:rPr>
          <w:rFonts w:ascii="Times New Roman" w:eastAsia="Times New Roman" w:hAnsi="Times New Roman" w:cs="Times New Roman"/>
          <w:szCs w:val="24"/>
          <w:lang w:eastAsia="pt-BR"/>
        </w:rPr>
      </w:pPr>
      <w:r w:rsidRPr="00E76E66">
        <w:rPr>
          <w:rFonts w:ascii="Times New Roman" w:eastAsia="Times New Roman" w:hAnsi="Times New Roman" w:cs="Times New Roman"/>
          <w:szCs w:val="24"/>
          <w:lang w:eastAsia="pt-BR"/>
        </w:rPr>
        <w:t xml:space="preserve">a) </w:t>
      </w:r>
      <w:r>
        <w:rPr>
          <w:rFonts w:ascii="Times New Roman" w:eastAsia="Times New Roman" w:hAnsi="Times New Roman" w:cs="Times New Roman"/>
          <w:szCs w:val="24"/>
          <w:lang w:eastAsia="pt-BR"/>
        </w:rPr>
        <w:t>Existir</w:t>
      </w:r>
      <w:r w:rsidRPr="00E76E66">
        <w:rPr>
          <w:rFonts w:ascii="Times New Roman" w:eastAsia="Times New Roman" w:hAnsi="Times New Roman" w:cs="Times New Roman"/>
          <w:szCs w:val="24"/>
          <w:lang w:eastAsia="pt-BR"/>
        </w:rPr>
        <w:t xml:space="preserve"> a dívida;</w:t>
      </w:r>
    </w:p>
    <w:p w:rsidR="00E76E66" w:rsidRPr="00E76E66" w:rsidRDefault="00E76E66" w:rsidP="00E76E66">
      <w:pPr>
        <w:pStyle w:val="PargrafodaLista"/>
        <w:tabs>
          <w:tab w:val="left" w:pos="284"/>
        </w:tabs>
        <w:ind w:left="0" w:firstLine="1134"/>
        <w:jc w:val="both"/>
        <w:rPr>
          <w:rFonts w:ascii="Times New Roman" w:eastAsia="Times New Roman" w:hAnsi="Times New Roman" w:cs="Times New Roman"/>
          <w:szCs w:val="24"/>
          <w:lang w:eastAsia="pt-BR"/>
        </w:rPr>
      </w:pPr>
      <w:proofErr w:type="gramStart"/>
      <w:r w:rsidRPr="00E76E66">
        <w:rPr>
          <w:rFonts w:ascii="Times New Roman" w:eastAsia="Times New Roman" w:hAnsi="Times New Roman" w:cs="Times New Roman"/>
          <w:szCs w:val="24"/>
          <w:lang w:eastAsia="pt-BR"/>
        </w:rPr>
        <w:t>b)</w:t>
      </w:r>
      <w:proofErr w:type="gramEnd"/>
      <w:r w:rsidRPr="00E76E66">
        <w:rPr>
          <w:rFonts w:ascii="Times New Roman" w:eastAsia="Times New Roman" w:hAnsi="Times New Roman" w:cs="Times New Roman"/>
          <w:szCs w:val="24"/>
          <w:lang w:eastAsia="pt-BR"/>
        </w:rPr>
        <w:t> Da</w:t>
      </w:r>
      <w:r>
        <w:rPr>
          <w:rFonts w:ascii="Times New Roman" w:eastAsia="Times New Roman" w:hAnsi="Times New Roman" w:cs="Times New Roman"/>
          <w:szCs w:val="24"/>
          <w:lang w:eastAsia="pt-BR"/>
        </w:rPr>
        <w:t>ta prevista para pagamento vencida</w:t>
      </w:r>
      <w:r w:rsidRPr="00E76E66">
        <w:rPr>
          <w:rFonts w:ascii="Times New Roman" w:eastAsia="Times New Roman" w:hAnsi="Times New Roman" w:cs="Times New Roman"/>
          <w:szCs w:val="24"/>
          <w:lang w:eastAsia="pt-BR"/>
        </w:rPr>
        <w:t>;</w:t>
      </w:r>
    </w:p>
    <w:p w:rsidR="00E76E66" w:rsidRPr="00E76E66" w:rsidRDefault="00E76E66" w:rsidP="00E76E66">
      <w:pPr>
        <w:pStyle w:val="PargrafodaLista"/>
        <w:tabs>
          <w:tab w:val="left" w:pos="284"/>
        </w:tabs>
        <w:ind w:left="0" w:firstLine="1134"/>
        <w:jc w:val="both"/>
        <w:rPr>
          <w:rFonts w:ascii="Times New Roman" w:eastAsia="Times New Roman" w:hAnsi="Times New Roman" w:cs="Times New Roman"/>
          <w:szCs w:val="24"/>
          <w:lang w:eastAsia="pt-BR"/>
        </w:rPr>
      </w:pPr>
      <w:proofErr w:type="gramStart"/>
      <w:r w:rsidRPr="00E76E66">
        <w:rPr>
          <w:rFonts w:ascii="Times New Roman" w:eastAsia="Times New Roman" w:hAnsi="Times New Roman" w:cs="Times New Roman"/>
          <w:szCs w:val="24"/>
          <w:lang w:eastAsia="pt-BR"/>
        </w:rPr>
        <w:t>c)</w:t>
      </w:r>
      <w:proofErr w:type="gramEnd"/>
      <w:r w:rsidRPr="00E76E66">
        <w:rPr>
          <w:rFonts w:ascii="Times New Roman" w:eastAsia="Times New Roman" w:hAnsi="Times New Roman" w:cs="Times New Roman"/>
          <w:szCs w:val="24"/>
          <w:lang w:eastAsia="pt-BR"/>
        </w:rPr>
        <w:t> O valor e líquido é certo e;</w:t>
      </w:r>
    </w:p>
    <w:p w:rsidR="00E76E66" w:rsidRPr="00E76E66" w:rsidRDefault="00E76E66" w:rsidP="00E76E66">
      <w:pPr>
        <w:pStyle w:val="PargrafodaLista"/>
        <w:tabs>
          <w:tab w:val="left" w:pos="284"/>
        </w:tabs>
        <w:ind w:left="0" w:firstLine="1134"/>
        <w:jc w:val="both"/>
        <w:rPr>
          <w:rFonts w:ascii="Times New Roman" w:eastAsia="Times New Roman" w:hAnsi="Times New Roman" w:cs="Times New Roman"/>
          <w:szCs w:val="24"/>
          <w:lang w:eastAsia="pt-BR"/>
        </w:rPr>
      </w:pPr>
      <w:proofErr w:type="gramStart"/>
      <w:r w:rsidRPr="00E76E66">
        <w:rPr>
          <w:rFonts w:ascii="Times New Roman" w:eastAsia="Times New Roman" w:hAnsi="Times New Roman" w:cs="Times New Roman"/>
          <w:szCs w:val="24"/>
          <w:lang w:eastAsia="pt-BR"/>
        </w:rPr>
        <w:t>d)</w:t>
      </w:r>
      <w:proofErr w:type="gramEnd"/>
      <w:r w:rsidRPr="00E76E66">
        <w:rPr>
          <w:rFonts w:ascii="Times New Roman" w:eastAsia="Times New Roman" w:hAnsi="Times New Roman" w:cs="Times New Roman"/>
          <w:szCs w:val="24"/>
          <w:lang w:eastAsia="pt-BR"/>
        </w:rPr>
        <w:t> Sem oposição da pessoa inadimplente.</w:t>
      </w:r>
    </w:p>
    <w:p w:rsidR="00E76E66" w:rsidRPr="00E76E66" w:rsidRDefault="00E76E66" w:rsidP="00E76E66">
      <w:pPr>
        <w:pStyle w:val="PargrafodaLista"/>
        <w:tabs>
          <w:tab w:val="left" w:pos="284"/>
        </w:tabs>
        <w:ind w:left="0" w:firstLine="1134"/>
        <w:rPr>
          <w:rFonts w:ascii="Palatino Linotype" w:eastAsia="Times New Roman" w:hAnsi="Palatino Linotype" w:cs="Times New Roman"/>
          <w:color w:val="363636"/>
          <w:sz w:val="27"/>
          <w:szCs w:val="27"/>
          <w:lang w:eastAsia="pt-BR"/>
        </w:rPr>
      </w:pPr>
      <w:r w:rsidRPr="00E76E66">
        <w:rPr>
          <w:rFonts w:ascii="Palatino Linotype" w:eastAsia="Times New Roman" w:hAnsi="Palatino Linotype" w:cs="Times New Roman"/>
          <w:color w:val="363636"/>
          <w:sz w:val="27"/>
          <w:szCs w:val="27"/>
          <w:lang w:eastAsia="pt-BR"/>
        </w:rPr>
        <w:t> </w:t>
      </w:r>
    </w:p>
    <w:p w:rsidR="00E76E66" w:rsidRPr="009A2520" w:rsidRDefault="00E76E66" w:rsidP="009A2520">
      <w:pPr>
        <w:pStyle w:val="PargrafodaLista"/>
        <w:tabs>
          <w:tab w:val="left" w:pos="284"/>
        </w:tabs>
        <w:ind w:left="0" w:firstLine="1134"/>
        <w:jc w:val="both"/>
        <w:rPr>
          <w:rFonts w:ascii="Palatino Linotype" w:eastAsia="Times New Roman" w:hAnsi="Palatino Linotype" w:cs="Times New Roman"/>
          <w:color w:val="363636"/>
          <w:sz w:val="27"/>
          <w:szCs w:val="27"/>
          <w:lang w:eastAsia="pt-BR"/>
        </w:rPr>
      </w:pPr>
      <w:r w:rsidRPr="00E76E66">
        <w:rPr>
          <w:rFonts w:ascii="Times New Roman" w:eastAsia="Times New Roman" w:hAnsi="Times New Roman" w:cs="Times New Roman"/>
          <w:szCs w:val="24"/>
          <w:lang w:eastAsia="pt-BR"/>
        </w:rPr>
        <w:t>A conjunção dos fatores ora transcritos é que permite que se aceite a negativação, uma vez que o nome do d</w:t>
      </w:r>
      <w:r w:rsidR="00B14F67">
        <w:rPr>
          <w:rFonts w:ascii="Times New Roman" w:eastAsia="Times New Roman" w:hAnsi="Times New Roman" w:cs="Times New Roman"/>
          <w:szCs w:val="24"/>
          <w:lang w:eastAsia="pt-BR"/>
        </w:rPr>
        <w:t>evedor só pode dar ingresso nos s</w:t>
      </w:r>
      <w:r w:rsidRPr="00E76E66">
        <w:rPr>
          <w:rFonts w:ascii="Times New Roman" w:eastAsia="Times New Roman" w:hAnsi="Times New Roman" w:cs="Times New Roman"/>
          <w:szCs w:val="24"/>
          <w:lang w:eastAsia="pt-BR"/>
        </w:rPr>
        <w:t>erviços propriamente ditos se tiverem clareza da existência e do valor líquido da dívida, bem como da data do seu vencimento.</w:t>
      </w:r>
    </w:p>
    <w:p w:rsidR="006B3891" w:rsidRDefault="00B14F67" w:rsidP="006B3891">
      <w:pPr>
        <w:pStyle w:val="PargrafodaLista"/>
        <w:tabs>
          <w:tab w:val="left" w:pos="284"/>
        </w:tabs>
        <w:ind w:left="0" w:firstLine="1134"/>
        <w:jc w:val="both"/>
        <w:rPr>
          <w:rFonts w:ascii="Times New Roman" w:hAnsi="Times New Roman" w:cs="Times New Roman"/>
        </w:rPr>
      </w:pPr>
      <w:r>
        <w:rPr>
          <w:rFonts w:ascii="Times New Roman" w:hAnsi="Times New Roman" w:cs="Times New Roman"/>
        </w:rPr>
        <w:lastRenderedPageBreak/>
        <w:t>Ora, s</w:t>
      </w:r>
      <w:r w:rsidR="006B3891">
        <w:rPr>
          <w:rFonts w:ascii="Times New Roman" w:hAnsi="Times New Roman" w:cs="Times New Roman"/>
        </w:rPr>
        <w:t xml:space="preserve">abemos que existe o respaldo legal para </w:t>
      </w:r>
      <w:r w:rsidR="006B3891" w:rsidRPr="006B3891">
        <w:rPr>
          <w:rFonts w:ascii="Times New Roman" w:hAnsi="Times New Roman" w:cs="Times New Roman"/>
        </w:rPr>
        <w:t xml:space="preserve">o credor anotar o nome do devedor, mas </w:t>
      </w:r>
      <w:r w:rsidR="006B3891">
        <w:rPr>
          <w:rFonts w:ascii="Times New Roman" w:hAnsi="Times New Roman" w:cs="Times New Roman"/>
        </w:rPr>
        <w:t xml:space="preserve">o que continua obscuro é o </w:t>
      </w:r>
      <w:r w:rsidR="006B3891" w:rsidRPr="006B3891">
        <w:rPr>
          <w:rFonts w:ascii="Times New Roman" w:hAnsi="Times New Roman" w:cs="Times New Roman"/>
        </w:rPr>
        <w:t xml:space="preserve">momento </w:t>
      </w:r>
      <w:r w:rsidR="006B3891">
        <w:rPr>
          <w:rFonts w:ascii="Times New Roman" w:hAnsi="Times New Roman" w:cs="Times New Roman"/>
        </w:rPr>
        <w:t xml:space="preserve">exato em que </w:t>
      </w:r>
      <w:r w:rsidR="006B3891" w:rsidRPr="006B3891">
        <w:rPr>
          <w:rFonts w:ascii="Times New Roman" w:hAnsi="Times New Roman" w:cs="Times New Roman"/>
        </w:rPr>
        <w:t>aquele pode assim proceder - se basta a simples suspeita da mora ou se somente após o equacionamento judicial da questão.</w:t>
      </w:r>
    </w:p>
    <w:p w:rsidR="00193D53" w:rsidRPr="00FC20CE" w:rsidRDefault="006B3891" w:rsidP="006B3891">
      <w:pPr>
        <w:pStyle w:val="PargrafodaLista"/>
        <w:tabs>
          <w:tab w:val="left" w:pos="284"/>
        </w:tabs>
        <w:ind w:left="0" w:firstLine="1134"/>
        <w:jc w:val="both"/>
        <w:rPr>
          <w:rFonts w:ascii="Times New Roman" w:hAnsi="Times New Roman" w:cs="Times New Roman"/>
          <w:color w:val="000000" w:themeColor="text1"/>
        </w:rPr>
      </w:pPr>
      <w:r w:rsidRPr="00FC20CE">
        <w:rPr>
          <w:rFonts w:ascii="Times New Roman" w:hAnsi="Times New Roman" w:cs="Times New Roman"/>
          <w:iCs/>
          <w:color w:val="000000" w:themeColor="text1"/>
        </w:rPr>
        <w:t xml:space="preserve">De acordo com </w:t>
      </w:r>
      <w:r w:rsidR="00AE5287" w:rsidRPr="00FC20CE">
        <w:rPr>
          <w:rFonts w:ascii="Times New Roman" w:hAnsi="Times New Roman" w:cs="Times New Roman"/>
          <w:iCs/>
          <w:color w:val="000000" w:themeColor="text1"/>
        </w:rPr>
        <w:t>Borges</w:t>
      </w:r>
      <w:r w:rsidR="00917AD1" w:rsidRPr="00FC20CE">
        <w:rPr>
          <w:rFonts w:ascii="Times New Roman" w:hAnsi="Times New Roman" w:cs="Times New Roman"/>
          <w:iCs/>
          <w:color w:val="000000" w:themeColor="text1"/>
        </w:rPr>
        <w:t>, p</w:t>
      </w:r>
      <w:r w:rsidR="007766E1" w:rsidRPr="00FC20CE">
        <w:rPr>
          <w:rFonts w:ascii="Times New Roman" w:hAnsi="Times New Roman" w:cs="Times New Roman"/>
          <w:color w:val="000000" w:themeColor="text1"/>
        </w:rPr>
        <w:t>ara efetuar a inscrição nos bancos de dados, são exigidos, em geral, a qualificação do devedor, o valor da dívida, a data de vencimento, o número do contrato, a identificação do fornecedor e a data de registro. As entidades de proteção ao crédito costumam estabelecer normas internas que exigem o transcurso de determinado prazo após o termo de vencimento da obrigação para aceitar o registro.</w:t>
      </w:r>
    </w:p>
    <w:p w:rsidR="00B45726" w:rsidRPr="0076710D" w:rsidRDefault="00B45726" w:rsidP="00B45726">
      <w:pPr>
        <w:pStyle w:val="PargrafodaLista"/>
        <w:tabs>
          <w:tab w:val="left" w:pos="284"/>
        </w:tabs>
        <w:ind w:left="0"/>
        <w:rPr>
          <w:rFonts w:ascii="Times New Roman" w:hAnsi="Times New Roman" w:cs="Times New Roman"/>
          <w:color w:val="FF0000"/>
        </w:rPr>
      </w:pPr>
    </w:p>
    <w:p w:rsidR="00B45726" w:rsidRPr="005E0DB8" w:rsidRDefault="008C6E63" w:rsidP="00B45726">
      <w:pPr>
        <w:pStyle w:val="PargrafodaLista"/>
        <w:tabs>
          <w:tab w:val="left" w:pos="284"/>
        </w:tabs>
        <w:ind w:left="0"/>
        <w:rPr>
          <w:rFonts w:ascii="Times New Roman" w:hAnsi="Times New Roman" w:cs="Times New Roman"/>
          <w:b/>
        </w:rPr>
      </w:pPr>
      <w:proofErr w:type="gramStart"/>
      <w:r w:rsidRPr="005E0DB8">
        <w:rPr>
          <w:rFonts w:ascii="Times New Roman" w:hAnsi="Times New Roman" w:cs="Times New Roman"/>
          <w:b/>
        </w:rPr>
        <w:t>2</w:t>
      </w:r>
      <w:r w:rsidR="00B45726" w:rsidRPr="005E0DB8">
        <w:rPr>
          <w:rFonts w:ascii="Times New Roman" w:hAnsi="Times New Roman" w:cs="Times New Roman"/>
          <w:b/>
        </w:rPr>
        <w:t>.</w:t>
      </w:r>
      <w:r w:rsidR="00052599">
        <w:rPr>
          <w:rFonts w:ascii="Times New Roman" w:hAnsi="Times New Roman" w:cs="Times New Roman"/>
          <w:b/>
        </w:rPr>
        <w:t>3</w:t>
      </w:r>
      <w:r w:rsidR="00B45726" w:rsidRPr="005E0DB8">
        <w:rPr>
          <w:rFonts w:ascii="Times New Roman" w:hAnsi="Times New Roman" w:cs="Times New Roman"/>
          <w:b/>
        </w:rPr>
        <w:t xml:space="preserve"> </w:t>
      </w:r>
      <w:r w:rsidR="00317A70" w:rsidRPr="005E0DB8">
        <w:rPr>
          <w:rFonts w:ascii="Times New Roman" w:hAnsi="Times New Roman" w:cs="Times New Roman"/>
          <w:b/>
        </w:rPr>
        <w:t>Anotaçã</w:t>
      </w:r>
      <w:r w:rsidR="00317A70">
        <w:rPr>
          <w:rFonts w:ascii="Times New Roman" w:hAnsi="Times New Roman" w:cs="Times New Roman"/>
          <w:b/>
        </w:rPr>
        <w:t>o</w:t>
      </w:r>
      <w:proofErr w:type="gramEnd"/>
      <w:r w:rsidR="00317A70">
        <w:rPr>
          <w:rFonts w:ascii="Times New Roman" w:hAnsi="Times New Roman" w:cs="Times New Roman"/>
          <w:b/>
        </w:rPr>
        <w:t xml:space="preserve"> Indevida e suas Consequências</w:t>
      </w:r>
    </w:p>
    <w:p w:rsidR="001162DA" w:rsidRDefault="001162DA" w:rsidP="001162DA">
      <w:pPr>
        <w:pStyle w:val="PargrafodaLista"/>
        <w:tabs>
          <w:tab w:val="left" w:pos="284"/>
        </w:tabs>
        <w:ind w:left="0" w:firstLine="1134"/>
        <w:jc w:val="both"/>
        <w:rPr>
          <w:rFonts w:ascii="Times New Roman" w:hAnsi="Times New Roman" w:cs="Times New Roman"/>
        </w:rPr>
      </w:pPr>
      <w:r>
        <w:rPr>
          <w:rFonts w:ascii="Times New Roman" w:hAnsi="Times New Roman" w:cs="Times New Roman"/>
        </w:rPr>
        <w:t xml:space="preserve">Ter o nome inscrito em </w:t>
      </w:r>
      <w:r w:rsidRPr="001162DA">
        <w:rPr>
          <w:rFonts w:ascii="Times New Roman" w:hAnsi="Times New Roman" w:cs="Times New Roman"/>
        </w:rPr>
        <w:t>bancos d</w:t>
      </w:r>
      <w:r>
        <w:rPr>
          <w:rFonts w:ascii="Times New Roman" w:hAnsi="Times New Roman" w:cs="Times New Roman"/>
        </w:rPr>
        <w:t xml:space="preserve">e dados de restrição ao crédito </w:t>
      </w:r>
      <w:r w:rsidRPr="001162DA">
        <w:rPr>
          <w:rFonts w:ascii="Times New Roman" w:hAnsi="Times New Roman" w:cs="Times New Roman"/>
        </w:rPr>
        <w:t xml:space="preserve">pode causar </w:t>
      </w:r>
      <w:r>
        <w:rPr>
          <w:rFonts w:ascii="Times New Roman" w:hAnsi="Times New Roman" w:cs="Times New Roman"/>
        </w:rPr>
        <w:t xml:space="preserve">muitos transtornos </w:t>
      </w:r>
      <w:r w:rsidRPr="001162DA">
        <w:rPr>
          <w:rFonts w:ascii="Times New Roman" w:hAnsi="Times New Roman" w:cs="Times New Roman"/>
        </w:rPr>
        <w:t xml:space="preserve">na vida comercial de qualquer pessoa. Por </w:t>
      </w:r>
      <w:r>
        <w:rPr>
          <w:rFonts w:ascii="Times New Roman" w:hAnsi="Times New Roman" w:cs="Times New Roman"/>
        </w:rPr>
        <w:t>esse motivo</w:t>
      </w:r>
      <w:r w:rsidRPr="001162DA">
        <w:rPr>
          <w:rFonts w:ascii="Times New Roman" w:hAnsi="Times New Roman" w:cs="Times New Roman"/>
        </w:rPr>
        <w:t xml:space="preserve">, ao encaminhar os dados de qualquer pessoa para restrição </w:t>
      </w:r>
      <w:r>
        <w:rPr>
          <w:rFonts w:ascii="Times New Roman" w:hAnsi="Times New Roman" w:cs="Times New Roman"/>
        </w:rPr>
        <w:t>de crédito</w:t>
      </w:r>
      <w:r w:rsidRPr="001162DA">
        <w:rPr>
          <w:rFonts w:ascii="Times New Roman" w:hAnsi="Times New Roman" w:cs="Times New Roman"/>
        </w:rPr>
        <w:t xml:space="preserve">, deve-se ter o cuidado </w:t>
      </w:r>
      <w:r>
        <w:rPr>
          <w:rFonts w:ascii="Times New Roman" w:hAnsi="Times New Roman" w:cs="Times New Roman"/>
        </w:rPr>
        <w:t xml:space="preserve">de anotar o </w:t>
      </w:r>
      <w:r w:rsidRPr="001162DA">
        <w:rPr>
          <w:rFonts w:ascii="Times New Roman" w:hAnsi="Times New Roman" w:cs="Times New Roman"/>
        </w:rPr>
        <w:t xml:space="preserve">CPF do devedor no site da Receita Federal, </w:t>
      </w:r>
      <w:r>
        <w:rPr>
          <w:rFonts w:ascii="Times New Roman" w:hAnsi="Times New Roman" w:cs="Times New Roman"/>
        </w:rPr>
        <w:t>corroborando os dados do verdadeiro devedor. Todavia, não é raro o</w:t>
      </w:r>
      <w:r w:rsidRPr="001162DA">
        <w:rPr>
          <w:rFonts w:ascii="Times New Roman" w:hAnsi="Times New Roman" w:cs="Times New Roman"/>
        </w:rPr>
        <w:t xml:space="preserve"> cad</w:t>
      </w:r>
      <w:r>
        <w:rPr>
          <w:rFonts w:ascii="Times New Roman" w:hAnsi="Times New Roman" w:cs="Times New Roman"/>
        </w:rPr>
        <w:t>astramento equivocado d</w:t>
      </w:r>
      <w:r w:rsidR="00047362">
        <w:rPr>
          <w:rFonts w:ascii="Times New Roman" w:hAnsi="Times New Roman" w:cs="Times New Roman"/>
        </w:rPr>
        <w:t>e dados</w:t>
      </w:r>
      <w:r w:rsidRPr="001162DA">
        <w:rPr>
          <w:rFonts w:ascii="Times New Roman" w:hAnsi="Times New Roman" w:cs="Times New Roman"/>
        </w:rPr>
        <w:t xml:space="preserve">, </w:t>
      </w:r>
      <w:r>
        <w:rPr>
          <w:rFonts w:ascii="Times New Roman" w:hAnsi="Times New Roman" w:cs="Times New Roman"/>
        </w:rPr>
        <w:t>causando o registro indevido.</w:t>
      </w:r>
    </w:p>
    <w:p w:rsidR="002E65DF" w:rsidRDefault="002E65DF" w:rsidP="002E65DF">
      <w:pPr>
        <w:pStyle w:val="PargrafodaLista"/>
        <w:tabs>
          <w:tab w:val="left" w:pos="284"/>
        </w:tabs>
        <w:ind w:left="0" w:firstLine="1134"/>
        <w:jc w:val="both"/>
        <w:rPr>
          <w:rFonts w:ascii="Times New Roman" w:hAnsi="Times New Roman" w:cs="Times New Roman"/>
        </w:rPr>
      </w:pPr>
      <w:r>
        <w:rPr>
          <w:rFonts w:ascii="Times New Roman" w:hAnsi="Times New Roman" w:cs="Times New Roman"/>
        </w:rPr>
        <w:t xml:space="preserve">Uma das principais </w:t>
      </w:r>
      <w:r w:rsidR="00047362">
        <w:rPr>
          <w:rFonts w:ascii="Times New Roman" w:hAnsi="Times New Roman" w:cs="Times New Roman"/>
        </w:rPr>
        <w:t>causa</w:t>
      </w:r>
      <w:r>
        <w:rPr>
          <w:rFonts w:ascii="Times New Roman" w:hAnsi="Times New Roman" w:cs="Times New Roman"/>
        </w:rPr>
        <w:t>s</w:t>
      </w:r>
      <w:r w:rsidR="00047362">
        <w:rPr>
          <w:rFonts w:ascii="Times New Roman" w:hAnsi="Times New Roman" w:cs="Times New Roman"/>
        </w:rPr>
        <w:t xml:space="preserve"> de </w:t>
      </w:r>
      <w:r w:rsidR="00B66C3B">
        <w:rPr>
          <w:rFonts w:ascii="Times New Roman" w:hAnsi="Times New Roman" w:cs="Times New Roman"/>
        </w:rPr>
        <w:t>registro indevido</w:t>
      </w:r>
      <w:r w:rsidR="0076710D">
        <w:rPr>
          <w:rFonts w:ascii="Times New Roman" w:hAnsi="Times New Roman" w:cs="Times New Roman"/>
        </w:rPr>
        <w:t xml:space="preserve"> deve-se</w:t>
      </w:r>
      <w:r w:rsidR="00047362" w:rsidRPr="002E65DF">
        <w:rPr>
          <w:rFonts w:ascii="Times New Roman" w:hAnsi="Times New Roman" w:cs="Times New Roman"/>
        </w:rPr>
        <w:t xml:space="preserve"> </w:t>
      </w:r>
      <w:r w:rsidR="00B66C3B" w:rsidRPr="002E65DF">
        <w:rPr>
          <w:rFonts w:ascii="Times New Roman" w:hAnsi="Times New Roman" w:cs="Times New Roman"/>
        </w:rPr>
        <w:t>a não notificação da negativação</w:t>
      </w:r>
      <w:r w:rsidR="00432659">
        <w:rPr>
          <w:rFonts w:ascii="Times New Roman" w:hAnsi="Times New Roman" w:cs="Times New Roman"/>
        </w:rPr>
        <w:t xml:space="preserve">. </w:t>
      </w:r>
      <w:r w:rsidR="00E14312" w:rsidRPr="00E14312">
        <w:rPr>
          <w:rFonts w:ascii="Times New Roman" w:hAnsi="Times New Roman" w:cs="Times New Roman"/>
        </w:rPr>
        <w:t xml:space="preserve">O artigo 43 do Código de Defesa do Consumidor determina </w:t>
      </w:r>
      <w:r w:rsidR="00E14312">
        <w:rPr>
          <w:rFonts w:ascii="Times New Roman" w:hAnsi="Times New Roman" w:cs="Times New Roman"/>
        </w:rPr>
        <w:t>que os</w:t>
      </w:r>
      <w:r w:rsidR="00432659">
        <w:rPr>
          <w:rFonts w:ascii="Times New Roman" w:hAnsi="Times New Roman" w:cs="Times New Roman"/>
        </w:rPr>
        <w:t xml:space="preserve"> </w:t>
      </w:r>
      <w:r w:rsidR="007A748D">
        <w:rPr>
          <w:rFonts w:ascii="Times New Roman" w:hAnsi="Times New Roman" w:cs="Times New Roman"/>
        </w:rPr>
        <w:t xml:space="preserve">órgãos de proteção ao crédito </w:t>
      </w:r>
      <w:r w:rsidR="00DA182F">
        <w:rPr>
          <w:rFonts w:ascii="Times New Roman" w:hAnsi="Times New Roman" w:cs="Times New Roman"/>
        </w:rPr>
        <w:t>tenham</w:t>
      </w:r>
      <w:r w:rsidR="00432659">
        <w:rPr>
          <w:rFonts w:ascii="Times New Roman" w:hAnsi="Times New Roman" w:cs="Times New Roman"/>
        </w:rPr>
        <w:t xml:space="preserve"> a obrigação de comunicar </w:t>
      </w:r>
      <w:r w:rsidR="00DA0AFE" w:rsidRPr="00DA0AFE">
        <w:rPr>
          <w:rFonts w:ascii="Times New Roman" w:hAnsi="Times New Roman" w:cs="Times New Roman"/>
        </w:rPr>
        <w:t>previamente</w:t>
      </w:r>
      <w:r w:rsidR="00DA182F">
        <w:rPr>
          <w:rFonts w:ascii="Times New Roman" w:hAnsi="Times New Roman" w:cs="Times New Roman"/>
        </w:rPr>
        <w:t xml:space="preserve">, pessoalmente ou por escrito, </w:t>
      </w:r>
      <w:r w:rsidR="00432659">
        <w:rPr>
          <w:rFonts w:ascii="Times New Roman" w:hAnsi="Times New Roman" w:cs="Times New Roman"/>
        </w:rPr>
        <w:t xml:space="preserve">ao devedor que seus dados estão sendo encaminhados </w:t>
      </w:r>
      <w:r w:rsidR="00DA0AFE">
        <w:rPr>
          <w:rFonts w:ascii="Times New Roman" w:hAnsi="Times New Roman" w:cs="Times New Roman"/>
        </w:rPr>
        <w:t>ao banco de dados, oportunizando-o</w:t>
      </w:r>
      <w:r w:rsidR="00DA182F">
        <w:rPr>
          <w:rFonts w:ascii="Times New Roman" w:hAnsi="Times New Roman" w:cs="Times New Roman"/>
        </w:rPr>
        <w:t xml:space="preserve"> – num prazo de cinco a dez dias -</w:t>
      </w:r>
      <w:r w:rsidR="00DA0AFE">
        <w:rPr>
          <w:rFonts w:ascii="Times New Roman" w:hAnsi="Times New Roman" w:cs="Times New Roman"/>
        </w:rPr>
        <w:t xml:space="preserve"> caso tenha interesse, solucionar o débito.</w:t>
      </w:r>
    </w:p>
    <w:p w:rsidR="002E65DF" w:rsidRDefault="00DB1666" w:rsidP="002E65DF">
      <w:pPr>
        <w:pStyle w:val="PargrafodaLista"/>
        <w:tabs>
          <w:tab w:val="left" w:pos="284"/>
        </w:tabs>
        <w:ind w:left="0" w:firstLine="1134"/>
        <w:jc w:val="both"/>
        <w:rPr>
          <w:rFonts w:ascii="Times New Roman" w:hAnsi="Times New Roman" w:cs="Times New Roman"/>
        </w:rPr>
      </w:pPr>
      <w:r w:rsidRPr="002E65DF">
        <w:rPr>
          <w:rFonts w:ascii="Times New Roman" w:hAnsi="Times New Roman" w:cs="Times New Roman"/>
        </w:rPr>
        <w:t>A notificação ocorre na seguinte forma: as empresas credoras, ao enviar o cadastro do consumidor para as empresas de restrição ao crédito, devem notificar o consumidor deste ato, vez que o fornecedor está enviando as informações para terceiros.</w:t>
      </w:r>
      <w:r w:rsidR="002E65DF">
        <w:rPr>
          <w:rFonts w:ascii="Times New Roman" w:hAnsi="Times New Roman" w:cs="Times New Roman"/>
        </w:rPr>
        <w:t xml:space="preserve"> </w:t>
      </w:r>
      <w:r w:rsidRPr="002E65DF">
        <w:rPr>
          <w:rFonts w:ascii="Times New Roman" w:hAnsi="Times New Roman" w:cs="Times New Roman"/>
        </w:rPr>
        <w:t>Com o recebimento do cadastro do consumidor pela empresa de proteção de crédito, esta deve notificar previamente o consumidor sobre a abertura de um cadastro em nome daquele.</w:t>
      </w:r>
      <w:r w:rsidR="002E65DF" w:rsidRPr="002E65DF">
        <w:rPr>
          <w:rFonts w:ascii="Times New Roman" w:hAnsi="Times New Roman" w:cs="Times New Roman"/>
        </w:rPr>
        <w:t xml:space="preserve"> </w:t>
      </w:r>
      <w:r w:rsidRPr="002E65DF">
        <w:rPr>
          <w:rFonts w:ascii="Times New Roman" w:hAnsi="Times New Roman" w:cs="Times New Roman"/>
        </w:rPr>
        <w:t>Assim, a notificação é ato solene, formal, comprovador e necessário para a inscrição da restrição em nome do consumidor.</w:t>
      </w:r>
    </w:p>
    <w:p w:rsidR="00DB1666" w:rsidRPr="002E65DF" w:rsidRDefault="00DB1666" w:rsidP="002E65DF">
      <w:pPr>
        <w:pStyle w:val="PargrafodaLista"/>
        <w:tabs>
          <w:tab w:val="left" w:pos="284"/>
        </w:tabs>
        <w:ind w:left="0" w:firstLine="1134"/>
        <w:jc w:val="both"/>
        <w:rPr>
          <w:rFonts w:ascii="Times New Roman" w:hAnsi="Times New Roman" w:cs="Times New Roman"/>
        </w:rPr>
      </w:pPr>
      <w:r w:rsidRPr="002E65DF">
        <w:rPr>
          <w:rFonts w:ascii="Times New Roman" w:hAnsi="Times New Roman" w:cs="Times New Roman"/>
        </w:rPr>
        <w:t>A respeito da inscrição indevida no órgão de proteção ao crédito, ainda há jurisprudência relevante que corrobora o dever de notificar previament</w:t>
      </w:r>
      <w:r w:rsidR="002E65DF">
        <w:rPr>
          <w:rFonts w:ascii="Times New Roman" w:hAnsi="Times New Roman" w:cs="Times New Roman"/>
        </w:rPr>
        <w:t>e os consumidores</w:t>
      </w:r>
      <w:r w:rsidRPr="002E65DF">
        <w:rPr>
          <w:rFonts w:ascii="Times New Roman" w:hAnsi="Times New Roman" w:cs="Times New Roman"/>
        </w:rPr>
        <w:t>:</w:t>
      </w:r>
    </w:p>
    <w:p w:rsidR="002E65DF" w:rsidRPr="00FC20CE" w:rsidRDefault="002E65DF" w:rsidP="002E65DF">
      <w:pPr>
        <w:rPr>
          <w:rFonts w:ascii="Times New Roman" w:hAnsi="Times New Roman" w:cs="Times New Roman"/>
          <w:color w:val="000000" w:themeColor="text1"/>
        </w:rPr>
      </w:pPr>
    </w:p>
    <w:p w:rsidR="002E65DF" w:rsidRPr="00FC20CE" w:rsidRDefault="002E65DF" w:rsidP="00FC20CE">
      <w:pPr>
        <w:spacing w:line="240" w:lineRule="auto"/>
        <w:ind w:left="2268"/>
        <w:jc w:val="both"/>
        <w:rPr>
          <w:rFonts w:ascii="Times New Roman" w:hAnsi="Times New Roman" w:cs="Times New Roman"/>
          <w:color w:val="000000" w:themeColor="text1"/>
          <w:sz w:val="20"/>
          <w:szCs w:val="20"/>
        </w:rPr>
      </w:pPr>
      <w:r w:rsidRPr="00FC20CE">
        <w:rPr>
          <w:rFonts w:ascii="Times New Roman" w:hAnsi="Times New Roman" w:cs="Times New Roman"/>
          <w:color w:val="000000" w:themeColor="text1"/>
          <w:sz w:val="20"/>
          <w:szCs w:val="20"/>
        </w:rPr>
        <w:t>“</w:t>
      </w:r>
      <w:r w:rsidR="00DB1666" w:rsidRPr="00FC20CE">
        <w:rPr>
          <w:rFonts w:ascii="Times New Roman" w:hAnsi="Times New Roman" w:cs="Times New Roman"/>
          <w:color w:val="000000" w:themeColor="text1"/>
          <w:sz w:val="20"/>
          <w:szCs w:val="20"/>
        </w:rPr>
        <w:t xml:space="preserve">RESPONSABILIDADE CIVIL – ILICITUDE DA ABERTURA DE CADASTRO NO SERASA SEM COMUNICAÇÃO AO CONSUMIDOR – RELEVÂNCIA E CABIMENTO DA DEMANDA DE REPARAÇÃO – LIQUIDAÇÃO DO DANO MORAL – Constitui ilícito, imputável à empresa de banco, abrir cadastro no SERASA sem comunicação ao consumidor (art. 43, parágrafo 2º, da Lei 8.078-90). O atentado aos direitos relacionados à personalidade, provocados pela inscrição em </w:t>
      </w:r>
      <w:r w:rsidR="00DB1666" w:rsidRPr="00FC20CE">
        <w:rPr>
          <w:rFonts w:ascii="Times New Roman" w:hAnsi="Times New Roman" w:cs="Times New Roman"/>
          <w:color w:val="000000" w:themeColor="text1"/>
          <w:sz w:val="20"/>
          <w:szCs w:val="20"/>
        </w:rPr>
        <w:lastRenderedPageBreak/>
        <w:t>banco de dados, é mais grave e mais relevante do que a lesão a interesses materiais. A prova de dano moral, que se passa no interior da personalidade, se contenta com a existência do ilícito, segundo precedentes no STJ. Liquidação de dano moral que atenderá ao duplo objetivo de compensar a vítima e afligir, razoavelmente, o autor do dano. O dano moral será arbitrado, na forma do artigo 1553 do CC, pelo órgão judiciário. Valor adequado à forma da liquidação do dano consagrada pelo direito brasileiro</w:t>
      </w:r>
      <w:r w:rsidRPr="00FC20CE">
        <w:rPr>
          <w:rFonts w:ascii="Times New Roman" w:hAnsi="Times New Roman" w:cs="Times New Roman"/>
          <w:color w:val="000000" w:themeColor="text1"/>
          <w:sz w:val="20"/>
          <w:szCs w:val="20"/>
        </w:rPr>
        <w:t>”</w:t>
      </w:r>
      <w:r w:rsidR="00DB1666" w:rsidRPr="00FC20CE">
        <w:rPr>
          <w:rFonts w:ascii="Times New Roman" w:hAnsi="Times New Roman" w:cs="Times New Roman"/>
          <w:color w:val="000000" w:themeColor="text1"/>
          <w:sz w:val="20"/>
          <w:szCs w:val="20"/>
        </w:rPr>
        <w:t xml:space="preserve">. (TJ/RS – AC 597118926 – 5A. C. Civ. – Rel. Des. </w:t>
      </w:r>
      <w:proofErr w:type="spellStart"/>
      <w:r w:rsidR="00DB1666" w:rsidRPr="00FC20CE">
        <w:rPr>
          <w:rFonts w:ascii="Times New Roman" w:hAnsi="Times New Roman" w:cs="Times New Roman"/>
          <w:color w:val="000000" w:themeColor="text1"/>
          <w:sz w:val="20"/>
          <w:szCs w:val="20"/>
        </w:rPr>
        <w:t>Araken</w:t>
      </w:r>
      <w:proofErr w:type="spellEnd"/>
      <w:r w:rsidR="00DB1666" w:rsidRPr="00FC20CE">
        <w:rPr>
          <w:rFonts w:ascii="Times New Roman" w:hAnsi="Times New Roman" w:cs="Times New Roman"/>
          <w:color w:val="000000" w:themeColor="text1"/>
          <w:sz w:val="20"/>
          <w:szCs w:val="20"/>
        </w:rPr>
        <w:t xml:space="preserve"> de Assis – D.J. 07.08.1997)</w:t>
      </w:r>
      <w:proofErr w:type="gramStart"/>
      <w:r w:rsidR="00DB1666" w:rsidRPr="00FC20CE">
        <w:rPr>
          <w:rFonts w:ascii="Times New Roman" w:hAnsi="Times New Roman" w:cs="Times New Roman"/>
          <w:color w:val="000000" w:themeColor="text1"/>
          <w:sz w:val="20"/>
          <w:szCs w:val="20"/>
        </w:rPr>
        <w:t>4</w:t>
      </w:r>
      <w:proofErr w:type="gramEnd"/>
      <w:r w:rsidRPr="00FC20CE">
        <w:rPr>
          <w:rFonts w:ascii="Times New Roman" w:hAnsi="Times New Roman" w:cs="Times New Roman"/>
          <w:color w:val="000000" w:themeColor="text1"/>
          <w:sz w:val="20"/>
          <w:szCs w:val="20"/>
        </w:rPr>
        <w:t>.</w:t>
      </w:r>
    </w:p>
    <w:p w:rsidR="002E65DF" w:rsidRPr="002E65DF" w:rsidRDefault="002E65DF" w:rsidP="002E65DF">
      <w:pPr>
        <w:jc w:val="both"/>
        <w:rPr>
          <w:rFonts w:ascii="Times New Roman" w:hAnsi="Times New Roman" w:cs="Times New Roman"/>
        </w:rPr>
      </w:pPr>
    </w:p>
    <w:p w:rsidR="005F229A" w:rsidRPr="008D7D1A" w:rsidRDefault="00DA0AFE" w:rsidP="008D7D1A">
      <w:pPr>
        <w:pStyle w:val="PargrafodaLista"/>
        <w:tabs>
          <w:tab w:val="left" w:pos="284"/>
        </w:tabs>
        <w:ind w:left="0" w:firstLine="1134"/>
        <w:jc w:val="both"/>
        <w:rPr>
          <w:rFonts w:ascii="Times New Roman" w:hAnsi="Times New Roman" w:cs="Times New Roman"/>
        </w:rPr>
      </w:pPr>
      <w:r>
        <w:rPr>
          <w:rFonts w:ascii="Times New Roman" w:hAnsi="Times New Roman" w:cs="Times New Roman"/>
        </w:rPr>
        <w:t xml:space="preserve">Outro fator de negativação irregular ocorre, principalmente, pela </w:t>
      </w:r>
      <w:r w:rsidRPr="002E65DF">
        <w:rPr>
          <w:rFonts w:ascii="Times New Roman" w:hAnsi="Times New Roman" w:cs="Times New Roman"/>
        </w:rPr>
        <w:t>negligência ao efetuar a baixa nos valores pagos pelo devedor</w:t>
      </w:r>
      <w:r w:rsidR="00E14312">
        <w:rPr>
          <w:rFonts w:ascii="Times New Roman" w:hAnsi="Times New Roman" w:cs="Times New Roman"/>
        </w:rPr>
        <w:t xml:space="preserve">, resultando na inserção do nome do consumidor nos bancos de dados de inadimplentes. </w:t>
      </w:r>
      <w:r w:rsidR="00DA182F" w:rsidRPr="00DA182F">
        <w:rPr>
          <w:rFonts w:ascii="Times New Roman" w:hAnsi="Times New Roman" w:cs="Times New Roman"/>
        </w:rPr>
        <w:t xml:space="preserve">Depois de quitada a dívida, o </w:t>
      </w:r>
      <w:r w:rsidR="00DA182F">
        <w:rPr>
          <w:rFonts w:ascii="Times New Roman" w:hAnsi="Times New Roman" w:cs="Times New Roman"/>
        </w:rPr>
        <w:t xml:space="preserve">credor </w:t>
      </w:r>
      <w:r w:rsidR="00DA182F" w:rsidRPr="00DA182F">
        <w:rPr>
          <w:rFonts w:ascii="Times New Roman" w:hAnsi="Times New Roman" w:cs="Times New Roman"/>
        </w:rPr>
        <w:t xml:space="preserve">tem prazo de cinco dias para limpar o nome do cliente. </w:t>
      </w:r>
      <w:r w:rsidR="00E14312">
        <w:rPr>
          <w:rFonts w:ascii="Times New Roman" w:hAnsi="Times New Roman" w:cs="Times New Roman"/>
        </w:rPr>
        <w:t xml:space="preserve">Não sendo </w:t>
      </w:r>
      <w:r w:rsidR="00E14312" w:rsidRPr="00E14312">
        <w:rPr>
          <w:rFonts w:ascii="Times New Roman" w:hAnsi="Times New Roman" w:cs="Times New Roman"/>
        </w:rPr>
        <w:t>inadimplente, o consumidor nem sabe que seu nome está negativado, gerando, muitas vezes, constrangimentos à pessoa do c</w:t>
      </w:r>
      <w:r w:rsidR="00E14312">
        <w:rPr>
          <w:rFonts w:ascii="Times New Roman" w:hAnsi="Times New Roman" w:cs="Times New Roman"/>
        </w:rPr>
        <w:t>onsumidor, pois passa por um mau</w:t>
      </w:r>
      <w:r w:rsidR="00E14312" w:rsidRPr="00E14312">
        <w:rPr>
          <w:rFonts w:ascii="Times New Roman" w:hAnsi="Times New Roman" w:cs="Times New Roman"/>
        </w:rPr>
        <w:t xml:space="preserve"> pagador.</w:t>
      </w:r>
    </w:p>
    <w:p w:rsidR="00F47B94" w:rsidRDefault="005F229A" w:rsidP="008D7D1A">
      <w:pPr>
        <w:pStyle w:val="PargrafodaLista"/>
        <w:tabs>
          <w:tab w:val="left" w:pos="284"/>
        </w:tabs>
        <w:ind w:left="0" w:firstLine="1134"/>
        <w:jc w:val="both"/>
        <w:rPr>
          <w:rFonts w:ascii="Times New Roman" w:hAnsi="Times New Roman" w:cs="Times New Roman"/>
        </w:rPr>
      </w:pPr>
      <w:r>
        <w:rPr>
          <w:rFonts w:ascii="Times New Roman" w:hAnsi="Times New Roman" w:cs="Times New Roman"/>
        </w:rPr>
        <w:t>O acórdão do Tribunal de Justiça do Rio de Janeiro, d</w:t>
      </w:r>
      <w:r w:rsidR="008D7D1A">
        <w:rPr>
          <w:rFonts w:ascii="Times New Roman" w:hAnsi="Times New Roman" w:cs="Times New Roman"/>
        </w:rPr>
        <w:t>iscorrendo sobre o tema, afirmou</w:t>
      </w:r>
      <w:r>
        <w:rPr>
          <w:rFonts w:ascii="Times New Roman" w:hAnsi="Times New Roman" w:cs="Times New Roman"/>
        </w:rPr>
        <w:t>:</w:t>
      </w:r>
    </w:p>
    <w:p w:rsidR="005F229A" w:rsidRPr="00FC20CE" w:rsidRDefault="00F47B94" w:rsidP="00FC20CE">
      <w:pPr>
        <w:pStyle w:val="PargrafodaLista"/>
        <w:tabs>
          <w:tab w:val="left" w:pos="284"/>
        </w:tabs>
        <w:spacing w:line="240" w:lineRule="auto"/>
        <w:ind w:left="2268"/>
        <w:jc w:val="both"/>
        <w:rPr>
          <w:rFonts w:ascii="Times New Roman" w:hAnsi="Times New Roman" w:cs="Times New Roman"/>
          <w:i/>
          <w:color w:val="000000" w:themeColor="text1"/>
          <w:sz w:val="20"/>
          <w:szCs w:val="20"/>
        </w:rPr>
      </w:pPr>
      <w:r w:rsidRPr="00FC20CE">
        <w:rPr>
          <w:rFonts w:ascii="Times New Roman" w:hAnsi="Times New Roman" w:cs="Times New Roman"/>
          <w:i/>
          <w:color w:val="000000" w:themeColor="text1"/>
          <w:sz w:val="20"/>
          <w:szCs w:val="20"/>
        </w:rPr>
        <w:t>“RESPONSABILIDADE CIVIL. RELAÇÃO DE CONSUMO. RESPONSABILIDADE OBJETIVA. REGISTRO DE PROTEÇÃO AO CRÉDITO. NEGATIVAÇÃO DO NOME DO CONSUMIDOR. DANO MORAL</w:t>
      </w:r>
      <w:r w:rsidR="004949EF" w:rsidRPr="00FC20CE">
        <w:rPr>
          <w:rFonts w:ascii="Times New Roman" w:hAnsi="Times New Roman" w:cs="Times New Roman"/>
          <w:i/>
          <w:color w:val="000000" w:themeColor="text1"/>
          <w:sz w:val="20"/>
          <w:szCs w:val="20"/>
        </w:rPr>
        <w:t xml:space="preserve">. </w:t>
      </w:r>
      <w:r w:rsidRPr="00FC20CE">
        <w:rPr>
          <w:rFonts w:ascii="Times New Roman" w:hAnsi="Times New Roman" w:cs="Times New Roman"/>
          <w:i/>
          <w:color w:val="000000" w:themeColor="text1"/>
          <w:sz w:val="20"/>
          <w:szCs w:val="20"/>
        </w:rPr>
        <w:t xml:space="preserve">Deixando o consumidor de ser inadimplente, cumpre ao credor tomar todas as providencias necessárias para permitir a baixa desse registro. Assim não procedendo, acaba por manter ilicitamente o nome do consumidor negativado, o que constitui, por si só, dano moral, a ser devidamente reparado”. </w:t>
      </w:r>
    </w:p>
    <w:p w:rsidR="008D7D1A" w:rsidRPr="00FC20CE" w:rsidRDefault="00F47B94" w:rsidP="00FC20CE">
      <w:pPr>
        <w:pStyle w:val="PargrafodaLista"/>
        <w:tabs>
          <w:tab w:val="left" w:pos="284"/>
        </w:tabs>
        <w:spacing w:line="240" w:lineRule="auto"/>
        <w:ind w:left="2268"/>
        <w:jc w:val="both"/>
        <w:rPr>
          <w:rFonts w:ascii="Times New Roman" w:hAnsi="Times New Roman" w:cs="Times New Roman"/>
          <w:color w:val="000000" w:themeColor="text1"/>
          <w:sz w:val="20"/>
          <w:szCs w:val="20"/>
        </w:rPr>
      </w:pPr>
      <w:r w:rsidRPr="00FC20CE">
        <w:rPr>
          <w:rFonts w:ascii="Times New Roman" w:hAnsi="Times New Roman" w:cs="Times New Roman"/>
          <w:color w:val="000000" w:themeColor="text1"/>
          <w:sz w:val="20"/>
          <w:szCs w:val="20"/>
        </w:rPr>
        <w:t xml:space="preserve">(TJRJ, Ap. </w:t>
      </w:r>
      <w:r w:rsidR="00972F97" w:rsidRPr="00FC20CE">
        <w:rPr>
          <w:rFonts w:ascii="Times New Roman" w:hAnsi="Times New Roman" w:cs="Times New Roman"/>
          <w:color w:val="000000" w:themeColor="text1"/>
          <w:sz w:val="20"/>
          <w:szCs w:val="20"/>
        </w:rPr>
        <w:t>Cível</w:t>
      </w:r>
      <w:r w:rsidRPr="00FC20CE">
        <w:rPr>
          <w:rFonts w:ascii="Times New Roman" w:hAnsi="Times New Roman" w:cs="Times New Roman"/>
          <w:color w:val="000000" w:themeColor="text1"/>
          <w:sz w:val="20"/>
          <w:szCs w:val="20"/>
        </w:rPr>
        <w:t xml:space="preserve"> n. 2002.001.22821, Décima Terceira Câmara Cível, Des. </w:t>
      </w:r>
      <w:proofErr w:type="spellStart"/>
      <w:r w:rsidRPr="00FC20CE">
        <w:rPr>
          <w:rFonts w:ascii="Times New Roman" w:hAnsi="Times New Roman" w:cs="Times New Roman"/>
          <w:color w:val="000000" w:themeColor="text1"/>
          <w:sz w:val="20"/>
          <w:szCs w:val="20"/>
        </w:rPr>
        <w:t>Nametala</w:t>
      </w:r>
      <w:proofErr w:type="spellEnd"/>
      <w:r w:rsidRPr="00FC20CE">
        <w:rPr>
          <w:rFonts w:ascii="Times New Roman" w:hAnsi="Times New Roman" w:cs="Times New Roman"/>
          <w:color w:val="000000" w:themeColor="text1"/>
          <w:sz w:val="20"/>
          <w:szCs w:val="20"/>
        </w:rPr>
        <w:t xml:space="preserve"> Machado Jorge, j. em 30-10-2002).</w:t>
      </w:r>
    </w:p>
    <w:p w:rsidR="005A4F8A" w:rsidRDefault="005A4F8A" w:rsidP="00F47B94">
      <w:pPr>
        <w:pStyle w:val="PargrafodaLista"/>
        <w:tabs>
          <w:tab w:val="left" w:pos="284"/>
        </w:tabs>
        <w:ind w:left="0"/>
        <w:jc w:val="both"/>
        <w:rPr>
          <w:rFonts w:ascii="Times New Roman" w:hAnsi="Times New Roman" w:cs="Times New Roman"/>
        </w:rPr>
      </w:pPr>
    </w:p>
    <w:p w:rsidR="002E65DF" w:rsidRPr="002E65DF" w:rsidRDefault="002E65DF" w:rsidP="002E65DF">
      <w:pPr>
        <w:pStyle w:val="PargrafodaLista"/>
        <w:tabs>
          <w:tab w:val="left" w:pos="284"/>
        </w:tabs>
        <w:ind w:left="0" w:firstLine="1134"/>
        <w:jc w:val="both"/>
        <w:rPr>
          <w:rFonts w:ascii="Times New Roman" w:hAnsi="Times New Roman" w:cs="Times New Roman"/>
        </w:rPr>
      </w:pPr>
      <w:r w:rsidRPr="002E65DF">
        <w:rPr>
          <w:rFonts w:ascii="Times New Roman" w:hAnsi="Times New Roman" w:cs="Times New Roman"/>
        </w:rPr>
        <w:t xml:space="preserve">Fato é que nossa legislação protege o consumidor que, indevidamente, vê atribuída a si a condição de mau pagador. Inexistindo o débito que deu origem à anotação indevida, ele pode ingressar com ação judicial, formulando pedido de declaração de inexistência da dívida. Muitas vezes, o consumidor não terá condições de efetuar a prova de que o débito inexiste, o que, </w:t>
      </w:r>
      <w:proofErr w:type="gramStart"/>
      <w:r w:rsidRPr="002E65DF">
        <w:rPr>
          <w:rFonts w:ascii="Times New Roman" w:hAnsi="Times New Roman" w:cs="Times New Roman"/>
        </w:rPr>
        <w:t>via de regra</w:t>
      </w:r>
      <w:proofErr w:type="gramEnd"/>
      <w:r w:rsidRPr="002E65DF">
        <w:rPr>
          <w:rFonts w:ascii="Times New Roman" w:hAnsi="Times New Roman" w:cs="Times New Roman"/>
        </w:rPr>
        <w:t>, não o prejudicará em razão da possibilidade da chamada inversão do ônus da prova.</w:t>
      </w:r>
    </w:p>
    <w:p w:rsidR="002E65DF" w:rsidRDefault="002E65DF" w:rsidP="002E65DF">
      <w:pPr>
        <w:pStyle w:val="PargrafodaLista"/>
        <w:tabs>
          <w:tab w:val="left" w:pos="284"/>
        </w:tabs>
        <w:ind w:left="0" w:firstLine="1134"/>
        <w:jc w:val="both"/>
        <w:rPr>
          <w:rFonts w:ascii="Times New Roman" w:hAnsi="Times New Roman" w:cs="Times New Roman"/>
        </w:rPr>
      </w:pPr>
      <w:r w:rsidRPr="002E65DF">
        <w:rPr>
          <w:rFonts w:ascii="Times New Roman" w:hAnsi="Times New Roman" w:cs="Times New Roman"/>
        </w:rPr>
        <w:t>É pertinente esclarecer que a ação deverá ser instruída com documento que comprove a negativação, por exemplo, a certidão fornecida pelo cadastro de restrição ao crédito. Além disso, na esfera judicial é possível pleitear a concessão de uma liminar visando à imediata exclusão do nome do consumidor dos cadastros. Caso essa medida seja deferida, a exclusão será provisória, podendo ser ou não confirmada ao final.</w:t>
      </w:r>
    </w:p>
    <w:p w:rsidR="006F0E0E" w:rsidRDefault="00D27179" w:rsidP="006F0E0E">
      <w:pPr>
        <w:pStyle w:val="PargrafodaLista"/>
        <w:tabs>
          <w:tab w:val="left" w:pos="284"/>
        </w:tabs>
        <w:ind w:left="0" w:firstLine="1134"/>
        <w:jc w:val="both"/>
        <w:rPr>
          <w:rFonts w:ascii="Times New Roman" w:hAnsi="Times New Roman" w:cs="Times New Roman"/>
          <w:szCs w:val="24"/>
        </w:rPr>
      </w:pPr>
      <w:r>
        <w:rPr>
          <w:rFonts w:ascii="Times New Roman" w:hAnsi="Times New Roman" w:cs="Times New Roman"/>
        </w:rPr>
        <w:t xml:space="preserve">Outra forma de negativação comum são as </w:t>
      </w:r>
      <w:r w:rsidR="00B24405" w:rsidRPr="006F0E0E">
        <w:rPr>
          <w:rFonts w:ascii="Times New Roman" w:hAnsi="Times New Roman" w:cs="Times New Roman"/>
        </w:rPr>
        <w:t>vítimas de fraude documental, onde estelionatários utilizam os dados de pessoas honestas em documentos falsos ou utilizam documentos roubados ou furtados.</w:t>
      </w:r>
      <w:r w:rsidR="006F0E0E">
        <w:rPr>
          <w:rFonts w:ascii="Times New Roman" w:hAnsi="Times New Roman" w:cs="Times New Roman"/>
        </w:rPr>
        <w:t xml:space="preserve"> </w:t>
      </w:r>
      <w:r w:rsidR="00B24405" w:rsidRPr="006F0E0E">
        <w:rPr>
          <w:rFonts w:ascii="Times New Roman" w:hAnsi="Times New Roman" w:cs="Times New Roman"/>
          <w:szCs w:val="24"/>
        </w:rPr>
        <w:t xml:space="preserve">Em caso de perda, roubo ou furto de documentos deve ser </w:t>
      </w:r>
      <w:r w:rsidR="00B24405" w:rsidRPr="006F0E0E">
        <w:rPr>
          <w:rFonts w:ascii="Times New Roman" w:hAnsi="Times New Roman" w:cs="Times New Roman"/>
          <w:szCs w:val="24"/>
        </w:rPr>
        <w:lastRenderedPageBreak/>
        <w:t xml:space="preserve">feito um Boletim de Ocorrência imediatamente e após levar cópia do </w:t>
      </w:r>
      <w:proofErr w:type="gramStart"/>
      <w:r w:rsidR="00B24405" w:rsidRPr="006F0E0E">
        <w:rPr>
          <w:rFonts w:ascii="Times New Roman" w:hAnsi="Times New Roman" w:cs="Times New Roman"/>
          <w:szCs w:val="24"/>
        </w:rPr>
        <w:t>mesmo perante os órgãos de proteção ao crédito SPC, SERASA</w:t>
      </w:r>
      <w:proofErr w:type="gramEnd"/>
      <w:r w:rsidR="00B24405" w:rsidRPr="006F0E0E">
        <w:rPr>
          <w:rFonts w:ascii="Times New Roman" w:hAnsi="Times New Roman" w:cs="Times New Roman"/>
          <w:szCs w:val="24"/>
        </w:rPr>
        <w:t>,  etc.</w:t>
      </w:r>
    </w:p>
    <w:p w:rsidR="006F0E0E" w:rsidRDefault="00B24405" w:rsidP="006F0E0E">
      <w:pPr>
        <w:pStyle w:val="PargrafodaLista"/>
        <w:tabs>
          <w:tab w:val="left" w:pos="284"/>
        </w:tabs>
        <w:ind w:left="0" w:firstLine="1134"/>
        <w:jc w:val="both"/>
        <w:rPr>
          <w:rFonts w:ascii="Times New Roman" w:hAnsi="Times New Roman" w:cs="Times New Roman"/>
          <w:szCs w:val="24"/>
        </w:rPr>
      </w:pPr>
      <w:r w:rsidRPr="006F0E0E">
        <w:rPr>
          <w:rFonts w:ascii="Times New Roman" w:hAnsi="Times New Roman" w:cs="Times New Roman"/>
          <w:szCs w:val="24"/>
        </w:rPr>
        <w:t>Estes estelionatários utilizam os documentos falsificados para abrir conta corrente, emitir cheques a fazer financiamentos fraudulentos em nome de pessoas de boa fé perante as instituições financeiras e bancos.</w:t>
      </w:r>
      <w:r w:rsidR="006F0E0E">
        <w:rPr>
          <w:rFonts w:ascii="Times New Roman" w:hAnsi="Times New Roman" w:cs="Times New Roman"/>
          <w:szCs w:val="24"/>
        </w:rPr>
        <w:t xml:space="preserve"> </w:t>
      </w:r>
      <w:r w:rsidRPr="006F0E0E">
        <w:rPr>
          <w:rFonts w:ascii="Times New Roman" w:hAnsi="Times New Roman" w:cs="Times New Roman"/>
          <w:szCs w:val="24"/>
        </w:rPr>
        <w:t xml:space="preserve">Fazem também compras em diversas lojas no comércio sejam elas </w:t>
      </w:r>
      <w:proofErr w:type="gramStart"/>
      <w:r w:rsidRPr="006F0E0E">
        <w:rPr>
          <w:rFonts w:ascii="Times New Roman" w:hAnsi="Times New Roman" w:cs="Times New Roman"/>
          <w:szCs w:val="24"/>
        </w:rPr>
        <w:t>grandes, médias</w:t>
      </w:r>
      <w:proofErr w:type="gramEnd"/>
      <w:r w:rsidRPr="006F0E0E">
        <w:rPr>
          <w:rFonts w:ascii="Times New Roman" w:hAnsi="Times New Roman" w:cs="Times New Roman"/>
          <w:szCs w:val="24"/>
        </w:rPr>
        <w:t xml:space="preserve"> ou pequenas.</w:t>
      </w:r>
      <w:r w:rsidR="006F0E0E">
        <w:rPr>
          <w:rFonts w:ascii="Times New Roman" w:hAnsi="Times New Roman" w:cs="Times New Roman"/>
          <w:szCs w:val="24"/>
        </w:rPr>
        <w:t xml:space="preserve"> </w:t>
      </w:r>
      <w:r w:rsidRPr="006F0E0E">
        <w:rPr>
          <w:rFonts w:ascii="Times New Roman" w:hAnsi="Times New Roman" w:cs="Times New Roman"/>
          <w:szCs w:val="24"/>
        </w:rPr>
        <w:t>É ai que começa o transtorno para a vítima que não sabe que estão fazendo compras, financiamentos e abrindo contas em banco com seu nome inclusive com emissão de cheques.</w:t>
      </w:r>
    </w:p>
    <w:p w:rsidR="006F0E0E" w:rsidRDefault="00B24405" w:rsidP="00F738B3">
      <w:pPr>
        <w:pStyle w:val="PargrafodaLista"/>
        <w:tabs>
          <w:tab w:val="left" w:pos="284"/>
        </w:tabs>
        <w:ind w:left="0" w:firstLine="1134"/>
        <w:jc w:val="both"/>
        <w:rPr>
          <w:rFonts w:ascii="Times New Roman" w:hAnsi="Times New Roman" w:cs="Times New Roman"/>
          <w:szCs w:val="24"/>
        </w:rPr>
      </w:pPr>
      <w:r w:rsidRPr="006F0E0E">
        <w:rPr>
          <w:rFonts w:ascii="Times New Roman" w:hAnsi="Times New Roman" w:cs="Times New Roman"/>
          <w:szCs w:val="24"/>
        </w:rPr>
        <w:t>A</w:t>
      </w:r>
      <w:r w:rsidR="00F738B3">
        <w:rPr>
          <w:rFonts w:ascii="Times New Roman" w:hAnsi="Times New Roman" w:cs="Times New Roman"/>
          <w:szCs w:val="24"/>
        </w:rPr>
        <w:t xml:space="preserve">lgumas </w:t>
      </w:r>
      <w:r w:rsidRPr="006F0E0E">
        <w:rPr>
          <w:rFonts w:ascii="Times New Roman" w:hAnsi="Times New Roman" w:cs="Times New Roman"/>
          <w:szCs w:val="24"/>
        </w:rPr>
        <w:t>financeiras</w:t>
      </w:r>
      <w:r w:rsidR="00F738B3">
        <w:rPr>
          <w:rFonts w:ascii="Times New Roman" w:hAnsi="Times New Roman" w:cs="Times New Roman"/>
          <w:szCs w:val="24"/>
        </w:rPr>
        <w:t>,</w:t>
      </w:r>
      <w:r w:rsidR="00F738B3" w:rsidRPr="00F738B3">
        <w:rPr>
          <w:rFonts w:ascii="Times New Roman" w:hAnsi="Times New Roman" w:cs="Times New Roman"/>
          <w:szCs w:val="24"/>
        </w:rPr>
        <w:t xml:space="preserve"> </w:t>
      </w:r>
      <w:r w:rsidRPr="00F738B3">
        <w:rPr>
          <w:rFonts w:ascii="Times New Roman" w:hAnsi="Times New Roman" w:cs="Times New Roman"/>
          <w:szCs w:val="24"/>
        </w:rPr>
        <w:t>visando apenas o lucro</w:t>
      </w:r>
      <w:r w:rsidR="00F738B3">
        <w:rPr>
          <w:rFonts w:ascii="Times New Roman" w:hAnsi="Times New Roman" w:cs="Times New Roman"/>
          <w:szCs w:val="24"/>
        </w:rPr>
        <w:t xml:space="preserve">, </w:t>
      </w:r>
      <w:r w:rsidRPr="006F0E0E">
        <w:rPr>
          <w:rFonts w:ascii="Times New Roman" w:hAnsi="Times New Roman" w:cs="Times New Roman"/>
          <w:szCs w:val="24"/>
        </w:rPr>
        <w:t>pouco se preocupam em averiguar a veracidade das informações e dos documentos apresentados.</w:t>
      </w:r>
      <w:r w:rsidR="00F738B3">
        <w:rPr>
          <w:rFonts w:ascii="Times New Roman" w:hAnsi="Times New Roman" w:cs="Times New Roman"/>
          <w:szCs w:val="24"/>
        </w:rPr>
        <w:t xml:space="preserve"> Como </w:t>
      </w:r>
      <w:r w:rsidRPr="006F0E0E">
        <w:rPr>
          <w:rFonts w:ascii="Times New Roman" w:hAnsi="Times New Roman" w:cs="Times New Roman"/>
          <w:szCs w:val="24"/>
        </w:rPr>
        <w:t xml:space="preserve">o estelionatário, claro, não vai pagar a dívida, </w:t>
      </w:r>
      <w:r w:rsidR="00F738B3">
        <w:rPr>
          <w:rFonts w:ascii="Times New Roman" w:hAnsi="Times New Roman" w:cs="Times New Roman"/>
          <w:szCs w:val="24"/>
        </w:rPr>
        <w:t xml:space="preserve">a vítima da fraude </w:t>
      </w:r>
      <w:r w:rsidRPr="006F0E0E">
        <w:rPr>
          <w:rFonts w:ascii="Times New Roman" w:hAnsi="Times New Roman" w:cs="Times New Roman"/>
          <w:szCs w:val="24"/>
        </w:rPr>
        <w:t>pagar</w:t>
      </w:r>
      <w:r w:rsidR="00F738B3">
        <w:rPr>
          <w:rFonts w:ascii="Times New Roman" w:hAnsi="Times New Roman" w:cs="Times New Roman"/>
          <w:szCs w:val="24"/>
        </w:rPr>
        <w:t>á</w:t>
      </w:r>
      <w:r w:rsidRPr="006F0E0E">
        <w:rPr>
          <w:rFonts w:ascii="Times New Roman" w:hAnsi="Times New Roman" w:cs="Times New Roman"/>
          <w:szCs w:val="24"/>
        </w:rPr>
        <w:t xml:space="preserve"> </w:t>
      </w:r>
      <w:r w:rsidR="00F738B3">
        <w:rPr>
          <w:rFonts w:ascii="Times New Roman" w:hAnsi="Times New Roman" w:cs="Times New Roman"/>
          <w:szCs w:val="24"/>
        </w:rPr>
        <w:t>a conta</w:t>
      </w:r>
      <w:r w:rsidRPr="006F0E0E">
        <w:rPr>
          <w:rFonts w:ascii="Times New Roman" w:hAnsi="Times New Roman" w:cs="Times New Roman"/>
          <w:szCs w:val="24"/>
        </w:rPr>
        <w:t xml:space="preserve"> ou pelo menos ser</w:t>
      </w:r>
      <w:r w:rsidR="00F738B3">
        <w:rPr>
          <w:rFonts w:ascii="Times New Roman" w:hAnsi="Times New Roman" w:cs="Times New Roman"/>
          <w:szCs w:val="24"/>
        </w:rPr>
        <w:t>á pressionado a pagá-la</w:t>
      </w:r>
      <w:r w:rsidRPr="006F0E0E">
        <w:rPr>
          <w:rFonts w:ascii="Times New Roman" w:hAnsi="Times New Roman" w:cs="Times New Roman"/>
          <w:szCs w:val="24"/>
        </w:rPr>
        <w:t>.</w:t>
      </w:r>
      <w:r w:rsidR="00F738B3">
        <w:rPr>
          <w:rFonts w:ascii="Times New Roman" w:hAnsi="Times New Roman" w:cs="Times New Roman"/>
          <w:szCs w:val="24"/>
        </w:rPr>
        <w:t xml:space="preserve"> </w:t>
      </w:r>
      <w:r w:rsidRPr="006F0E0E">
        <w:rPr>
          <w:rFonts w:ascii="Times New Roman" w:hAnsi="Times New Roman" w:cs="Times New Roman"/>
          <w:szCs w:val="24"/>
        </w:rPr>
        <w:t xml:space="preserve">Como a dívida está em seu nome, com seus dados e seu endereço o credor vai cobrar </w:t>
      </w:r>
      <w:r w:rsidR="00F738B3">
        <w:rPr>
          <w:rFonts w:ascii="Times New Roman" w:hAnsi="Times New Roman" w:cs="Times New Roman"/>
          <w:szCs w:val="24"/>
        </w:rPr>
        <w:t xml:space="preserve">a vítima </w:t>
      </w:r>
      <w:r w:rsidRPr="006F0E0E">
        <w:rPr>
          <w:rFonts w:ascii="Times New Roman" w:hAnsi="Times New Roman" w:cs="Times New Roman"/>
          <w:szCs w:val="24"/>
        </w:rPr>
        <w:t xml:space="preserve">e até mesmo incluir </w:t>
      </w:r>
      <w:r w:rsidR="00F738B3">
        <w:rPr>
          <w:rFonts w:ascii="Times New Roman" w:hAnsi="Times New Roman" w:cs="Times New Roman"/>
          <w:szCs w:val="24"/>
        </w:rPr>
        <w:t xml:space="preserve">seu </w:t>
      </w:r>
      <w:r w:rsidRPr="006F0E0E">
        <w:rPr>
          <w:rFonts w:ascii="Times New Roman" w:hAnsi="Times New Roman" w:cs="Times New Roman"/>
          <w:szCs w:val="24"/>
        </w:rPr>
        <w:t>nome nos órgão de proteção ao crédito do SPC e SERASA, em caso de cheques poderá até ocorrer à execução judicial e protesto dos mesmos.</w:t>
      </w:r>
    </w:p>
    <w:p w:rsidR="006F0E0E" w:rsidRDefault="00B24405" w:rsidP="006F0E0E">
      <w:pPr>
        <w:pStyle w:val="PargrafodaLista"/>
        <w:tabs>
          <w:tab w:val="left" w:pos="284"/>
        </w:tabs>
        <w:ind w:left="0" w:firstLine="1134"/>
        <w:jc w:val="both"/>
        <w:rPr>
          <w:rFonts w:ascii="Times New Roman" w:hAnsi="Times New Roman" w:cs="Times New Roman"/>
          <w:szCs w:val="24"/>
        </w:rPr>
      </w:pPr>
      <w:r w:rsidRPr="006F0E0E">
        <w:rPr>
          <w:rFonts w:ascii="Times New Roman" w:hAnsi="Times New Roman" w:cs="Times New Roman"/>
          <w:szCs w:val="24"/>
        </w:rPr>
        <w:t>Este erro impõe sérias dificuldades que praticamente impedem que o consumidor concretize qualquer outro negócio em sua vida que dependa de crédito ou financiamento. O consumidor fica impedido de conseguir fazer compras a crédito, tomar empréstimos bancários, alugar imóveis e, até mesmo, conseguir emprego.</w:t>
      </w:r>
    </w:p>
    <w:p w:rsidR="006F0E0E" w:rsidRDefault="00B24405" w:rsidP="006F0E0E">
      <w:pPr>
        <w:pStyle w:val="PargrafodaLista"/>
        <w:tabs>
          <w:tab w:val="left" w:pos="284"/>
        </w:tabs>
        <w:ind w:left="0" w:firstLine="1134"/>
        <w:jc w:val="both"/>
        <w:rPr>
          <w:rFonts w:ascii="Times New Roman" w:hAnsi="Times New Roman" w:cs="Times New Roman"/>
          <w:szCs w:val="24"/>
        </w:rPr>
      </w:pPr>
      <w:r w:rsidRPr="006F0E0E">
        <w:rPr>
          <w:rFonts w:ascii="Times New Roman" w:hAnsi="Times New Roman" w:cs="Times New Roman"/>
          <w:szCs w:val="24"/>
        </w:rPr>
        <w:t xml:space="preserve">Caso isso ocorra </w:t>
      </w:r>
      <w:proofErr w:type="gramStart"/>
      <w:r w:rsidRPr="006F0E0E">
        <w:rPr>
          <w:rFonts w:ascii="Times New Roman" w:hAnsi="Times New Roman" w:cs="Times New Roman"/>
          <w:szCs w:val="24"/>
        </w:rPr>
        <w:t>a</w:t>
      </w:r>
      <w:proofErr w:type="gramEnd"/>
      <w:r w:rsidRPr="006F0E0E">
        <w:rPr>
          <w:rFonts w:ascii="Times New Roman" w:hAnsi="Times New Roman" w:cs="Times New Roman"/>
          <w:szCs w:val="24"/>
        </w:rPr>
        <w:t xml:space="preserve"> vítima tem direito a uma indenização por danos morais, pois o credor que fez o financiamento ou vendeu o produto deveria ter o cuidado de certificar que a pessoa que estava realizando as compras ou formalizando o financiamento era o titular do documento, neste caso a instituição é responsável independente de culpa pois deveria ter tomado as medidas necessários para evitar o dano evitando também prejuízos a pessoas honestas e que tem em seu nome seu maior bem.</w:t>
      </w:r>
    </w:p>
    <w:p w:rsidR="00A72C6E" w:rsidRPr="00FC20CE" w:rsidRDefault="00B24405" w:rsidP="00A72C6E">
      <w:pPr>
        <w:pStyle w:val="PargrafodaLista"/>
        <w:tabs>
          <w:tab w:val="left" w:pos="284"/>
        </w:tabs>
        <w:ind w:left="0" w:firstLine="1134"/>
        <w:jc w:val="both"/>
        <w:rPr>
          <w:rFonts w:ascii="Times New Roman" w:hAnsi="Times New Roman" w:cs="Times New Roman"/>
          <w:color w:val="000000" w:themeColor="text1"/>
          <w:szCs w:val="24"/>
        </w:rPr>
      </w:pPr>
      <w:r w:rsidRPr="00FC20CE">
        <w:rPr>
          <w:rFonts w:ascii="Times New Roman" w:hAnsi="Times New Roman" w:cs="Times New Roman"/>
          <w:color w:val="000000" w:themeColor="text1"/>
          <w:szCs w:val="24"/>
        </w:rPr>
        <w:t>Os Tribunais Brasileiros tem entendido q</w:t>
      </w:r>
      <w:r w:rsidR="006F0E0E" w:rsidRPr="00FC20CE">
        <w:rPr>
          <w:rFonts w:ascii="Times New Roman" w:hAnsi="Times New Roman" w:cs="Times New Roman"/>
          <w:color w:val="000000" w:themeColor="text1"/>
          <w:szCs w:val="24"/>
        </w:rPr>
        <w:t>ue a vítima de negativação inde</w:t>
      </w:r>
      <w:r w:rsidRPr="00FC20CE">
        <w:rPr>
          <w:rFonts w:ascii="Times New Roman" w:hAnsi="Times New Roman" w:cs="Times New Roman"/>
          <w:color w:val="000000" w:themeColor="text1"/>
          <w:szCs w:val="24"/>
        </w:rPr>
        <w:t>vida deverá ser indenizada pela instituição que de forma negligente incluiu indevidamente se</w:t>
      </w:r>
      <w:r w:rsidR="00A72C6E" w:rsidRPr="00FC20CE">
        <w:rPr>
          <w:rFonts w:ascii="Times New Roman" w:hAnsi="Times New Roman" w:cs="Times New Roman"/>
          <w:color w:val="000000" w:themeColor="text1"/>
          <w:szCs w:val="24"/>
        </w:rPr>
        <w:t>u nome no SPC e SERASA.</w:t>
      </w:r>
    </w:p>
    <w:p w:rsidR="00A72C6E" w:rsidRDefault="002E65DF" w:rsidP="00A72C6E">
      <w:pPr>
        <w:pStyle w:val="PargrafodaLista"/>
        <w:tabs>
          <w:tab w:val="left" w:pos="284"/>
        </w:tabs>
        <w:ind w:left="0" w:firstLine="1134"/>
        <w:jc w:val="both"/>
        <w:rPr>
          <w:rFonts w:ascii="Times New Roman" w:hAnsi="Times New Roman" w:cs="Times New Roman"/>
          <w:szCs w:val="24"/>
        </w:rPr>
      </w:pPr>
      <w:r w:rsidRPr="002E65DF">
        <w:rPr>
          <w:rFonts w:ascii="Times New Roman" w:hAnsi="Times New Roman" w:cs="Times New Roman"/>
          <w:szCs w:val="24"/>
        </w:rPr>
        <w:t>Logo, toda anotação irregular (ação ou omissão voluntária, por negligência ou imprudência) viola direito e causa dano a outrem, constituindo-se, pois, ato ilícito (</w:t>
      </w:r>
      <w:proofErr w:type="gramStart"/>
      <w:r w:rsidRPr="002E65DF">
        <w:rPr>
          <w:rFonts w:ascii="Times New Roman" w:hAnsi="Times New Roman" w:cs="Times New Roman"/>
          <w:szCs w:val="24"/>
        </w:rPr>
        <w:t>CC, art.</w:t>
      </w:r>
      <w:proofErr w:type="gramEnd"/>
      <w:r w:rsidRPr="002E65DF">
        <w:rPr>
          <w:rFonts w:ascii="Times New Roman" w:hAnsi="Times New Roman" w:cs="Times New Roman"/>
          <w:szCs w:val="24"/>
        </w:rPr>
        <w:t xml:space="preserve"> 186). Assim como constitui abuso de direito, uma vez que o ato negligente (CC, art. 187), viola os bons costumes e a boa-fé.</w:t>
      </w:r>
    </w:p>
    <w:p w:rsidR="00A72C6E" w:rsidRDefault="002E65DF" w:rsidP="00A72C6E">
      <w:pPr>
        <w:pStyle w:val="PargrafodaLista"/>
        <w:tabs>
          <w:tab w:val="left" w:pos="284"/>
        </w:tabs>
        <w:ind w:left="0" w:firstLine="1134"/>
        <w:jc w:val="both"/>
        <w:rPr>
          <w:rFonts w:ascii="Times New Roman" w:hAnsi="Times New Roman" w:cs="Times New Roman"/>
          <w:szCs w:val="24"/>
        </w:rPr>
      </w:pPr>
      <w:r w:rsidRPr="00A72C6E">
        <w:rPr>
          <w:rFonts w:ascii="Times New Roman" w:hAnsi="Times New Roman" w:cs="Times New Roman"/>
          <w:szCs w:val="24"/>
        </w:rPr>
        <w:t xml:space="preserve">Portanto, os danos decorrentes pela inserção indevida em cadastros de inadimplentes são origem moral e patrimonial. Dano moral porque se configura em lesão à </w:t>
      </w:r>
      <w:r w:rsidRPr="00A72C6E">
        <w:rPr>
          <w:rFonts w:ascii="Times New Roman" w:hAnsi="Times New Roman" w:cs="Times New Roman"/>
          <w:szCs w:val="24"/>
        </w:rPr>
        <w:lastRenderedPageBreak/>
        <w:t>dignidade da pessoa humana; dano patrimonial porque atinge interesses financeiros da vítima, uma vez que ter o nome negativado pode ter consequências extremamente danosas.</w:t>
      </w:r>
    </w:p>
    <w:p w:rsidR="00A72C6E" w:rsidRDefault="002E65DF" w:rsidP="00A72C6E">
      <w:pPr>
        <w:pStyle w:val="PargrafodaLista"/>
        <w:tabs>
          <w:tab w:val="left" w:pos="284"/>
        </w:tabs>
        <w:ind w:left="0" w:firstLine="1134"/>
        <w:jc w:val="both"/>
        <w:rPr>
          <w:rFonts w:ascii="Times New Roman" w:hAnsi="Times New Roman" w:cs="Times New Roman"/>
          <w:szCs w:val="24"/>
        </w:rPr>
      </w:pPr>
      <w:r w:rsidRPr="00A72C6E">
        <w:rPr>
          <w:rFonts w:ascii="Times New Roman" w:hAnsi="Times New Roman" w:cs="Times New Roman"/>
          <w:szCs w:val="24"/>
        </w:rPr>
        <w:t>A indenização por danos morais é o enfoque principal das ações e decisões judiciais que tratam de inscrições ilícitas nos repositórios de crédito. Há várias razões para tanto; o registro indevido atinge, inexoravelmente, a honra e a privacidade do consumidor. Afeta também o estado anímico da pessoa atingida, gerando sentimentos negativos, tais como: constrangimento, vergonha e revolta.</w:t>
      </w:r>
    </w:p>
    <w:p w:rsidR="00A72C6E" w:rsidRDefault="00B24405" w:rsidP="00A72C6E">
      <w:pPr>
        <w:pStyle w:val="PargrafodaLista"/>
        <w:tabs>
          <w:tab w:val="left" w:pos="284"/>
        </w:tabs>
        <w:ind w:left="0" w:firstLine="1134"/>
        <w:jc w:val="both"/>
        <w:rPr>
          <w:rFonts w:ascii="Times New Roman" w:hAnsi="Times New Roman" w:cs="Times New Roman"/>
          <w:szCs w:val="24"/>
        </w:rPr>
      </w:pPr>
      <w:r w:rsidRPr="00A72C6E">
        <w:rPr>
          <w:rFonts w:ascii="Times New Roman" w:hAnsi="Times New Roman" w:cs="Times New Roman"/>
          <w:szCs w:val="24"/>
        </w:rPr>
        <w:t>A ocorrência desenfreada de anotações irregulares é fato público e notório que desencadeia inúmeras ações judiciais visando indenização por danos morais; é certo, igualmente, que muitas dessas ações são infundadas, cerne da "</w:t>
      </w:r>
      <w:r w:rsidR="00A72C6E" w:rsidRPr="00A72C6E">
        <w:rPr>
          <w:rFonts w:ascii="Times New Roman" w:hAnsi="Times New Roman" w:cs="Times New Roman"/>
          <w:szCs w:val="24"/>
        </w:rPr>
        <w:t>indústria</w:t>
      </w:r>
      <w:r w:rsidRPr="00A72C6E">
        <w:rPr>
          <w:rFonts w:ascii="Times New Roman" w:hAnsi="Times New Roman" w:cs="Times New Roman"/>
          <w:szCs w:val="24"/>
        </w:rPr>
        <w:t xml:space="preserve"> do dano moral".</w:t>
      </w:r>
    </w:p>
    <w:p w:rsidR="002E65DF" w:rsidRPr="00A72C6E" w:rsidRDefault="00EC023D" w:rsidP="00A72C6E">
      <w:pPr>
        <w:pStyle w:val="PargrafodaLista"/>
        <w:tabs>
          <w:tab w:val="left" w:pos="284"/>
        </w:tabs>
        <w:ind w:left="0" w:firstLine="1134"/>
        <w:jc w:val="both"/>
        <w:rPr>
          <w:rFonts w:ascii="Times New Roman" w:hAnsi="Times New Roman" w:cs="Times New Roman"/>
          <w:szCs w:val="24"/>
        </w:rPr>
      </w:pPr>
      <w:r w:rsidRPr="00A72C6E">
        <w:rPr>
          <w:rFonts w:ascii="Times New Roman" w:hAnsi="Times New Roman" w:cs="Times New Roman"/>
          <w:szCs w:val="24"/>
        </w:rPr>
        <w:t>Embora lamentável quantificar em dinheiro valores que absolutamente não são por ele traduzíveis, a função da quantificação da indenização por danos morais sempre fora objeto polêmico no estudo do Direito e, sua aplicação, ainda encontra respaldo em parâmetros subjetivos do magistrado, não olvidando a inteligência do art. 994 do Código Civil.</w:t>
      </w:r>
    </w:p>
    <w:p w:rsidR="002E65DF" w:rsidRPr="006F0E0E" w:rsidRDefault="002E65DF" w:rsidP="001F59D2">
      <w:pPr>
        <w:pStyle w:val="PargrafodaLista"/>
        <w:ind w:left="0" w:firstLine="1134"/>
        <w:jc w:val="both"/>
        <w:rPr>
          <w:rFonts w:ascii="Times New Roman" w:hAnsi="Times New Roman" w:cs="Times New Roman"/>
          <w:szCs w:val="24"/>
        </w:rPr>
      </w:pPr>
    </w:p>
    <w:p w:rsidR="006F0E0E" w:rsidRDefault="006F0E0E" w:rsidP="00134633">
      <w:pPr>
        <w:pStyle w:val="PargrafodaLista"/>
        <w:tabs>
          <w:tab w:val="left" w:pos="284"/>
        </w:tabs>
        <w:ind w:left="0" w:firstLine="1134"/>
        <w:jc w:val="both"/>
        <w:rPr>
          <w:rFonts w:ascii="Times New Roman" w:hAnsi="Times New Roman" w:cs="Times New Roman"/>
          <w:szCs w:val="24"/>
        </w:rPr>
      </w:pPr>
    </w:p>
    <w:p w:rsidR="00317A70" w:rsidRDefault="00317A70" w:rsidP="00134633">
      <w:pPr>
        <w:tabs>
          <w:tab w:val="left" w:pos="284"/>
        </w:tabs>
        <w:jc w:val="both"/>
        <w:rPr>
          <w:rFonts w:ascii="Times New Roman" w:hAnsi="Times New Roman" w:cs="Times New Roman"/>
          <w:b/>
        </w:rPr>
      </w:pPr>
    </w:p>
    <w:p w:rsidR="00317A70" w:rsidRDefault="00317A70" w:rsidP="00134633">
      <w:pPr>
        <w:tabs>
          <w:tab w:val="left" w:pos="284"/>
        </w:tabs>
        <w:jc w:val="both"/>
        <w:rPr>
          <w:rFonts w:ascii="Times New Roman" w:hAnsi="Times New Roman" w:cs="Times New Roman"/>
          <w:b/>
        </w:rPr>
      </w:pPr>
    </w:p>
    <w:p w:rsidR="00317A70" w:rsidRDefault="00317A70" w:rsidP="00134633">
      <w:pPr>
        <w:tabs>
          <w:tab w:val="left" w:pos="284"/>
        </w:tabs>
        <w:jc w:val="both"/>
        <w:rPr>
          <w:rFonts w:ascii="Times New Roman" w:hAnsi="Times New Roman" w:cs="Times New Roman"/>
          <w:b/>
        </w:rPr>
      </w:pPr>
    </w:p>
    <w:p w:rsidR="00317A70" w:rsidRDefault="00317A70" w:rsidP="00134633">
      <w:pPr>
        <w:tabs>
          <w:tab w:val="left" w:pos="284"/>
        </w:tabs>
        <w:jc w:val="both"/>
        <w:rPr>
          <w:rFonts w:ascii="Times New Roman" w:hAnsi="Times New Roman" w:cs="Times New Roman"/>
          <w:b/>
        </w:rPr>
      </w:pPr>
    </w:p>
    <w:p w:rsidR="00317A70" w:rsidRDefault="00317A70" w:rsidP="00134633">
      <w:pPr>
        <w:tabs>
          <w:tab w:val="left" w:pos="284"/>
        </w:tabs>
        <w:jc w:val="both"/>
        <w:rPr>
          <w:rFonts w:ascii="Times New Roman" w:hAnsi="Times New Roman" w:cs="Times New Roman"/>
          <w:b/>
        </w:rPr>
      </w:pPr>
    </w:p>
    <w:p w:rsidR="00317A70" w:rsidRDefault="00317A70" w:rsidP="00134633">
      <w:pPr>
        <w:tabs>
          <w:tab w:val="left" w:pos="284"/>
        </w:tabs>
        <w:jc w:val="both"/>
        <w:rPr>
          <w:rFonts w:ascii="Times New Roman" w:hAnsi="Times New Roman" w:cs="Times New Roman"/>
          <w:b/>
        </w:rPr>
      </w:pPr>
    </w:p>
    <w:p w:rsidR="00317A70" w:rsidRDefault="00317A70" w:rsidP="00134633">
      <w:pPr>
        <w:tabs>
          <w:tab w:val="left" w:pos="284"/>
        </w:tabs>
        <w:jc w:val="both"/>
        <w:rPr>
          <w:rFonts w:ascii="Times New Roman" w:hAnsi="Times New Roman" w:cs="Times New Roman"/>
          <w:b/>
        </w:rPr>
      </w:pPr>
    </w:p>
    <w:p w:rsidR="00317A70" w:rsidRDefault="00317A70" w:rsidP="00134633">
      <w:pPr>
        <w:tabs>
          <w:tab w:val="left" w:pos="284"/>
        </w:tabs>
        <w:jc w:val="both"/>
        <w:rPr>
          <w:rFonts w:ascii="Times New Roman" w:hAnsi="Times New Roman" w:cs="Times New Roman"/>
          <w:b/>
        </w:rPr>
      </w:pPr>
    </w:p>
    <w:p w:rsidR="00941F7F" w:rsidRDefault="00941F7F" w:rsidP="00134633">
      <w:pPr>
        <w:tabs>
          <w:tab w:val="left" w:pos="284"/>
        </w:tabs>
        <w:jc w:val="both"/>
        <w:rPr>
          <w:rFonts w:ascii="Times New Roman" w:hAnsi="Times New Roman" w:cs="Times New Roman"/>
          <w:b/>
        </w:rPr>
      </w:pPr>
    </w:p>
    <w:p w:rsidR="00AB71E6" w:rsidRPr="00134633" w:rsidRDefault="00010C87" w:rsidP="00134633">
      <w:pPr>
        <w:tabs>
          <w:tab w:val="left" w:pos="284"/>
        </w:tabs>
        <w:jc w:val="both"/>
        <w:rPr>
          <w:rFonts w:ascii="Times New Roman" w:hAnsi="Times New Roman" w:cs="Times New Roman"/>
          <w:szCs w:val="24"/>
        </w:rPr>
      </w:pPr>
      <w:proofErr w:type="gramStart"/>
      <w:r w:rsidRPr="00134633">
        <w:rPr>
          <w:rFonts w:ascii="Times New Roman" w:hAnsi="Times New Roman" w:cs="Times New Roman"/>
          <w:b/>
        </w:rPr>
        <w:t>3</w:t>
      </w:r>
      <w:proofErr w:type="gramEnd"/>
      <w:r w:rsidRPr="00134633">
        <w:rPr>
          <w:rFonts w:ascii="Times New Roman" w:hAnsi="Times New Roman" w:cs="Times New Roman"/>
          <w:b/>
        </w:rPr>
        <w:t xml:space="preserve"> </w:t>
      </w:r>
      <w:r w:rsidR="00AB71E6" w:rsidRPr="00134633">
        <w:rPr>
          <w:rFonts w:ascii="Times New Roman" w:hAnsi="Times New Roman" w:cs="Times New Roman"/>
          <w:b/>
        </w:rPr>
        <w:t>CONCLUSÃO</w:t>
      </w:r>
    </w:p>
    <w:p w:rsidR="00AB71E6" w:rsidRDefault="00AB71E6" w:rsidP="00B45726">
      <w:pPr>
        <w:pStyle w:val="PargrafodaLista"/>
        <w:tabs>
          <w:tab w:val="left" w:pos="284"/>
        </w:tabs>
        <w:ind w:left="0"/>
        <w:rPr>
          <w:rFonts w:ascii="Times New Roman" w:hAnsi="Times New Roman" w:cs="Times New Roman"/>
          <w:b/>
        </w:rPr>
      </w:pPr>
    </w:p>
    <w:p w:rsidR="00010C87" w:rsidRDefault="00195895" w:rsidP="00195895">
      <w:pPr>
        <w:pStyle w:val="PargrafodaLista"/>
        <w:tabs>
          <w:tab w:val="left" w:pos="284"/>
        </w:tabs>
        <w:ind w:left="0" w:firstLine="1134"/>
        <w:jc w:val="both"/>
        <w:rPr>
          <w:rFonts w:ascii="Times New Roman" w:hAnsi="Times New Roman" w:cs="Times New Roman"/>
        </w:rPr>
      </w:pPr>
      <w:r>
        <w:rPr>
          <w:rFonts w:ascii="Times New Roman" w:hAnsi="Times New Roman" w:cs="Times New Roman"/>
        </w:rPr>
        <w:t xml:space="preserve">É sabido por economistas e juristas que a presença de crédito é um dos fatores de maior importância para o desenvolvimento da economia, mas </w:t>
      </w:r>
      <w:r w:rsidR="00BC687F">
        <w:rPr>
          <w:rFonts w:ascii="Times New Roman" w:hAnsi="Times New Roman" w:cs="Times New Roman"/>
        </w:rPr>
        <w:t>se deve</w:t>
      </w:r>
      <w:r>
        <w:rPr>
          <w:rFonts w:ascii="Times New Roman" w:hAnsi="Times New Roman" w:cs="Times New Roman"/>
        </w:rPr>
        <w:t xml:space="preserve"> ressaltar que só a presença de crédito não é fator gerador de riquezas.</w:t>
      </w:r>
    </w:p>
    <w:p w:rsidR="00195895" w:rsidRDefault="00195895" w:rsidP="00195895">
      <w:pPr>
        <w:pStyle w:val="PargrafodaLista"/>
        <w:tabs>
          <w:tab w:val="left" w:pos="284"/>
        </w:tabs>
        <w:ind w:left="0" w:firstLine="1134"/>
        <w:jc w:val="both"/>
        <w:rPr>
          <w:rFonts w:ascii="Times New Roman" w:hAnsi="Times New Roman" w:cs="Times New Roman"/>
        </w:rPr>
      </w:pPr>
      <w:r>
        <w:rPr>
          <w:rFonts w:ascii="Times New Roman" w:hAnsi="Times New Roman" w:cs="Times New Roman"/>
        </w:rPr>
        <w:t xml:space="preserve">Na prática comercial, as operações de crédito são realizadas basicamente por bancos e instituições financeiras, sendo as principais operações, os empréstimos e aquisição de bens a prazo. Os títulos de crédito </w:t>
      </w:r>
      <w:r w:rsidR="00DA2BC7">
        <w:rPr>
          <w:rFonts w:ascii="Times New Roman" w:hAnsi="Times New Roman" w:cs="Times New Roman"/>
        </w:rPr>
        <w:t>nascem</w:t>
      </w:r>
      <w:r>
        <w:rPr>
          <w:rFonts w:ascii="Times New Roman" w:hAnsi="Times New Roman" w:cs="Times New Roman"/>
        </w:rPr>
        <w:t xml:space="preserve"> como desdobramento de contratos de compra e venda, assegurando o fluxo de créditos com rapidez e certeza.</w:t>
      </w:r>
    </w:p>
    <w:p w:rsidR="00DA2BC7" w:rsidRPr="00BC687F" w:rsidRDefault="00195895" w:rsidP="00DA2BC7">
      <w:pPr>
        <w:pStyle w:val="PargrafodaLista"/>
        <w:tabs>
          <w:tab w:val="left" w:pos="284"/>
        </w:tabs>
        <w:ind w:left="0" w:firstLine="1134"/>
        <w:jc w:val="both"/>
        <w:rPr>
          <w:rFonts w:ascii="Times New Roman" w:hAnsi="Times New Roman" w:cs="Times New Roman"/>
          <w:color w:val="FF0000"/>
        </w:rPr>
      </w:pPr>
      <w:r>
        <w:rPr>
          <w:rFonts w:ascii="Times New Roman" w:hAnsi="Times New Roman" w:cs="Times New Roman"/>
        </w:rPr>
        <w:lastRenderedPageBreak/>
        <w:t>Contudo, sempre existem os maus pagadores. Com a finalidade de monitorar esse tipo de cliente,</w:t>
      </w:r>
      <w:r w:rsidR="00DA2BC7">
        <w:rPr>
          <w:rFonts w:ascii="Times New Roman" w:hAnsi="Times New Roman" w:cs="Times New Roman"/>
        </w:rPr>
        <w:t xml:space="preserve"> surgiram os bancos de dados de proteção ao crédito que possuem uma dupla função – jurídica e </w:t>
      </w:r>
      <w:r w:rsidR="00DA2BC7" w:rsidRPr="00FC20CE">
        <w:rPr>
          <w:rFonts w:ascii="Times New Roman" w:hAnsi="Times New Roman" w:cs="Times New Roman"/>
          <w:color w:val="000000" w:themeColor="text1"/>
        </w:rPr>
        <w:t>social. O modo de conciliar esses pilares é evitar o lançamento prematuro, antes de se ter absoluta certeza do inadimplemento ou da mora, para o que não basta, quando ocorrer oposição ao crédito, o mero vencimento da dívida, exigindo-se algo mais - a certeza do inadimplemento ou da mora.</w:t>
      </w:r>
    </w:p>
    <w:p w:rsidR="00A8468B" w:rsidRPr="00FC20CE" w:rsidRDefault="00DA2BC7" w:rsidP="00A8468B">
      <w:pPr>
        <w:pStyle w:val="PargrafodaLista"/>
        <w:tabs>
          <w:tab w:val="left" w:pos="284"/>
        </w:tabs>
        <w:ind w:left="0" w:firstLine="1134"/>
        <w:jc w:val="both"/>
        <w:rPr>
          <w:rFonts w:ascii="Times New Roman" w:hAnsi="Times New Roman" w:cs="Times New Roman"/>
          <w:color w:val="000000" w:themeColor="text1"/>
        </w:rPr>
      </w:pPr>
      <w:r>
        <w:rPr>
          <w:rFonts w:ascii="Times New Roman" w:hAnsi="Times New Roman" w:cs="Times New Roman"/>
        </w:rPr>
        <w:t>Desse modo, o</w:t>
      </w:r>
      <w:r w:rsidRPr="00DA2BC7">
        <w:rPr>
          <w:rFonts w:ascii="Times New Roman" w:hAnsi="Times New Roman" w:cs="Times New Roman"/>
        </w:rPr>
        <w:t xml:space="preserve"> desequilíbrio entre a questão jurídica e social</w:t>
      </w:r>
      <w:r>
        <w:rPr>
          <w:rFonts w:ascii="Times New Roman" w:hAnsi="Times New Roman" w:cs="Times New Roman"/>
        </w:rPr>
        <w:t xml:space="preserve"> resulta em responsabilidade civil.</w:t>
      </w:r>
      <w:r w:rsidR="00A8468B">
        <w:rPr>
          <w:rFonts w:ascii="Times New Roman" w:hAnsi="Times New Roman" w:cs="Times New Roman"/>
        </w:rPr>
        <w:t xml:space="preserve"> A inscrição indevida em cadastros de proteção ao crédito configura-se em ato ilícito, </w:t>
      </w:r>
      <w:r w:rsidR="00A8468B" w:rsidRPr="00FC20CE">
        <w:rPr>
          <w:rFonts w:ascii="Times New Roman" w:hAnsi="Times New Roman" w:cs="Times New Roman"/>
          <w:color w:val="000000" w:themeColor="text1"/>
        </w:rPr>
        <w:t>portanto, uma ofensa individualizada a honra e a privacidade do consumidor.</w:t>
      </w:r>
    </w:p>
    <w:p w:rsidR="00A8468B" w:rsidRPr="00FC20CE" w:rsidRDefault="00A8468B" w:rsidP="00A8468B">
      <w:pPr>
        <w:pStyle w:val="PargrafodaLista"/>
        <w:tabs>
          <w:tab w:val="left" w:pos="284"/>
        </w:tabs>
        <w:ind w:left="0" w:firstLine="1134"/>
        <w:jc w:val="both"/>
        <w:rPr>
          <w:rFonts w:ascii="Times New Roman" w:hAnsi="Times New Roman" w:cs="Times New Roman"/>
          <w:color w:val="000000" w:themeColor="text1"/>
        </w:rPr>
      </w:pPr>
      <w:r w:rsidRPr="00FC20CE">
        <w:rPr>
          <w:rFonts w:ascii="Times New Roman" w:hAnsi="Times New Roman" w:cs="Times New Roman"/>
          <w:color w:val="000000" w:themeColor="text1"/>
        </w:rPr>
        <w:t>Nesse sentido, a Constituição Federal, em seu art. 5°, incisos V e X, prevê a indenização por dano moral como proteção a direitos individuais e a responsabilidade dos bancos comerciais surge em prol do cliente, como responsabilidade objetiva (art. 14 do CDC).</w:t>
      </w:r>
      <w:r w:rsidR="00FC20CE" w:rsidRPr="00FC20CE">
        <w:rPr>
          <w:rFonts w:ascii="Times New Roman" w:hAnsi="Times New Roman" w:cs="Times New Roman"/>
          <w:color w:val="000000" w:themeColor="text1"/>
        </w:rPr>
        <w:t xml:space="preserve"> Através do ressarcimento pelo eventual constrangimento causado pode-se garantir que o consumidor não mais seja lesado e passe por situações vexatórias.</w:t>
      </w:r>
    </w:p>
    <w:p w:rsidR="001531B8" w:rsidRPr="00BC687F" w:rsidRDefault="001531B8" w:rsidP="00B45726">
      <w:pPr>
        <w:pStyle w:val="PargrafodaLista"/>
        <w:tabs>
          <w:tab w:val="left" w:pos="284"/>
        </w:tabs>
        <w:ind w:left="0"/>
        <w:rPr>
          <w:rFonts w:ascii="Times New Roman" w:hAnsi="Times New Roman" w:cs="Times New Roman"/>
          <w:color w:val="FF0000"/>
        </w:rPr>
      </w:pPr>
    </w:p>
    <w:p w:rsidR="001531B8" w:rsidRDefault="001531B8" w:rsidP="00B45726">
      <w:pPr>
        <w:pStyle w:val="PargrafodaLista"/>
        <w:tabs>
          <w:tab w:val="left" w:pos="284"/>
        </w:tabs>
        <w:ind w:left="0"/>
        <w:rPr>
          <w:rFonts w:ascii="Times New Roman" w:hAnsi="Times New Roman" w:cs="Times New Roman"/>
        </w:rPr>
      </w:pPr>
    </w:p>
    <w:p w:rsidR="001531B8" w:rsidRDefault="001531B8" w:rsidP="00B45726">
      <w:pPr>
        <w:pStyle w:val="PargrafodaLista"/>
        <w:tabs>
          <w:tab w:val="left" w:pos="284"/>
        </w:tabs>
        <w:ind w:left="0"/>
        <w:rPr>
          <w:rFonts w:ascii="Times New Roman" w:hAnsi="Times New Roman" w:cs="Times New Roman"/>
        </w:rPr>
      </w:pPr>
    </w:p>
    <w:p w:rsidR="001531B8" w:rsidRDefault="001531B8" w:rsidP="00B45726">
      <w:pPr>
        <w:pStyle w:val="PargrafodaLista"/>
        <w:tabs>
          <w:tab w:val="left" w:pos="284"/>
        </w:tabs>
        <w:ind w:left="0"/>
        <w:rPr>
          <w:rFonts w:ascii="Times New Roman" w:hAnsi="Times New Roman" w:cs="Times New Roman"/>
        </w:rPr>
      </w:pPr>
    </w:p>
    <w:p w:rsidR="001531B8" w:rsidRDefault="001531B8" w:rsidP="00B45726">
      <w:pPr>
        <w:pStyle w:val="PargrafodaLista"/>
        <w:tabs>
          <w:tab w:val="left" w:pos="284"/>
        </w:tabs>
        <w:ind w:left="0"/>
        <w:rPr>
          <w:rFonts w:ascii="Times New Roman" w:hAnsi="Times New Roman" w:cs="Times New Roman"/>
        </w:rPr>
      </w:pPr>
    </w:p>
    <w:p w:rsidR="001531B8" w:rsidRDefault="001531B8" w:rsidP="00B45726">
      <w:pPr>
        <w:pStyle w:val="PargrafodaLista"/>
        <w:tabs>
          <w:tab w:val="left" w:pos="284"/>
        </w:tabs>
        <w:ind w:left="0"/>
        <w:rPr>
          <w:rFonts w:ascii="Times New Roman" w:hAnsi="Times New Roman" w:cs="Times New Roman"/>
        </w:rPr>
      </w:pPr>
    </w:p>
    <w:p w:rsidR="001531B8" w:rsidRDefault="001531B8" w:rsidP="00B45726">
      <w:pPr>
        <w:pStyle w:val="PargrafodaLista"/>
        <w:tabs>
          <w:tab w:val="left" w:pos="284"/>
        </w:tabs>
        <w:ind w:left="0"/>
        <w:rPr>
          <w:rFonts w:ascii="Times New Roman" w:hAnsi="Times New Roman" w:cs="Times New Roman"/>
        </w:rPr>
      </w:pPr>
    </w:p>
    <w:p w:rsidR="001531B8" w:rsidRDefault="001531B8" w:rsidP="00B45726">
      <w:pPr>
        <w:pStyle w:val="PargrafodaLista"/>
        <w:tabs>
          <w:tab w:val="left" w:pos="284"/>
        </w:tabs>
        <w:ind w:left="0"/>
        <w:rPr>
          <w:rFonts w:ascii="Times New Roman" w:hAnsi="Times New Roman" w:cs="Times New Roman"/>
        </w:rPr>
      </w:pPr>
    </w:p>
    <w:p w:rsidR="001531B8" w:rsidRDefault="001531B8" w:rsidP="00B45726">
      <w:pPr>
        <w:pStyle w:val="PargrafodaLista"/>
        <w:tabs>
          <w:tab w:val="left" w:pos="284"/>
        </w:tabs>
        <w:ind w:left="0"/>
        <w:rPr>
          <w:rFonts w:ascii="Times New Roman" w:hAnsi="Times New Roman" w:cs="Times New Roman"/>
        </w:rPr>
      </w:pPr>
    </w:p>
    <w:p w:rsidR="001531B8" w:rsidRDefault="001531B8" w:rsidP="00B45726">
      <w:pPr>
        <w:pStyle w:val="PargrafodaLista"/>
        <w:tabs>
          <w:tab w:val="left" w:pos="284"/>
        </w:tabs>
        <w:ind w:left="0"/>
        <w:rPr>
          <w:rFonts w:ascii="Times New Roman" w:hAnsi="Times New Roman" w:cs="Times New Roman"/>
        </w:rPr>
      </w:pPr>
    </w:p>
    <w:p w:rsidR="001531B8" w:rsidRDefault="001531B8" w:rsidP="00B45726">
      <w:pPr>
        <w:pStyle w:val="PargrafodaLista"/>
        <w:tabs>
          <w:tab w:val="left" w:pos="284"/>
        </w:tabs>
        <w:ind w:left="0"/>
        <w:rPr>
          <w:rFonts w:ascii="Times New Roman" w:hAnsi="Times New Roman" w:cs="Times New Roman"/>
        </w:rPr>
      </w:pPr>
    </w:p>
    <w:p w:rsidR="001531B8" w:rsidRDefault="0041046C" w:rsidP="00B45726">
      <w:pPr>
        <w:pStyle w:val="PargrafodaLista"/>
        <w:tabs>
          <w:tab w:val="left" w:pos="284"/>
        </w:tabs>
        <w:ind w:left="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531B8" w:rsidRDefault="001531B8" w:rsidP="00B45726">
      <w:pPr>
        <w:pStyle w:val="PargrafodaLista"/>
        <w:tabs>
          <w:tab w:val="left" w:pos="284"/>
        </w:tabs>
        <w:ind w:left="0"/>
        <w:rPr>
          <w:rFonts w:ascii="Times New Roman" w:hAnsi="Times New Roman" w:cs="Times New Roman"/>
        </w:rPr>
      </w:pPr>
    </w:p>
    <w:p w:rsidR="004F529A" w:rsidRDefault="004F529A" w:rsidP="00B45726">
      <w:pPr>
        <w:pStyle w:val="PargrafodaLista"/>
        <w:tabs>
          <w:tab w:val="left" w:pos="284"/>
        </w:tabs>
        <w:ind w:left="0"/>
        <w:rPr>
          <w:rFonts w:ascii="Times New Roman" w:hAnsi="Times New Roman" w:cs="Times New Roman"/>
        </w:rPr>
      </w:pPr>
    </w:p>
    <w:p w:rsidR="004F529A" w:rsidRDefault="004F529A" w:rsidP="00B45726">
      <w:pPr>
        <w:pStyle w:val="PargrafodaLista"/>
        <w:tabs>
          <w:tab w:val="left" w:pos="284"/>
        </w:tabs>
        <w:ind w:left="0"/>
        <w:rPr>
          <w:rFonts w:ascii="Times New Roman" w:hAnsi="Times New Roman" w:cs="Times New Roman"/>
        </w:rPr>
      </w:pPr>
    </w:p>
    <w:p w:rsidR="004F529A" w:rsidRDefault="004F529A" w:rsidP="00B45726">
      <w:pPr>
        <w:pStyle w:val="PargrafodaLista"/>
        <w:tabs>
          <w:tab w:val="left" w:pos="284"/>
        </w:tabs>
        <w:ind w:left="0"/>
        <w:rPr>
          <w:rFonts w:ascii="Times New Roman" w:hAnsi="Times New Roman" w:cs="Times New Roman"/>
        </w:rPr>
      </w:pPr>
    </w:p>
    <w:p w:rsidR="004F529A" w:rsidRDefault="004F529A" w:rsidP="00B45726">
      <w:pPr>
        <w:pStyle w:val="PargrafodaLista"/>
        <w:tabs>
          <w:tab w:val="left" w:pos="284"/>
        </w:tabs>
        <w:ind w:left="0"/>
        <w:rPr>
          <w:rFonts w:ascii="Times New Roman" w:hAnsi="Times New Roman" w:cs="Times New Roman"/>
        </w:rPr>
      </w:pPr>
    </w:p>
    <w:p w:rsidR="004F529A" w:rsidRDefault="004F529A" w:rsidP="00B45726">
      <w:pPr>
        <w:pStyle w:val="PargrafodaLista"/>
        <w:tabs>
          <w:tab w:val="left" w:pos="284"/>
        </w:tabs>
        <w:ind w:left="0"/>
        <w:rPr>
          <w:rFonts w:ascii="Times New Roman" w:hAnsi="Times New Roman" w:cs="Times New Roman"/>
        </w:rPr>
      </w:pPr>
    </w:p>
    <w:p w:rsidR="004F529A" w:rsidRDefault="004F529A" w:rsidP="00B45726">
      <w:pPr>
        <w:pStyle w:val="PargrafodaLista"/>
        <w:tabs>
          <w:tab w:val="left" w:pos="284"/>
        </w:tabs>
        <w:ind w:left="0"/>
        <w:rPr>
          <w:rFonts w:ascii="Times New Roman" w:hAnsi="Times New Roman" w:cs="Times New Roman"/>
        </w:rPr>
      </w:pPr>
    </w:p>
    <w:p w:rsidR="004F529A" w:rsidRDefault="004F529A" w:rsidP="00B45726">
      <w:pPr>
        <w:pStyle w:val="PargrafodaLista"/>
        <w:tabs>
          <w:tab w:val="left" w:pos="284"/>
        </w:tabs>
        <w:ind w:left="0"/>
        <w:rPr>
          <w:rFonts w:ascii="Times New Roman" w:hAnsi="Times New Roman" w:cs="Times New Roman"/>
        </w:rPr>
      </w:pPr>
      <w:bookmarkStart w:id="0" w:name="_GoBack"/>
      <w:bookmarkEnd w:id="0"/>
    </w:p>
    <w:p w:rsidR="00B45726" w:rsidRDefault="000E64D9" w:rsidP="000E64D9">
      <w:pPr>
        <w:pStyle w:val="PargrafodaLista"/>
        <w:tabs>
          <w:tab w:val="left" w:pos="284"/>
        </w:tabs>
        <w:ind w:left="0"/>
        <w:jc w:val="center"/>
        <w:rPr>
          <w:rFonts w:ascii="Times New Roman" w:hAnsi="Times New Roman" w:cs="Times New Roman"/>
        </w:rPr>
      </w:pPr>
      <w:r>
        <w:rPr>
          <w:rFonts w:ascii="Times New Roman" w:hAnsi="Times New Roman" w:cs="Times New Roman"/>
        </w:rPr>
        <w:lastRenderedPageBreak/>
        <w:t>REFERÊNCIAS</w:t>
      </w:r>
    </w:p>
    <w:p w:rsidR="00664563" w:rsidRDefault="00664563" w:rsidP="00B45726">
      <w:pPr>
        <w:pStyle w:val="PargrafodaLista"/>
        <w:tabs>
          <w:tab w:val="left" w:pos="284"/>
        </w:tabs>
        <w:ind w:left="0"/>
        <w:rPr>
          <w:rFonts w:ascii="Times New Roman" w:hAnsi="Times New Roman" w:cs="Times New Roman"/>
        </w:rPr>
      </w:pPr>
    </w:p>
    <w:p w:rsidR="00B45726" w:rsidRDefault="00B45726" w:rsidP="00B45726">
      <w:pPr>
        <w:pStyle w:val="PargrafodaLista"/>
        <w:tabs>
          <w:tab w:val="left" w:pos="284"/>
        </w:tabs>
        <w:spacing w:line="240" w:lineRule="auto"/>
        <w:ind w:left="0"/>
        <w:rPr>
          <w:rFonts w:ascii="Times New Roman" w:hAnsi="Times New Roman" w:cs="Times New Roman"/>
        </w:rPr>
      </w:pPr>
    </w:p>
    <w:p w:rsidR="00BB66EE" w:rsidRDefault="00EE2955" w:rsidP="00B45726">
      <w:pPr>
        <w:pStyle w:val="PargrafodaLista"/>
        <w:tabs>
          <w:tab w:val="left" w:pos="284"/>
        </w:tabs>
        <w:spacing w:line="240" w:lineRule="auto"/>
        <w:ind w:left="0"/>
        <w:rPr>
          <w:rFonts w:ascii="Times New Roman" w:hAnsi="Times New Roman" w:cs="Times New Roman"/>
        </w:rPr>
      </w:pPr>
      <w:r w:rsidRPr="00EE2955">
        <w:rPr>
          <w:rFonts w:ascii="Times New Roman" w:hAnsi="Times New Roman" w:cs="Times New Roman"/>
        </w:rPr>
        <w:t xml:space="preserve">ASCARELLI, </w:t>
      </w:r>
      <w:proofErr w:type="spellStart"/>
      <w:r w:rsidRPr="00EE2955">
        <w:rPr>
          <w:rFonts w:ascii="Times New Roman" w:hAnsi="Times New Roman" w:cs="Times New Roman"/>
        </w:rPr>
        <w:t>Tullio</w:t>
      </w:r>
      <w:proofErr w:type="spellEnd"/>
      <w:r w:rsidRPr="00EE2955">
        <w:rPr>
          <w:rFonts w:ascii="Times New Roman" w:hAnsi="Times New Roman" w:cs="Times New Roman"/>
        </w:rPr>
        <w:t xml:space="preserve">.  </w:t>
      </w:r>
      <w:r w:rsidRPr="00D7054D">
        <w:rPr>
          <w:rFonts w:ascii="Times New Roman" w:hAnsi="Times New Roman" w:cs="Times New Roman"/>
          <w:b/>
        </w:rPr>
        <w:t>Teoria geral dos títulos de crédito</w:t>
      </w:r>
      <w:r w:rsidRPr="00EE2955">
        <w:rPr>
          <w:rFonts w:ascii="Times New Roman" w:hAnsi="Times New Roman" w:cs="Times New Roman"/>
        </w:rPr>
        <w:t xml:space="preserve">. </w:t>
      </w:r>
      <w:r w:rsidR="00D7054D">
        <w:rPr>
          <w:rFonts w:ascii="Times New Roman" w:hAnsi="Times New Roman" w:cs="Times New Roman"/>
        </w:rPr>
        <w:t xml:space="preserve">Tradução de Nicolau </w:t>
      </w:r>
      <w:proofErr w:type="spellStart"/>
      <w:r w:rsidR="00D7054D">
        <w:rPr>
          <w:rFonts w:ascii="Times New Roman" w:hAnsi="Times New Roman" w:cs="Times New Roman"/>
        </w:rPr>
        <w:t>Nazo</w:t>
      </w:r>
      <w:proofErr w:type="spellEnd"/>
      <w:r w:rsidR="00D7054D">
        <w:rPr>
          <w:rFonts w:ascii="Times New Roman" w:hAnsi="Times New Roman" w:cs="Times New Roman"/>
        </w:rPr>
        <w:t xml:space="preserve">. 2. </w:t>
      </w:r>
      <w:proofErr w:type="gramStart"/>
      <w:r w:rsidR="00D7054D">
        <w:rPr>
          <w:rFonts w:ascii="Times New Roman" w:hAnsi="Times New Roman" w:cs="Times New Roman"/>
        </w:rPr>
        <w:t>ed.</w:t>
      </w:r>
      <w:proofErr w:type="gramEnd"/>
      <w:r w:rsidR="00D7054D">
        <w:rPr>
          <w:rFonts w:ascii="Times New Roman" w:hAnsi="Times New Roman" w:cs="Times New Roman"/>
        </w:rPr>
        <w:t xml:space="preserve"> </w:t>
      </w:r>
      <w:r w:rsidRPr="00EE2955">
        <w:rPr>
          <w:rFonts w:ascii="Times New Roman" w:hAnsi="Times New Roman" w:cs="Times New Roman"/>
        </w:rPr>
        <w:t>São Paulo: Saraiva</w:t>
      </w:r>
      <w:r>
        <w:rPr>
          <w:rFonts w:ascii="Times New Roman" w:hAnsi="Times New Roman" w:cs="Times New Roman"/>
        </w:rPr>
        <w:t xml:space="preserve">, </w:t>
      </w:r>
      <w:r w:rsidR="00D7054D">
        <w:rPr>
          <w:rFonts w:ascii="Times New Roman" w:hAnsi="Times New Roman" w:cs="Times New Roman"/>
        </w:rPr>
        <w:t>1969.</w:t>
      </w:r>
    </w:p>
    <w:p w:rsidR="00EE2955" w:rsidRDefault="00EE2955" w:rsidP="00B45726">
      <w:pPr>
        <w:pStyle w:val="PargrafodaLista"/>
        <w:tabs>
          <w:tab w:val="left" w:pos="284"/>
        </w:tabs>
        <w:spacing w:line="240" w:lineRule="auto"/>
        <w:ind w:left="0"/>
        <w:rPr>
          <w:rFonts w:ascii="Times New Roman" w:hAnsi="Times New Roman" w:cs="Times New Roman"/>
        </w:rPr>
      </w:pPr>
    </w:p>
    <w:p w:rsidR="00BB66EE" w:rsidRDefault="00BB66EE" w:rsidP="00BB66EE">
      <w:pPr>
        <w:pStyle w:val="PargrafodaLista"/>
        <w:tabs>
          <w:tab w:val="left" w:pos="284"/>
        </w:tabs>
        <w:spacing w:line="240" w:lineRule="auto"/>
        <w:ind w:left="0"/>
        <w:rPr>
          <w:rFonts w:ascii="Times New Roman" w:hAnsi="Times New Roman" w:cs="Times New Roman"/>
        </w:rPr>
      </w:pPr>
      <w:r w:rsidRPr="002916B8">
        <w:rPr>
          <w:rFonts w:ascii="Times New Roman" w:hAnsi="Times New Roman" w:cs="Times New Roman"/>
        </w:rPr>
        <w:t xml:space="preserve">BULGARELLI, </w:t>
      </w:r>
      <w:proofErr w:type="spellStart"/>
      <w:r w:rsidRPr="002916B8">
        <w:rPr>
          <w:rFonts w:ascii="Times New Roman" w:hAnsi="Times New Roman" w:cs="Times New Roman"/>
        </w:rPr>
        <w:t>Waldirio</w:t>
      </w:r>
      <w:proofErr w:type="spellEnd"/>
      <w:r w:rsidRPr="002916B8">
        <w:rPr>
          <w:rFonts w:ascii="Times New Roman" w:hAnsi="Times New Roman" w:cs="Times New Roman"/>
        </w:rPr>
        <w:t xml:space="preserve">. </w:t>
      </w:r>
      <w:r w:rsidR="00D7054D">
        <w:rPr>
          <w:rFonts w:ascii="Times New Roman" w:hAnsi="Times New Roman" w:cs="Times New Roman"/>
          <w:b/>
        </w:rPr>
        <w:t>Direito comercial</w:t>
      </w:r>
      <w:r w:rsidR="00D7054D">
        <w:rPr>
          <w:rFonts w:ascii="Times New Roman" w:hAnsi="Times New Roman" w:cs="Times New Roman"/>
        </w:rPr>
        <w:t xml:space="preserve">. 5. </w:t>
      </w:r>
      <w:proofErr w:type="gramStart"/>
      <w:r w:rsidR="00D7054D">
        <w:rPr>
          <w:rFonts w:ascii="Times New Roman" w:hAnsi="Times New Roman" w:cs="Times New Roman"/>
        </w:rPr>
        <w:t>ed.</w:t>
      </w:r>
      <w:proofErr w:type="gramEnd"/>
      <w:r w:rsidR="00D7054D">
        <w:rPr>
          <w:rFonts w:ascii="Times New Roman" w:hAnsi="Times New Roman" w:cs="Times New Roman"/>
        </w:rPr>
        <w:t xml:space="preserve"> São Paulo: Atlas, 1986</w:t>
      </w:r>
      <w:r>
        <w:rPr>
          <w:rFonts w:ascii="Times New Roman" w:hAnsi="Times New Roman" w:cs="Times New Roman"/>
        </w:rPr>
        <w:t>.</w:t>
      </w:r>
    </w:p>
    <w:p w:rsidR="00D7054D" w:rsidRDefault="00D7054D" w:rsidP="00BB66EE">
      <w:pPr>
        <w:pStyle w:val="PargrafodaLista"/>
        <w:tabs>
          <w:tab w:val="left" w:pos="284"/>
        </w:tabs>
        <w:spacing w:line="240" w:lineRule="auto"/>
        <w:ind w:left="0"/>
        <w:rPr>
          <w:rFonts w:ascii="Times New Roman" w:hAnsi="Times New Roman" w:cs="Times New Roman"/>
        </w:rPr>
      </w:pPr>
    </w:p>
    <w:p w:rsidR="00D7054D" w:rsidRPr="00D7054D" w:rsidRDefault="00D7054D" w:rsidP="00D7054D">
      <w:pPr>
        <w:rPr>
          <w:rFonts w:ascii="Times New Roman" w:hAnsi="Times New Roman" w:cs="Times New Roman"/>
        </w:rPr>
      </w:pPr>
      <w:r w:rsidRPr="00D7054D">
        <w:rPr>
          <w:rFonts w:ascii="Times New Roman" w:hAnsi="Times New Roman" w:cs="Times New Roman"/>
        </w:rPr>
        <w:t xml:space="preserve">BULGARELLI, </w:t>
      </w:r>
      <w:proofErr w:type="spellStart"/>
      <w:r w:rsidRPr="00D7054D">
        <w:rPr>
          <w:rFonts w:ascii="Times New Roman" w:hAnsi="Times New Roman" w:cs="Times New Roman"/>
        </w:rPr>
        <w:t>Waldirio</w:t>
      </w:r>
      <w:proofErr w:type="spellEnd"/>
      <w:r w:rsidRPr="00D7054D">
        <w:rPr>
          <w:rFonts w:ascii="Times New Roman" w:hAnsi="Times New Roman" w:cs="Times New Roman"/>
        </w:rPr>
        <w:t xml:space="preserve">. </w:t>
      </w:r>
      <w:r w:rsidRPr="00D7054D">
        <w:rPr>
          <w:rFonts w:ascii="Times New Roman" w:hAnsi="Times New Roman" w:cs="Times New Roman"/>
          <w:b/>
        </w:rPr>
        <w:t>Títulos de Créditos</w:t>
      </w:r>
      <w:r w:rsidRPr="00D7054D">
        <w:rPr>
          <w:rFonts w:ascii="Times New Roman" w:hAnsi="Times New Roman" w:cs="Times New Roman"/>
        </w:rPr>
        <w:t xml:space="preserve">. 17. </w:t>
      </w:r>
      <w:proofErr w:type="gramStart"/>
      <w:r w:rsidRPr="00D7054D">
        <w:rPr>
          <w:rFonts w:ascii="Times New Roman" w:hAnsi="Times New Roman" w:cs="Times New Roman"/>
        </w:rPr>
        <w:t>ed.</w:t>
      </w:r>
      <w:proofErr w:type="gramEnd"/>
      <w:r w:rsidRPr="00D7054D">
        <w:rPr>
          <w:rFonts w:ascii="Times New Roman" w:hAnsi="Times New Roman" w:cs="Times New Roman"/>
        </w:rPr>
        <w:t xml:space="preserve"> São Paulo: Atlas, 2001.</w:t>
      </w:r>
    </w:p>
    <w:p w:rsidR="00BB66EE" w:rsidRPr="002916B8" w:rsidRDefault="00BB66EE" w:rsidP="00BB66EE">
      <w:pPr>
        <w:pStyle w:val="PargrafodaLista"/>
        <w:tabs>
          <w:tab w:val="left" w:pos="284"/>
        </w:tabs>
        <w:spacing w:line="240" w:lineRule="auto"/>
        <w:ind w:left="0"/>
        <w:rPr>
          <w:rFonts w:ascii="Times New Roman" w:hAnsi="Times New Roman" w:cs="Times New Roman"/>
          <w:b/>
        </w:rPr>
      </w:pPr>
    </w:p>
    <w:p w:rsidR="00BB66EE" w:rsidRDefault="00BB66EE" w:rsidP="00BB66EE">
      <w:pPr>
        <w:spacing w:line="240" w:lineRule="auto"/>
        <w:rPr>
          <w:rFonts w:ascii="Times New Roman" w:hAnsi="Times New Roman" w:cs="Times New Roman"/>
          <w:iCs/>
        </w:rPr>
      </w:pPr>
      <w:r w:rsidRPr="00BB66EE">
        <w:rPr>
          <w:rFonts w:ascii="Times New Roman" w:hAnsi="Times New Roman" w:cs="Times New Roman"/>
          <w:b/>
          <w:iCs/>
        </w:rPr>
        <w:t>Cartilha sobre Serasa e SPC</w:t>
      </w:r>
      <w:r w:rsidRPr="00AF1044">
        <w:rPr>
          <w:rFonts w:ascii="Times New Roman" w:hAnsi="Times New Roman" w:cs="Times New Roman"/>
          <w:iCs/>
        </w:rPr>
        <w:t>.</w:t>
      </w:r>
      <w:r w:rsidRPr="00AF1044">
        <w:rPr>
          <w:rFonts w:ascii="Times New Roman" w:hAnsi="Times New Roman" w:cs="Times New Roman"/>
        </w:rPr>
        <w:t xml:space="preserve"> Disponível em: &lt;</w:t>
      </w:r>
      <w:r w:rsidRPr="00AF1044">
        <w:rPr>
          <w:rFonts w:ascii="Times New Roman" w:hAnsi="Times New Roman" w:cs="Times New Roman"/>
          <w:iCs/>
        </w:rPr>
        <w:t>http://www.jurisway.org.br/v2/dhall.asp?</w:t>
      </w:r>
      <w:proofErr w:type="gramStart"/>
      <w:r w:rsidRPr="00AF1044">
        <w:rPr>
          <w:rFonts w:ascii="Times New Roman" w:hAnsi="Times New Roman" w:cs="Times New Roman"/>
          <w:iCs/>
        </w:rPr>
        <w:t>id_</w:t>
      </w:r>
      <w:proofErr w:type="gramEnd"/>
    </w:p>
    <w:p w:rsidR="00BB66EE" w:rsidRDefault="00BB66EE" w:rsidP="00BB66EE">
      <w:pPr>
        <w:spacing w:line="240" w:lineRule="auto"/>
        <w:rPr>
          <w:rFonts w:ascii="Times New Roman" w:hAnsi="Times New Roman" w:cs="Times New Roman"/>
          <w:iCs/>
        </w:rPr>
      </w:pPr>
      <w:proofErr w:type="spellStart"/>
      <w:proofErr w:type="gramStart"/>
      <w:r w:rsidRPr="00AF1044">
        <w:rPr>
          <w:rFonts w:ascii="Times New Roman" w:hAnsi="Times New Roman" w:cs="Times New Roman"/>
          <w:iCs/>
        </w:rPr>
        <w:t>dh</w:t>
      </w:r>
      <w:proofErr w:type="spellEnd"/>
      <w:proofErr w:type="gramEnd"/>
      <w:r w:rsidRPr="00AF1044">
        <w:rPr>
          <w:rFonts w:ascii="Times New Roman" w:hAnsi="Times New Roman" w:cs="Times New Roman"/>
          <w:iCs/>
        </w:rPr>
        <w:t xml:space="preserve">=4878&gt; Acesso em: 13. </w:t>
      </w:r>
      <w:proofErr w:type="gramStart"/>
      <w:r w:rsidRPr="00AF1044">
        <w:rPr>
          <w:rFonts w:ascii="Times New Roman" w:hAnsi="Times New Roman" w:cs="Times New Roman"/>
          <w:iCs/>
        </w:rPr>
        <w:t>set.</w:t>
      </w:r>
      <w:proofErr w:type="gramEnd"/>
      <w:r w:rsidRPr="00AF1044">
        <w:rPr>
          <w:rFonts w:ascii="Times New Roman" w:hAnsi="Times New Roman" w:cs="Times New Roman"/>
          <w:iCs/>
        </w:rPr>
        <w:t xml:space="preserve"> 2012.</w:t>
      </w:r>
    </w:p>
    <w:p w:rsidR="00BB66EE" w:rsidRPr="00AF1044" w:rsidRDefault="00BB66EE" w:rsidP="00BB66EE">
      <w:pPr>
        <w:spacing w:line="240" w:lineRule="auto"/>
        <w:rPr>
          <w:rFonts w:ascii="Times New Roman" w:hAnsi="Times New Roman" w:cs="Times New Roman"/>
          <w:iCs/>
        </w:rPr>
      </w:pPr>
    </w:p>
    <w:p w:rsidR="00BB66EE" w:rsidRPr="002916B8" w:rsidRDefault="00BB66EE" w:rsidP="00BB66EE">
      <w:pPr>
        <w:tabs>
          <w:tab w:val="left" w:pos="284"/>
        </w:tabs>
        <w:spacing w:line="240" w:lineRule="auto"/>
        <w:rPr>
          <w:rFonts w:ascii="Times New Roman" w:hAnsi="Times New Roman" w:cs="Times New Roman"/>
          <w:b/>
        </w:rPr>
      </w:pPr>
      <w:r w:rsidRPr="002916B8">
        <w:rPr>
          <w:rFonts w:ascii="Times New Roman" w:hAnsi="Times New Roman" w:cs="Times New Roman"/>
        </w:rPr>
        <w:t xml:space="preserve">COELHO, Fábio </w:t>
      </w:r>
      <w:proofErr w:type="spellStart"/>
      <w:r w:rsidRPr="002916B8">
        <w:rPr>
          <w:rFonts w:ascii="Times New Roman" w:hAnsi="Times New Roman" w:cs="Times New Roman"/>
        </w:rPr>
        <w:t>Ulhoa</w:t>
      </w:r>
      <w:proofErr w:type="spellEnd"/>
      <w:r w:rsidRPr="002916B8">
        <w:rPr>
          <w:rFonts w:ascii="Times New Roman" w:hAnsi="Times New Roman" w:cs="Times New Roman"/>
        </w:rPr>
        <w:t xml:space="preserve">. </w:t>
      </w:r>
      <w:r w:rsidRPr="002916B8">
        <w:rPr>
          <w:rFonts w:ascii="Times New Roman" w:hAnsi="Times New Roman" w:cs="Times New Roman"/>
          <w:b/>
        </w:rPr>
        <w:t>Curso de direito comercial</w:t>
      </w:r>
      <w:r w:rsidRPr="002916B8">
        <w:rPr>
          <w:rFonts w:ascii="Times New Roman" w:hAnsi="Times New Roman" w:cs="Times New Roman"/>
        </w:rPr>
        <w:t xml:space="preserve">. São Paulo: </w:t>
      </w:r>
      <w:proofErr w:type="gramStart"/>
      <w:r w:rsidRPr="002916B8">
        <w:rPr>
          <w:rFonts w:ascii="Times New Roman" w:hAnsi="Times New Roman" w:cs="Times New Roman"/>
        </w:rPr>
        <w:t>Saraiva,</w:t>
      </w:r>
      <w:proofErr w:type="gramEnd"/>
      <w:r w:rsidRPr="002916B8">
        <w:rPr>
          <w:rFonts w:ascii="Times New Roman" w:hAnsi="Times New Roman" w:cs="Times New Roman"/>
        </w:rPr>
        <w:t xml:space="preserve"> vol. 1, 1998.</w:t>
      </w:r>
    </w:p>
    <w:p w:rsidR="00BB66EE" w:rsidRDefault="00BB66EE" w:rsidP="00B45726">
      <w:pPr>
        <w:pStyle w:val="PargrafodaLista"/>
        <w:tabs>
          <w:tab w:val="left" w:pos="284"/>
        </w:tabs>
        <w:spacing w:line="240" w:lineRule="auto"/>
        <w:ind w:left="0"/>
        <w:rPr>
          <w:rFonts w:ascii="Times New Roman" w:hAnsi="Times New Roman" w:cs="Times New Roman"/>
          <w:b/>
        </w:rPr>
      </w:pPr>
    </w:p>
    <w:p w:rsidR="00BB66EE" w:rsidRDefault="00BB66EE" w:rsidP="00BB66EE">
      <w:pPr>
        <w:pStyle w:val="PargrafodaLista"/>
        <w:tabs>
          <w:tab w:val="left" w:pos="284"/>
        </w:tabs>
        <w:spacing w:line="240" w:lineRule="auto"/>
        <w:ind w:left="0"/>
        <w:rPr>
          <w:rFonts w:ascii="Times New Roman" w:hAnsi="Times New Roman" w:cs="Times New Roman"/>
        </w:rPr>
      </w:pPr>
      <w:r>
        <w:rPr>
          <w:rFonts w:ascii="Times New Roman" w:hAnsi="Times New Roman" w:cs="Times New Roman"/>
        </w:rPr>
        <w:t xml:space="preserve">DINIZ, </w:t>
      </w:r>
      <w:r w:rsidRPr="00335D7F">
        <w:rPr>
          <w:rFonts w:ascii="Times New Roman" w:hAnsi="Times New Roman" w:cs="Times New Roman"/>
        </w:rPr>
        <w:t>Maria</w:t>
      </w:r>
      <w:r>
        <w:rPr>
          <w:rFonts w:ascii="Times New Roman" w:hAnsi="Times New Roman" w:cs="Times New Roman"/>
        </w:rPr>
        <w:t xml:space="preserve"> Helena. </w:t>
      </w:r>
      <w:r w:rsidRPr="002916B8">
        <w:rPr>
          <w:rFonts w:ascii="Times New Roman" w:hAnsi="Times New Roman" w:cs="Times New Roman"/>
          <w:b/>
        </w:rPr>
        <w:t>Tratado Teórico e Prático dos Contratos</w:t>
      </w:r>
      <w:r>
        <w:rPr>
          <w:rFonts w:ascii="Times New Roman" w:hAnsi="Times New Roman" w:cs="Times New Roman"/>
        </w:rPr>
        <w:t xml:space="preserve">. 5. </w:t>
      </w:r>
      <w:proofErr w:type="gramStart"/>
      <w:r>
        <w:rPr>
          <w:rFonts w:ascii="Times New Roman" w:hAnsi="Times New Roman" w:cs="Times New Roman"/>
        </w:rPr>
        <w:t>ed.</w:t>
      </w:r>
      <w:proofErr w:type="gramEnd"/>
      <w:r>
        <w:rPr>
          <w:rFonts w:ascii="Times New Roman" w:hAnsi="Times New Roman" w:cs="Times New Roman"/>
        </w:rPr>
        <w:t xml:space="preserve"> São Paulo: Saraiva, 2012. </w:t>
      </w:r>
      <w:proofErr w:type="gramStart"/>
      <w:r>
        <w:rPr>
          <w:rFonts w:ascii="Times New Roman" w:hAnsi="Times New Roman" w:cs="Times New Roman"/>
        </w:rPr>
        <w:t>vol.</w:t>
      </w:r>
      <w:proofErr w:type="gramEnd"/>
      <w:r>
        <w:rPr>
          <w:rFonts w:ascii="Times New Roman" w:hAnsi="Times New Roman" w:cs="Times New Roman"/>
        </w:rPr>
        <w:t xml:space="preserve"> 7.</w:t>
      </w:r>
    </w:p>
    <w:p w:rsidR="00B45726" w:rsidRDefault="00B45726" w:rsidP="00B45726">
      <w:pPr>
        <w:pStyle w:val="PargrafodaLista"/>
        <w:tabs>
          <w:tab w:val="left" w:pos="284"/>
        </w:tabs>
        <w:spacing w:line="240" w:lineRule="auto"/>
        <w:ind w:left="0"/>
        <w:rPr>
          <w:rFonts w:ascii="Times New Roman" w:hAnsi="Times New Roman" w:cs="Times New Roman"/>
          <w:b/>
        </w:rPr>
      </w:pPr>
    </w:p>
    <w:p w:rsidR="00B45726" w:rsidRDefault="00B45726" w:rsidP="00B45726">
      <w:pPr>
        <w:pStyle w:val="PargrafodaLista"/>
        <w:tabs>
          <w:tab w:val="left" w:pos="284"/>
        </w:tabs>
        <w:spacing w:line="240" w:lineRule="auto"/>
        <w:ind w:left="0"/>
        <w:rPr>
          <w:rFonts w:ascii="Times New Roman" w:hAnsi="Times New Roman" w:cs="Times New Roman"/>
          <w:b/>
        </w:rPr>
      </w:pPr>
      <w:r>
        <w:rPr>
          <w:rFonts w:ascii="Times New Roman" w:hAnsi="Times New Roman" w:cs="Times New Roman"/>
        </w:rPr>
        <w:t xml:space="preserve">GAGLIANO, Pablo </w:t>
      </w:r>
      <w:proofErr w:type="spellStart"/>
      <w:r>
        <w:rPr>
          <w:rFonts w:ascii="Times New Roman" w:hAnsi="Times New Roman" w:cs="Times New Roman"/>
        </w:rPr>
        <w:t>Stolze</w:t>
      </w:r>
      <w:proofErr w:type="spellEnd"/>
      <w:r>
        <w:rPr>
          <w:rFonts w:ascii="Times New Roman" w:hAnsi="Times New Roman" w:cs="Times New Roman"/>
        </w:rPr>
        <w:t xml:space="preserve">; PAMPOLHA FILHO, Rodolfo. </w:t>
      </w:r>
      <w:r w:rsidRPr="002916B8">
        <w:rPr>
          <w:rFonts w:ascii="Times New Roman" w:hAnsi="Times New Roman" w:cs="Times New Roman"/>
          <w:b/>
        </w:rPr>
        <w:t>Novo Curso de Direito Civil</w:t>
      </w:r>
      <w:r>
        <w:rPr>
          <w:rFonts w:ascii="Times New Roman" w:hAnsi="Times New Roman" w:cs="Times New Roman"/>
        </w:rPr>
        <w:t xml:space="preserve">. São Paulo: </w:t>
      </w:r>
      <w:proofErr w:type="gramStart"/>
      <w:r>
        <w:rPr>
          <w:rFonts w:ascii="Times New Roman" w:hAnsi="Times New Roman" w:cs="Times New Roman"/>
        </w:rPr>
        <w:t>Saraiva,</w:t>
      </w:r>
      <w:proofErr w:type="gramEnd"/>
      <w:r>
        <w:rPr>
          <w:rFonts w:ascii="Times New Roman" w:hAnsi="Times New Roman" w:cs="Times New Roman"/>
        </w:rPr>
        <w:t xml:space="preserve"> 2012. </w:t>
      </w:r>
      <w:proofErr w:type="gramStart"/>
      <w:r>
        <w:rPr>
          <w:rFonts w:ascii="Times New Roman" w:hAnsi="Times New Roman" w:cs="Times New Roman"/>
        </w:rPr>
        <w:t>vol.</w:t>
      </w:r>
      <w:proofErr w:type="gramEnd"/>
      <w:r>
        <w:rPr>
          <w:rFonts w:ascii="Times New Roman" w:hAnsi="Times New Roman" w:cs="Times New Roman"/>
        </w:rPr>
        <w:t xml:space="preserve"> III</w:t>
      </w:r>
    </w:p>
    <w:p w:rsidR="00485126" w:rsidRDefault="00485126" w:rsidP="00485126">
      <w:pPr>
        <w:spacing w:line="240" w:lineRule="auto"/>
        <w:rPr>
          <w:rFonts w:ascii="Times New Roman" w:hAnsi="Times New Roman" w:cs="Times New Roman"/>
          <w:iCs/>
        </w:rPr>
      </w:pPr>
    </w:p>
    <w:p w:rsidR="00642A7B" w:rsidRDefault="00642A7B" w:rsidP="00642A7B">
      <w:pPr>
        <w:spacing w:line="240" w:lineRule="auto"/>
        <w:rPr>
          <w:rFonts w:ascii="Times New Roman" w:hAnsi="Times New Roman" w:cs="Times New Roman"/>
          <w:iCs/>
        </w:rPr>
      </w:pPr>
      <w:r w:rsidRPr="00642A7B">
        <w:rPr>
          <w:rFonts w:ascii="Times New Roman" w:hAnsi="Times New Roman" w:cs="Times New Roman"/>
          <w:iCs/>
        </w:rPr>
        <w:t>MARTINS, Fran</w:t>
      </w:r>
      <w:r>
        <w:rPr>
          <w:rFonts w:ascii="Times New Roman" w:hAnsi="Times New Roman" w:cs="Times New Roman"/>
          <w:iCs/>
        </w:rPr>
        <w:t>.</w:t>
      </w:r>
      <w:r w:rsidRPr="00642A7B">
        <w:rPr>
          <w:rFonts w:ascii="Times New Roman" w:hAnsi="Times New Roman" w:cs="Times New Roman"/>
          <w:iCs/>
        </w:rPr>
        <w:t> </w:t>
      </w:r>
      <w:r w:rsidRPr="00642A7B">
        <w:rPr>
          <w:rFonts w:ascii="Times New Roman" w:hAnsi="Times New Roman" w:cs="Times New Roman"/>
          <w:b/>
          <w:bCs/>
          <w:iCs/>
        </w:rPr>
        <w:t>Títulos de Crédito</w:t>
      </w:r>
      <w:r w:rsidRPr="00642A7B">
        <w:rPr>
          <w:rFonts w:ascii="Times New Roman" w:hAnsi="Times New Roman" w:cs="Times New Roman"/>
          <w:iCs/>
        </w:rPr>
        <w:t> – Rio de janeiro: Forense, 2000. </w:t>
      </w:r>
      <w:proofErr w:type="gramStart"/>
      <w:r w:rsidR="00E733A3">
        <w:rPr>
          <w:rFonts w:ascii="Times New Roman" w:hAnsi="Times New Roman" w:cs="Times New Roman"/>
          <w:iCs/>
        </w:rPr>
        <w:t>r</w:t>
      </w:r>
      <w:proofErr w:type="gramEnd"/>
    </w:p>
    <w:p w:rsidR="00642A7B" w:rsidRPr="00642A7B" w:rsidRDefault="00642A7B" w:rsidP="00642A7B">
      <w:pPr>
        <w:spacing w:line="240" w:lineRule="auto"/>
        <w:rPr>
          <w:rFonts w:ascii="Times New Roman" w:hAnsi="Times New Roman" w:cs="Times New Roman"/>
          <w:iCs/>
        </w:rPr>
      </w:pPr>
    </w:p>
    <w:p w:rsidR="00BB66EE" w:rsidRDefault="00BB66EE" w:rsidP="00485126">
      <w:pPr>
        <w:spacing w:line="240" w:lineRule="auto"/>
        <w:rPr>
          <w:rFonts w:ascii="Times New Roman" w:hAnsi="Times New Roman" w:cs="Times New Roman"/>
          <w:iCs/>
        </w:rPr>
      </w:pPr>
      <w:r w:rsidRPr="00AF67E5">
        <w:rPr>
          <w:rFonts w:ascii="Times New Roman" w:hAnsi="Times New Roman" w:cs="Times New Roman"/>
          <w:iCs/>
        </w:rPr>
        <w:t>OLIVEIRA, Celso Marcelo de. Cadastro de restrição de crédito e a visão do Superior Tribunal de Justiça. </w:t>
      </w:r>
      <w:r w:rsidRPr="00AF67E5">
        <w:rPr>
          <w:rFonts w:ascii="Times New Roman" w:hAnsi="Times New Roman" w:cs="Times New Roman"/>
          <w:b/>
          <w:bCs/>
          <w:iCs/>
        </w:rPr>
        <w:t xml:space="preserve">Jus </w:t>
      </w:r>
      <w:proofErr w:type="spellStart"/>
      <w:r w:rsidRPr="00AF67E5">
        <w:rPr>
          <w:rFonts w:ascii="Times New Roman" w:hAnsi="Times New Roman" w:cs="Times New Roman"/>
          <w:b/>
          <w:bCs/>
          <w:iCs/>
        </w:rPr>
        <w:t>Navigandi</w:t>
      </w:r>
      <w:proofErr w:type="spellEnd"/>
      <w:r w:rsidRPr="00AF67E5">
        <w:rPr>
          <w:rFonts w:ascii="Times New Roman" w:hAnsi="Times New Roman" w:cs="Times New Roman"/>
          <w:iCs/>
        </w:rPr>
        <w:t xml:space="preserve">, Teresina, ano </w:t>
      </w:r>
      <w:proofErr w:type="gramStart"/>
      <w:r w:rsidRPr="00AF67E5">
        <w:rPr>
          <w:rFonts w:ascii="Times New Roman" w:hAnsi="Times New Roman" w:cs="Times New Roman"/>
          <w:iCs/>
        </w:rPr>
        <w:t>7</w:t>
      </w:r>
      <w:proofErr w:type="gramEnd"/>
      <w:r w:rsidRPr="00AF67E5">
        <w:rPr>
          <w:rFonts w:ascii="Times New Roman" w:hAnsi="Times New Roman" w:cs="Times New Roman"/>
          <w:iCs/>
        </w:rPr>
        <w:t>, n. 57, 1 jul. 2002 . Disponível em: &lt;http://jus.com.br/revista/texto/3017&gt;. Acesso em: 19 set. 2012.</w:t>
      </w:r>
    </w:p>
    <w:p w:rsidR="00BB66EE" w:rsidRDefault="00BB66EE" w:rsidP="00485126">
      <w:pPr>
        <w:spacing w:line="240" w:lineRule="auto"/>
        <w:rPr>
          <w:rFonts w:ascii="Times New Roman" w:hAnsi="Times New Roman" w:cs="Times New Roman"/>
          <w:iCs/>
        </w:rPr>
      </w:pPr>
    </w:p>
    <w:p w:rsidR="00485126" w:rsidRDefault="00485126" w:rsidP="00485126">
      <w:pPr>
        <w:spacing w:line="240" w:lineRule="auto"/>
        <w:rPr>
          <w:rFonts w:ascii="Times New Roman" w:hAnsi="Times New Roman" w:cs="Times New Roman"/>
          <w:iCs/>
        </w:rPr>
      </w:pPr>
      <w:r>
        <w:rPr>
          <w:rFonts w:ascii="Times New Roman" w:hAnsi="Times New Roman" w:cs="Times New Roman"/>
          <w:iCs/>
        </w:rPr>
        <w:t>OLIVEIRA, Giovani Duarte. Inscrição em cadastro de devedores. Disponível em: &lt;</w:t>
      </w:r>
    </w:p>
    <w:p w:rsidR="00485126" w:rsidRDefault="00AF67E5" w:rsidP="00485126">
      <w:pPr>
        <w:spacing w:line="240" w:lineRule="auto"/>
        <w:rPr>
          <w:rFonts w:ascii="Times New Roman" w:hAnsi="Times New Roman" w:cs="Times New Roman"/>
          <w:iCs/>
        </w:rPr>
      </w:pPr>
      <w:r w:rsidRPr="00AF67E5">
        <w:rPr>
          <w:rFonts w:ascii="Times New Roman" w:hAnsi="Times New Roman" w:cs="Times New Roman"/>
          <w:iCs/>
        </w:rPr>
        <w:t>http://giovani-d-de-oliveira-adv.jusbrasil.com.br/noticias/2679570/inscricao-em-cadastros-de-devedores</w:t>
      </w:r>
      <w:r w:rsidR="00485126" w:rsidRPr="00485126">
        <w:rPr>
          <w:rFonts w:ascii="Times New Roman" w:hAnsi="Times New Roman" w:cs="Times New Roman"/>
          <w:iCs/>
        </w:rPr>
        <w:t>&gt;</w:t>
      </w:r>
      <w:r>
        <w:rPr>
          <w:rFonts w:ascii="Times New Roman" w:hAnsi="Times New Roman" w:cs="Times New Roman"/>
          <w:iCs/>
        </w:rPr>
        <w:t xml:space="preserve">. Acesso em: 12. </w:t>
      </w:r>
      <w:proofErr w:type="gramStart"/>
      <w:r>
        <w:rPr>
          <w:rFonts w:ascii="Times New Roman" w:hAnsi="Times New Roman" w:cs="Times New Roman"/>
          <w:iCs/>
        </w:rPr>
        <w:t>set.</w:t>
      </w:r>
      <w:proofErr w:type="gramEnd"/>
      <w:r>
        <w:rPr>
          <w:rFonts w:ascii="Times New Roman" w:hAnsi="Times New Roman" w:cs="Times New Roman"/>
          <w:iCs/>
        </w:rPr>
        <w:t xml:space="preserve"> 2012.</w:t>
      </w:r>
    </w:p>
    <w:p w:rsidR="00BB66EE" w:rsidRDefault="00BB66EE" w:rsidP="00485126">
      <w:pPr>
        <w:spacing w:line="240" w:lineRule="auto"/>
        <w:rPr>
          <w:rFonts w:ascii="Times New Roman" w:hAnsi="Times New Roman" w:cs="Times New Roman"/>
          <w:iCs/>
        </w:rPr>
      </w:pPr>
    </w:p>
    <w:p w:rsidR="00BB66EE" w:rsidRPr="00BB66EE" w:rsidRDefault="00BB66EE" w:rsidP="00BB66EE">
      <w:pPr>
        <w:spacing w:line="240" w:lineRule="auto"/>
        <w:rPr>
          <w:rFonts w:ascii="Times New Roman" w:hAnsi="Times New Roman" w:cs="Times New Roman"/>
          <w:b/>
          <w:iCs/>
        </w:rPr>
      </w:pPr>
      <w:r w:rsidRPr="00BB66EE">
        <w:rPr>
          <w:rFonts w:ascii="Times New Roman" w:hAnsi="Times New Roman" w:cs="Times New Roman"/>
          <w:iCs/>
        </w:rPr>
        <w:t xml:space="preserve">VENOSA, Silvio de Salvo. </w:t>
      </w:r>
      <w:r w:rsidRPr="00BB66EE">
        <w:rPr>
          <w:rFonts w:ascii="Times New Roman" w:hAnsi="Times New Roman" w:cs="Times New Roman"/>
          <w:b/>
          <w:iCs/>
        </w:rPr>
        <w:t>Responsabilidade Civil</w:t>
      </w:r>
      <w:r w:rsidRPr="00BB66EE">
        <w:rPr>
          <w:rFonts w:ascii="Times New Roman" w:hAnsi="Times New Roman" w:cs="Times New Roman"/>
          <w:iCs/>
        </w:rPr>
        <w:t xml:space="preserve">. São Paulo: Atlas, 2011. </w:t>
      </w:r>
      <w:proofErr w:type="gramStart"/>
      <w:r w:rsidRPr="00BB66EE">
        <w:rPr>
          <w:rFonts w:ascii="Times New Roman" w:hAnsi="Times New Roman" w:cs="Times New Roman"/>
          <w:iCs/>
        </w:rPr>
        <w:t>vol.</w:t>
      </w:r>
      <w:proofErr w:type="gramEnd"/>
      <w:r w:rsidRPr="00BB66EE">
        <w:rPr>
          <w:rFonts w:ascii="Times New Roman" w:hAnsi="Times New Roman" w:cs="Times New Roman"/>
          <w:iCs/>
        </w:rPr>
        <w:t xml:space="preserve"> IV</w:t>
      </w:r>
    </w:p>
    <w:p w:rsidR="00BB66EE" w:rsidRPr="00BB66EE" w:rsidRDefault="00BB66EE" w:rsidP="00BB66EE">
      <w:pPr>
        <w:spacing w:line="240" w:lineRule="auto"/>
        <w:rPr>
          <w:rFonts w:ascii="Times New Roman" w:hAnsi="Times New Roman" w:cs="Times New Roman"/>
          <w:iCs/>
        </w:rPr>
      </w:pPr>
    </w:p>
    <w:p w:rsidR="00BB66EE" w:rsidRPr="00BB66EE" w:rsidRDefault="00BB66EE" w:rsidP="00BB66EE">
      <w:pPr>
        <w:spacing w:line="240" w:lineRule="auto"/>
        <w:rPr>
          <w:rFonts w:ascii="Times New Roman" w:hAnsi="Times New Roman" w:cs="Times New Roman"/>
          <w:iCs/>
        </w:rPr>
      </w:pPr>
      <w:r w:rsidRPr="00BB66EE">
        <w:rPr>
          <w:rFonts w:ascii="Times New Roman" w:hAnsi="Times New Roman" w:cs="Times New Roman"/>
          <w:iCs/>
        </w:rPr>
        <w:t xml:space="preserve">WANEIDE BORGES. </w:t>
      </w:r>
      <w:r w:rsidRPr="00BB66EE">
        <w:rPr>
          <w:rFonts w:ascii="Times New Roman" w:hAnsi="Times New Roman" w:cs="Times New Roman"/>
          <w:b/>
          <w:iCs/>
        </w:rPr>
        <w:t>Dos bancos de dados e cadastro de consumidores</w:t>
      </w:r>
      <w:r w:rsidRPr="00BB66EE">
        <w:rPr>
          <w:rFonts w:ascii="Times New Roman" w:hAnsi="Times New Roman" w:cs="Times New Roman"/>
          <w:iCs/>
        </w:rPr>
        <w:t>. Disponível em: &lt;http://artigos.netsaber.com.br/resumo_artigo_1315/artigo_sobre_dos_bancos_de_dados_e_</w:t>
      </w:r>
    </w:p>
    <w:p w:rsidR="00BB66EE" w:rsidRPr="00BB66EE" w:rsidRDefault="00BB66EE" w:rsidP="00BB66EE">
      <w:pPr>
        <w:spacing w:line="240" w:lineRule="auto"/>
        <w:rPr>
          <w:rFonts w:ascii="Times New Roman" w:hAnsi="Times New Roman" w:cs="Times New Roman"/>
          <w:iCs/>
        </w:rPr>
      </w:pPr>
      <w:proofErr w:type="spellStart"/>
      <w:proofErr w:type="gramStart"/>
      <w:r w:rsidRPr="00BB66EE">
        <w:rPr>
          <w:rFonts w:ascii="Times New Roman" w:hAnsi="Times New Roman" w:cs="Times New Roman"/>
          <w:iCs/>
        </w:rPr>
        <w:t>cadastros_de_consumidores</w:t>
      </w:r>
      <w:proofErr w:type="spellEnd"/>
      <w:proofErr w:type="gramEnd"/>
      <w:r w:rsidRPr="00BB66EE">
        <w:rPr>
          <w:rFonts w:ascii="Times New Roman" w:hAnsi="Times New Roman" w:cs="Times New Roman"/>
          <w:iCs/>
        </w:rPr>
        <w:t xml:space="preserve">&gt;. Acesso em: 12. </w:t>
      </w:r>
      <w:proofErr w:type="gramStart"/>
      <w:r w:rsidRPr="00BB66EE">
        <w:rPr>
          <w:rFonts w:ascii="Times New Roman" w:hAnsi="Times New Roman" w:cs="Times New Roman"/>
          <w:iCs/>
        </w:rPr>
        <w:t>set.</w:t>
      </w:r>
      <w:proofErr w:type="gramEnd"/>
      <w:r w:rsidRPr="00BB66EE">
        <w:rPr>
          <w:rFonts w:ascii="Times New Roman" w:hAnsi="Times New Roman" w:cs="Times New Roman"/>
          <w:iCs/>
        </w:rPr>
        <w:t xml:space="preserve"> 2012.</w:t>
      </w:r>
    </w:p>
    <w:p w:rsidR="00FC3AD4" w:rsidRPr="00E733A3" w:rsidRDefault="00AF67E5" w:rsidP="00E733A3">
      <w:pPr>
        <w:spacing w:line="240" w:lineRule="auto"/>
        <w:rPr>
          <w:rFonts w:ascii="Times New Roman" w:hAnsi="Times New Roman" w:cs="Times New Roman"/>
          <w:b/>
          <w:iCs/>
        </w:rPr>
      </w:pPr>
      <w:r w:rsidRPr="00AF67E5">
        <w:rPr>
          <w:rFonts w:ascii="Times New Roman" w:hAnsi="Times New Roman" w:cs="Times New Roman"/>
          <w:iCs/>
        </w:rPr>
        <w:br/>
      </w:r>
      <w:r w:rsidR="00AF1044">
        <w:rPr>
          <w:rFonts w:ascii="Times New Roman" w:hAnsi="Times New Roman" w:cs="Times New Roman"/>
          <w:iCs/>
        </w:rPr>
        <w:t xml:space="preserve">XAVIER, Luciana. Curso online gratuito. Jus </w:t>
      </w:r>
      <w:proofErr w:type="spellStart"/>
      <w:r w:rsidR="00AF1044">
        <w:rPr>
          <w:rFonts w:ascii="Times New Roman" w:hAnsi="Times New Roman" w:cs="Times New Roman"/>
          <w:iCs/>
        </w:rPr>
        <w:t>Navigandi</w:t>
      </w:r>
      <w:proofErr w:type="spellEnd"/>
      <w:r w:rsidR="00AF1044">
        <w:rPr>
          <w:rFonts w:ascii="Times New Roman" w:hAnsi="Times New Roman" w:cs="Times New Roman"/>
          <w:iCs/>
        </w:rPr>
        <w:t xml:space="preserve">. Disponível em: </w:t>
      </w:r>
      <w:r w:rsidR="00AF1044" w:rsidRPr="00AF1044">
        <w:rPr>
          <w:rFonts w:ascii="Times New Roman" w:hAnsi="Times New Roman" w:cs="Times New Roman"/>
          <w:b/>
          <w:iCs/>
        </w:rPr>
        <w:t>http://www.jurisway.org.br/v2/cursoonline.asp?</w:t>
      </w:r>
      <w:proofErr w:type="gramStart"/>
      <w:r w:rsidR="00AF1044" w:rsidRPr="00AF1044">
        <w:rPr>
          <w:rFonts w:ascii="Times New Roman" w:hAnsi="Times New Roman" w:cs="Times New Roman"/>
          <w:b/>
          <w:iCs/>
        </w:rPr>
        <w:t>id_curso</w:t>
      </w:r>
      <w:proofErr w:type="gramEnd"/>
      <w:r w:rsidR="00AF1044" w:rsidRPr="00AF1044">
        <w:rPr>
          <w:rFonts w:ascii="Times New Roman" w:hAnsi="Times New Roman" w:cs="Times New Roman"/>
          <w:b/>
          <w:iCs/>
        </w:rPr>
        <w:t>=756&amp;id_titulo=14355&amp;pagina=18</w:t>
      </w:r>
      <w:r w:rsidR="00AF1044">
        <w:rPr>
          <w:rFonts w:ascii="Times New Roman" w:hAnsi="Times New Roman" w:cs="Times New Roman"/>
          <w:iCs/>
        </w:rPr>
        <w:t>&gt;. Acesso em: 19. Set. 2012.</w:t>
      </w:r>
    </w:p>
    <w:sectPr w:rsidR="00FC3AD4" w:rsidRPr="00E733A3" w:rsidSect="00141BC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254" w:rsidRDefault="001C6254" w:rsidP="00C239E7">
      <w:pPr>
        <w:spacing w:line="240" w:lineRule="auto"/>
      </w:pPr>
      <w:r>
        <w:separator/>
      </w:r>
    </w:p>
  </w:endnote>
  <w:endnote w:type="continuationSeparator" w:id="0">
    <w:p w:rsidR="001C6254" w:rsidRDefault="001C6254" w:rsidP="00C23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254" w:rsidRDefault="001C6254" w:rsidP="00C239E7">
      <w:pPr>
        <w:spacing w:line="240" w:lineRule="auto"/>
      </w:pPr>
      <w:r>
        <w:separator/>
      </w:r>
    </w:p>
  </w:footnote>
  <w:footnote w:type="continuationSeparator" w:id="0">
    <w:p w:rsidR="001C6254" w:rsidRDefault="001C6254" w:rsidP="00C239E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B1BE8"/>
    <w:multiLevelType w:val="hybridMultilevel"/>
    <w:tmpl w:val="5D341A4E"/>
    <w:lvl w:ilvl="0" w:tplc="D6982470">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4A8A4EA0"/>
    <w:multiLevelType w:val="multilevel"/>
    <w:tmpl w:val="443E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A96D45"/>
    <w:multiLevelType w:val="hybridMultilevel"/>
    <w:tmpl w:val="7BB665DC"/>
    <w:lvl w:ilvl="0" w:tplc="7E0641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2287E01"/>
    <w:multiLevelType w:val="hybridMultilevel"/>
    <w:tmpl w:val="931C39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E1422B7"/>
    <w:multiLevelType w:val="hybridMultilevel"/>
    <w:tmpl w:val="75DAC7C0"/>
    <w:lvl w:ilvl="0" w:tplc="794CF22E">
      <w:start w:val="1"/>
      <w:numFmt w:val="lowerLetter"/>
      <w:lvlText w:val="%1)"/>
      <w:lvlJc w:val="left"/>
      <w:pPr>
        <w:ind w:left="720" w:hanging="360"/>
      </w:pPr>
      <w:rPr>
        <w:rFonts w:hint="default"/>
        <w:b w:val="0"/>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675B"/>
    <w:rsid w:val="00002EFB"/>
    <w:rsid w:val="00010C87"/>
    <w:rsid w:val="00047362"/>
    <w:rsid w:val="0005164C"/>
    <w:rsid w:val="00052599"/>
    <w:rsid w:val="000A1B8A"/>
    <w:rsid w:val="000C19C3"/>
    <w:rsid w:val="000C2545"/>
    <w:rsid w:val="000E64D9"/>
    <w:rsid w:val="001162DA"/>
    <w:rsid w:val="00134633"/>
    <w:rsid w:val="00141BCB"/>
    <w:rsid w:val="00146107"/>
    <w:rsid w:val="001531B8"/>
    <w:rsid w:val="00193D53"/>
    <w:rsid w:val="00195895"/>
    <w:rsid w:val="001C6254"/>
    <w:rsid w:val="001F59D2"/>
    <w:rsid w:val="00261920"/>
    <w:rsid w:val="00265667"/>
    <w:rsid w:val="00285C63"/>
    <w:rsid w:val="002916B8"/>
    <w:rsid w:val="002D31B1"/>
    <w:rsid w:val="002E65DF"/>
    <w:rsid w:val="00317A70"/>
    <w:rsid w:val="00342057"/>
    <w:rsid w:val="00362AB8"/>
    <w:rsid w:val="00387BA5"/>
    <w:rsid w:val="0039483F"/>
    <w:rsid w:val="003C0294"/>
    <w:rsid w:val="003E49C5"/>
    <w:rsid w:val="0041046C"/>
    <w:rsid w:val="00432659"/>
    <w:rsid w:val="004736CE"/>
    <w:rsid w:val="00485126"/>
    <w:rsid w:val="004949EF"/>
    <w:rsid w:val="004E02F9"/>
    <w:rsid w:val="004F529A"/>
    <w:rsid w:val="004F5E22"/>
    <w:rsid w:val="00590EE7"/>
    <w:rsid w:val="005A4F8A"/>
    <w:rsid w:val="005E0DB8"/>
    <w:rsid w:val="005E6BDF"/>
    <w:rsid w:val="005F229A"/>
    <w:rsid w:val="006006DD"/>
    <w:rsid w:val="00601B60"/>
    <w:rsid w:val="00630ED3"/>
    <w:rsid w:val="00642A7B"/>
    <w:rsid w:val="006552FD"/>
    <w:rsid w:val="006620B4"/>
    <w:rsid w:val="00663BF8"/>
    <w:rsid w:val="00664563"/>
    <w:rsid w:val="006B3891"/>
    <w:rsid w:val="006F0E0E"/>
    <w:rsid w:val="0073039E"/>
    <w:rsid w:val="00732EFE"/>
    <w:rsid w:val="007451C5"/>
    <w:rsid w:val="00763397"/>
    <w:rsid w:val="007640AF"/>
    <w:rsid w:val="0076710D"/>
    <w:rsid w:val="007766E1"/>
    <w:rsid w:val="007A748D"/>
    <w:rsid w:val="007C2DF5"/>
    <w:rsid w:val="00807EF0"/>
    <w:rsid w:val="00841FAB"/>
    <w:rsid w:val="0084470F"/>
    <w:rsid w:val="008C6E63"/>
    <w:rsid w:val="008D7D1A"/>
    <w:rsid w:val="008E4AA4"/>
    <w:rsid w:val="008F1F6F"/>
    <w:rsid w:val="008F6E59"/>
    <w:rsid w:val="00917AD1"/>
    <w:rsid w:val="00927EB6"/>
    <w:rsid w:val="00941F7F"/>
    <w:rsid w:val="00972F97"/>
    <w:rsid w:val="009A2520"/>
    <w:rsid w:val="009A34B3"/>
    <w:rsid w:val="009A4145"/>
    <w:rsid w:val="009E30DC"/>
    <w:rsid w:val="009F4112"/>
    <w:rsid w:val="009F4587"/>
    <w:rsid w:val="009F5829"/>
    <w:rsid w:val="00A21D23"/>
    <w:rsid w:val="00A72C6E"/>
    <w:rsid w:val="00A8468B"/>
    <w:rsid w:val="00AB71E6"/>
    <w:rsid w:val="00AE5287"/>
    <w:rsid w:val="00AF1044"/>
    <w:rsid w:val="00AF67E5"/>
    <w:rsid w:val="00B14F67"/>
    <w:rsid w:val="00B24405"/>
    <w:rsid w:val="00B43679"/>
    <w:rsid w:val="00B45726"/>
    <w:rsid w:val="00B65B5C"/>
    <w:rsid w:val="00B66C3B"/>
    <w:rsid w:val="00B71F68"/>
    <w:rsid w:val="00BB66EE"/>
    <w:rsid w:val="00BC1723"/>
    <w:rsid w:val="00BC687F"/>
    <w:rsid w:val="00C239E7"/>
    <w:rsid w:val="00C76801"/>
    <w:rsid w:val="00CD4D4C"/>
    <w:rsid w:val="00CF1FCE"/>
    <w:rsid w:val="00CF675B"/>
    <w:rsid w:val="00D27179"/>
    <w:rsid w:val="00D27E14"/>
    <w:rsid w:val="00D7054D"/>
    <w:rsid w:val="00D96A98"/>
    <w:rsid w:val="00DA0AFE"/>
    <w:rsid w:val="00DA182F"/>
    <w:rsid w:val="00DA2BC7"/>
    <w:rsid w:val="00DA5AD4"/>
    <w:rsid w:val="00DB1666"/>
    <w:rsid w:val="00DD58FD"/>
    <w:rsid w:val="00DF036C"/>
    <w:rsid w:val="00E14312"/>
    <w:rsid w:val="00E733A3"/>
    <w:rsid w:val="00E76E66"/>
    <w:rsid w:val="00EC023D"/>
    <w:rsid w:val="00EC71E2"/>
    <w:rsid w:val="00EE2955"/>
    <w:rsid w:val="00F121A3"/>
    <w:rsid w:val="00F44365"/>
    <w:rsid w:val="00F47B94"/>
    <w:rsid w:val="00F5107C"/>
    <w:rsid w:val="00F738B3"/>
    <w:rsid w:val="00FC20CE"/>
    <w:rsid w:val="00FC3AD4"/>
    <w:rsid w:val="00FE5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726"/>
  </w:style>
  <w:style w:type="paragraph" w:styleId="Ttulo3">
    <w:name w:val="heading 3"/>
    <w:basedOn w:val="Normal"/>
    <w:next w:val="Normal"/>
    <w:link w:val="Ttulo3Char"/>
    <w:uiPriority w:val="9"/>
    <w:semiHidden/>
    <w:unhideWhenUsed/>
    <w:qFormat/>
    <w:rsid w:val="00663BF8"/>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5726"/>
    <w:pPr>
      <w:ind w:left="720"/>
      <w:contextualSpacing/>
    </w:pPr>
  </w:style>
  <w:style w:type="character" w:styleId="Hyperlink">
    <w:name w:val="Hyperlink"/>
    <w:basedOn w:val="Fontepargpadro"/>
    <w:uiPriority w:val="99"/>
    <w:unhideWhenUsed/>
    <w:rsid w:val="00DF036C"/>
    <w:rPr>
      <w:color w:val="0000FF" w:themeColor="hyperlink"/>
      <w:u w:val="single"/>
    </w:rPr>
  </w:style>
  <w:style w:type="character" w:styleId="HiperlinkVisitado">
    <w:name w:val="FollowedHyperlink"/>
    <w:basedOn w:val="Fontepargpadro"/>
    <w:uiPriority w:val="99"/>
    <w:semiHidden/>
    <w:unhideWhenUsed/>
    <w:rsid w:val="006B3891"/>
    <w:rPr>
      <w:color w:val="800080" w:themeColor="followedHyperlink"/>
      <w:u w:val="single"/>
    </w:rPr>
  </w:style>
  <w:style w:type="paragraph" w:styleId="NormalWeb">
    <w:name w:val="Normal (Web)"/>
    <w:basedOn w:val="Normal"/>
    <w:uiPriority w:val="99"/>
    <w:semiHidden/>
    <w:unhideWhenUsed/>
    <w:rsid w:val="003C0294"/>
    <w:rPr>
      <w:rFonts w:ascii="Times New Roman" w:hAnsi="Times New Roman" w:cs="Times New Roman"/>
      <w:szCs w:val="24"/>
    </w:rPr>
  </w:style>
  <w:style w:type="character" w:customStyle="1" w:styleId="Ttulo3Char">
    <w:name w:val="Título 3 Char"/>
    <w:basedOn w:val="Fontepargpadro"/>
    <w:link w:val="Ttulo3"/>
    <w:uiPriority w:val="9"/>
    <w:semiHidden/>
    <w:rsid w:val="00663BF8"/>
    <w:rPr>
      <w:rFonts w:asciiTheme="majorHAnsi" w:eastAsiaTheme="majorEastAsia" w:hAnsiTheme="majorHAnsi" w:cstheme="majorBidi"/>
      <w:b/>
      <w:bCs/>
      <w:color w:val="4F81BD" w:themeColor="accent1"/>
    </w:rPr>
  </w:style>
  <w:style w:type="paragraph" w:styleId="Cabealho">
    <w:name w:val="header"/>
    <w:basedOn w:val="Normal"/>
    <w:link w:val="CabealhoChar"/>
    <w:uiPriority w:val="99"/>
    <w:unhideWhenUsed/>
    <w:rsid w:val="00C239E7"/>
    <w:pPr>
      <w:tabs>
        <w:tab w:val="center" w:pos="4252"/>
        <w:tab w:val="right" w:pos="8504"/>
      </w:tabs>
      <w:spacing w:line="240" w:lineRule="auto"/>
    </w:pPr>
  </w:style>
  <w:style w:type="character" w:customStyle="1" w:styleId="CabealhoChar">
    <w:name w:val="Cabeçalho Char"/>
    <w:basedOn w:val="Fontepargpadro"/>
    <w:link w:val="Cabealho"/>
    <w:uiPriority w:val="99"/>
    <w:rsid w:val="00C239E7"/>
  </w:style>
  <w:style w:type="paragraph" w:styleId="Rodap">
    <w:name w:val="footer"/>
    <w:basedOn w:val="Normal"/>
    <w:link w:val="RodapChar"/>
    <w:uiPriority w:val="99"/>
    <w:unhideWhenUsed/>
    <w:rsid w:val="00C239E7"/>
    <w:pPr>
      <w:tabs>
        <w:tab w:val="center" w:pos="4252"/>
        <w:tab w:val="right" w:pos="8504"/>
      </w:tabs>
      <w:spacing w:line="240" w:lineRule="auto"/>
    </w:pPr>
  </w:style>
  <w:style w:type="character" w:customStyle="1" w:styleId="RodapChar">
    <w:name w:val="Rodapé Char"/>
    <w:basedOn w:val="Fontepargpadro"/>
    <w:link w:val="Rodap"/>
    <w:uiPriority w:val="99"/>
    <w:rsid w:val="00C23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726"/>
  </w:style>
  <w:style w:type="paragraph" w:styleId="Ttulo3">
    <w:name w:val="heading 3"/>
    <w:basedOn w:val="Normal"/>
    <w:next w:val="Normal"/>
    <w:link w:val="Ttulo3Char"/>
    <w:uiPriority w:val="9"/>
    <w:semiHidden/>
    <w:unhideWhenUsed/>
    <w:qFormat/>
    <w:rsid w:val="00663BF8"/>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5726"/>
    <w:pPr>
      <w:ind w:left="720"/>
      <w:contextualSpacing/>
    </w:pPr>
  </w:style>
  <w:style w:type="character" w:styleId="Hyperlink">
    <w:name w:val="Hyperlink"/>
    <w:basedOn w:val="Fontepargpadro"/>
    <w:uiPriority w:val="99"/>
    <w:unhideWhenUsed/>
    <w:rsid w:val="00DF036C"/>
    <w:rPr>
      <w:color w:val="0000FF" w:themeColor="hyperlink"/>
      <w:u w:val="single"/>
    </w:rPr>
  </w:style>
  <w:style w:type="character" w:styleId="HiperlinkVisitado">
    <w:name w:val="FollowedHyperlink"/>
    <w:basedOn w:val="Fontepargpadro"/>
    <w:uiPriority w:val="99"/>
    <w:semiHidden/>
    <w:unhideWhenUsed/>
    <w:rsid w:val="006B3891"/>
    <w:rPr>
      <w:color w:val="800080" w:themeColor="followedHyperlink"/>
      <w:u w:val="single"/>
    </w:rPr>
  </w:style>
  <w:style w:type="paragraph" w:styleId="NormalWeb">
    <w:name w:val="Normal (Web)"/>
    <w:basedOn w:val="Normal"/>
    <w:uiPriority w:val="99"/>
    <w:semiHidden/>
    <w:unhideWhenUsed/>
    <w:rsid w:val="003C0294"/>
    <w:rPr>
      <w:rFonts w:ascii="Times New Roman" w:hAnsi="Times New Roman" w:cs="Times New Roman"/>
      <w:szCs w:val="24"/>
    </w:rPr>
  </w:style>
  <w:style w:type="character" w:customStyle="1" w:styleId="Ttulo3Char">
    <w:name w:val="Título 3 Char"/>
    <w:basedOn w:val="Fontepargpadro"/>
    <w:link w:val="Ttulo3"/>
    <w:uiPriority w:val="9"/>
    <w:semiHidden/>
    <w:rsid w:val="00663BF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3443">
      <w:bodyDiv w:val="1"/>
      <w:marLeft w:val="0"/>
      <w:marRight w:val="0"/>
      <w:marTop w:val="0"/>
      <w:marBottom w:val="0"/>
      <w:divBdr>
        <w:top w:val="none" w:sz="0" w:space="0" w:color="auto"/>
        <w:left w:val="none" w:sz="0" w:space="0" w:color="auto"/>
        <w:bottom w:val="none" w:sz="0" w:space="0" w:color="auto"/>
        <w:right w:val="none" w:sz="0" w:space="0" w:color="auto"/>
      </w:divBdr>
    </w:div>
    <w:div w:id="171530680">
      <w:bodyDiv w:val="1"/>
      <w:marLeft w:val="0"/>
      <w:marRight w:val="0"/>
      <w:marTop w:val="0"/>
      <w:marBottom w:val="0"/>
      <w:divBdr>
        <w:top w:val="none" w:sz="0" w:space="0" w:color="auto"/>
        <w:left w:val="none" w:sz="0" w:space="0" w:color="auto"/>
        <w:bottom w:val="none" w:sz="0" w:space="0" w:color="auto"/>
        <w:right w:val="none" w:sz="0" w:space="0" w:color="auto"/>
      </w:divBdr>
    </w:div>
    <w:div w:id="186137678">
      <w:bodyDiv w:val="1"/>
      <w:marLeft w:val="0"/>
      <w:marRight w:val="0"/>
      <w:marTop w:val="0"/>
      <w:marBottom w:val="0"/>
      <w:divBdr>
        <w:top w:val="none" w:sz="0" w:space="0" w:color="auto"/>
        <w:left w:val="none" w:sz="0" w:space="0" w:color="auto"/>
        <w:bottom w:val="none" w:sz="0" w:space="0" w:color="auto"/>
        <w:right w:val="none" w:sz="0" w:space="0" w:color="auto"/>
      </w:divBdr>
    </w:div>
    <w:div w:id="618613251">
      <w:bodyDiv w:val="1"/>
      <w:marLeft w:val="0"/>
      <w:marRight w:val="0"/>
      <w:marTop w:val="0"/>
      <w:marBottom w:val="0"/>
      <w:divBdr>
        <w:top w:val="none" w:sz="0" w:space="0" w:color="auto"/>
        <w:left w:val="none" w:sz="0" w:space="0" w:color="auto"/>
        <w:bottom w:val="none" w:sz="0" w:space="0" w:color="auto"/>
        <w:right w:val="none" w:sz="0" w:space="0" w:color="auto"/>
      </w:divBdr>
    </w:div>
    <w:div w:id="632105282">
      <w:bodyDiv w:val="1"/>
      <w:marLeft w:val="0"/>
      <w:marRight w:val="0"/>
      <w:marTop w:val="0"/>
      <w:marBottom w:val="0"/>
      <w:divBdr>
        <w:top w:val="none" w:sz="0" w:space="0" w:color="auto"/>
        <w:left w:val="none" w:sz="0" w:space="0" w:color="auto"/>
        <w:bottom w:val="none" w:sz="0" w:space="0" w:color="auto"/>
        <w:right w:val="none" w:sz="0" w:space="0" w:color="auto"/>
      </w:divBdr>
    </w:div>
    <w:div w:id="719786715">
      <w:bodyDiv w:val="1"/>
      <w:marLeft w:val="0"/>
      <w:marRight w:val="0"/>
      <w:marTop w:val="0"/>
      <w:marBottom w:val="0"/>
      <w:divBdr>
        <w:top w:val="none" w:sz="0" w:space="0" w:color="auto"/>
        <w:left w:val="none" w:sz="0" w:space="0" w:color="auto"/>
        <w:bottom w:val="none" w:sz="0" w:space="0" w:color="auto"/>
        <w:right w:val="none" w:sz="0" w:space="0" w:color="auto"/>
      </w:divBdr>
    </w:div>
    <w:div w:id="829294917">
      <w:bodyDiv w:val="1"/>
      <w:marLeft w:val="0"/>
      <w:marRight w:val="0"/>
      <w:marTop w:val="0"/>
      <w:marBottom w:val="0"/>
      <w:divBdr>
        <w:top w:val="none" w:sz="0" w:space="0" w:color="auto"/>
        <w:left w:val="none" w:sz="0" w:space="0" w:color="auto"/>
        <w:bottom w:val="none" w:sz="0" w:space="0" w:color="auto"/>
        <w:right w:val="none" w:sz="0" w:space="0" w:color="auto"/>
      </w:divBdr>
    </w:div>
    <w:div w:id="874738080">
      <w:bodyDiv w:val="1"/>
      <w:marLeft w:val="0"/>
      <w:marRight w:val="0"/>
      <w:marTop w:val="0"/>
      <w:marBottom w:val="0"/>
      <w:divBdr>
        <w:top w:val="none" w:sz="0" w:space="0" w:color="auto"/>
        <w:left w:val="none" w:sz="0" w:space="0" w:color="auto"/>
        <w:bottom w:val="none" w:sz="0" w:space="0" w:color="auto"/>
        <w:right w:val="none" w:sz="0" w:space="0" w:color="auto"/>
      </w:divBdr>
    </w:div>
    <w:div w:id="893662900">
      <w:bodyDiv w:val="1"/>
      <w:marLeft w:val="0"/>
      <w:marRight w:val="0"/>
      <w:marTop w:val="0"/>
      <w:marBottom w:val="0"/>
      <w:divBdr>
        <w:top w:val="none" w:sz="0" w:space="0" w:color="auto"/>
        <w:left w:val="none" w:sz="0" w:space="0" w:color="auto"/>
        <w:bottom w:val="none" w:sz="0" w:space="0" w:color="auto"/>
        <w:right w:val="none" w:sz="0" w:space="0" w:color="auto"/>
      </w:divBdr>
    </w:div>
    <w:div w:id="1050879021">
      <w:bodyDiv w:val="1"/>
      <w:marLeft w:val="0"/>
      <w:marRight w:val="0"/>
      <w:marTop w:val="0"/>
      <w:marBottom w:val="0"/>
      <w:divBdr>
        <w:top w:val="none" w:sz="0" w:space="0" w:color="auto"/>
        <w:left w:val="none" w:sz="0" w:space="0" w:color="auto"/>
        <w:bottom w:val="none" w:sz="0" w:space="0" w:color="auto"/>
        <w:right w:val="none" w:sz="0" w:space="0" w:color="auto"/>
      </w:divBdr>
    </w:div>
    <w:div w:id="1297906808">
      <w:bodyDiv w:val="1"/>
      <w:marLeft w:val="0"/>
      <w:marRight w:val="0"/>
      <w:marTop w:val="0"/>
      <w:marBottom w:val="0"/>
      <w:divBdr>
        <w:top w:val="none" w:sz="0" w:space="0" w:color="auto"/>
        <w:left w:val="none" w:sz="0" w:space="0" w:color="auto"/>
        <w:bottom w:val="none" w:sz="0" w:space="0" w:color="auto"/>
        <w:right w:val="none" w:sz="0" w:space="0" w:color="auto"/>
      </w:divBdr>
    </w:div>
    <w:div w:id="1542279577">
      <w:bodyDiv w:val="1"/>
      <w:marLeft w:val="0"/>
      <w:marRight w:val="0"/>
      <w:marTop w:val="0"/>
      <w:marBottom w:val="0"/>
      <w:divBdr>
        <w:top w:val="none" w:sz="0" w:space="0" w:color="auto"/>
        <w:left w:val="none" w:sz="0" w:space="0" w:color="auto"/>
        <w:bottom w:val="none" w:sz="0" w:space="0" w:color="auto"/>
        <w:right w:val="none" w:sz="0" w:space="0" w:color="auto"/>
      </w:divBdr>
    </w:div>
    <w:div w:id="1626811856">
      <w:bodyDiv w:val="1"/>
      <w:marLeft w:val="0"/>
      <w:marRight w:val="0"/>
      <w:marTop w:val="0"/>
      <w:marBottom w:val="0"/>
      <w:divBdr>
        <w:top w:val="none" w:sz="0" w:space="0" w:color="auto"/>
        <w:left w:val="none" w:sz="0" w:space="0" w:color="auto"/>
        <w:bottom w:val="none" w:sz="0" w:space="0" w:color="auto"/>
        <w:right w:val="none" w:sz="0" w:space="0" w:color="auto"/>
      </w:divBdr>
    </w:div>
    <w:div w:id="1636714540">
      <w:bodyDiv w:val="1"/>
      <w:marLeft w:val="0"/>
      <w:marRight w:val="0"/>
      <w:marTop w:val="0"/>
      <w:marBottom w:val="0"/>
      <w:divBdr>
        <w:top w:val="none" w:sz="0" w:space="0" w:color="auto"/>
        <w:left w:val="none" w:sz="0" w:space="0" w:color="auto"/>
        <w:bottom w:val="none" w:sz="0" w:space="0" w:color="auto"/>
        <w:right w:val="none" w:sz="0" w:space="0" w:color="auto"/>
      </w:divBdr>
    </w:div>
    <w:div w:id="1720863253">
      <w:bodyDiv w:val="1"/>
      <w:marLeft w:val="0"/>
      <w:marRight w:val="0"/>
      <w:marTop w:val="0"/>
      <w:marBottom w:val="0"/>
      <w:divBdr>
        <w:top w:val="none" w:sz="0" w:space="0" w:color="auto"/>
        <w:left w:val="none" w:sz="0" w:space="0" w:color="auto"/>
        <w:bottom w:val="none" w:sz="0" w:space="0" w:color="auto"/>
        <w:right w:val="none" w:sz="0" w:space="0" w:color="auto"/>
      </w:divBdr>
    </w:div>
    <w:div w:id="1862426716">
      <w:bodyDiv w:val="1"/>
      <w:marLeft w:val="0"/>
      <w:marRight w:val="0"/>
      <w:marTop w:val="0"/>
      <w:marBottom w:val="0"/>
      <w:divBdr>
        <w:top w:val="none" w:sz="0" w:space="0" w:color="auto"/>
        <w:left w:val="none" w:sz="0" w:space="0" w:color="auto"/>
        <w:bottom w:val="none" w:sz="0" w:space="0" w:color="auto"/>
        <w:right w:val="none" w:sz="0" w:space="0" w:color="auto"/>
      </w:divBdr>
    </w:div>
    <w:div w:id="1893542775">
      <w:bodyDiv w:val="1"/>
      <w:marLeft w:val="0"/>
      <w:marRight w:val="0"/>
      <w:marTop w:val="0"/>
      <w:marBottom w:val="0"/>
      <w:divBdr>
        <w:top w:val="none" w:sz="0" w:space="0" w:color="auto"/>
        <w:left w:val="none" w:sz="0" w:space="0" w:color="auto"/>
        <w:bottom w:val="none" w:sz="0" w:space="0" w:color="auto"/>
        <w:right w:val="none" w:sz="0" w:space="0" w:color="auto"/>
      </w:divBdr>
    </w:div>
    <w:div w:id="1925918381">
      <w:bodyDiv w:val="1"/>
      <w:marLeft w:val="0"/>
      <w:marRight w:val="0"/>
      <w:marTop w:val="0"/>
      <w:marBottom w:val="0"/>
      <w:divBdr>
        <w:top w:val="none" w:sz="0" w:space="0" w:color="auto"/>
        <w:left w:val="none" w:sz="0" w:space="0" w:color="auto"/>
        <w:bottom w:val="none" w:sz="0" w:space="0" w:color="auto"/>
        <w:right w:val="none" w:sz="0" w:space="0" w:color="auto"/>
      </w:divBdr>
    </w:div>
    <w:div w:id="1934432257">
      <w:bodyDiv w:val="1"/>
      <w:marLeft w:val="0"/>
      <w:marRight w:val="0"/>
      <w:marTop w:val="0"/>
      <w:marBottom w:val="0"/>
      <w:divBdr>
        <w:top w:val="none" w:sz="0" w:space="0" w:color="auto"/>
        <w:left w:val="none" w:sz="0" w:space="0" w:color="auto"/>
        <w:bottom w:val="none" w:sz="0" w:space="0" w:color="auto"/>
        <w:right w:val="none" w:sz="0" w:space="0" w:color="auto"/>
      </w:divBdr>
    </w:div>
    <w:div w:id="1989506086">
      <w:bodyDiv w:val="1"/>
      <w:marLeft w:val="0"/>
      <w:marRight w:val="0"/>
      <w:marTop w:val="0"/>
      <w:marBottom w:val="0"/>
      <w:divBdr>
        <w:top w:val="none" w:sz="0" w:space="0" w:color="auto"/>
        <w:left w:val="none" w:sz="0" w:space="0" w:color="auto"/>
        <w:bottom w:val="none" w:sz="0" w:space="0" w:color="auto"/>
        <w:right w:val="none" w:sz="0" w:space="0" w:color="auto"/>
      </w:divBdr>
    </w:div>
    <w:div w:id="2000578286">
      <w:bodyDiv w:val="1"/>
      <w:marLeft w:val="0"/>
      <w:marRight w:val="0"/>
      <w:marTop w:val="0"/>
      <w:marBottom w:val="0"/>
      <w:divBdr>
        <w:top w:val="none" w:sz="0" w:space="0" w:color="auto"/>
        <w:left w:val="none" w:sz="0" w:space="0" w:color="auto"/>
        <w:bottom w:val="none" w:sz="0" w:space="0" w:color="auto"/>
        <w:right w:val="none" w:sz="0" w:space="0" w:color="auto"/>
      </w:divBdr>
    </w:div>
    <w:div w:id="2084335670">
      <w:bodyDiv w:val="1"/>
      <w:marLeft w:val="0"/>
      <w:marRight w:val="0"/>
      <w:marTop w:val="0"/>
      <w:marBottom w:val="0"/>
      <w:divBdr>
        <w:top w:val="none" w:sz="0" w:space="0" w:color="auto"/>
        <w:left w:val="none" w:sz="0" w:space="0" w:color="auto"/>
        <w:bottom w:val="none" w:sz="0" w:space="0" w:color="auto"/>
        <w:right w:val="none" w:sz="0" w:space="0" w:color="auto"/>
      </w:divBdr>
    </w:div>
    <w:div w:id="2122799459">
      <w:bodyDiv w:val="1"/>
      <w:marLeft w:val="0"/>
      <w:marRight w:val="0"/>
      <w:marTop w:val="0"/>
      <w:marBottom w:val="0"/>
      <w:divBdr>
        <w:top w:val="none" w:sz="0" w:space="0" w:color="auto"/>
        <w:left w:val="none" w:sz="0" w:space="0" w:color="auto"/>
        <w:bottom w:val="none" w:sz="0" w:space="0" w:color="auto"/>
        <w:right w:val="none" w:sz="0" w:space="0" w:color="auto"/>
      </w:divBdr>
    </w:div>
    <w:div w:id="21362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etimjuridico.com.br/doutrina/texto.asp?id=106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letimjuridico.com.br/doutrina/texto.asp?id=106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2345</TotalTime>
  <Pages>12</Pages>
  <Words>3923</Words>
  <Characters>21189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Srtª Pestana</dc:creator>
  <cp:lastModifiedBy>pvmack</cp:lastModifiedBy>
  <cp:revision>54</cp:revision>
  <dcterms:created xsi:type="dcterms:W3CDTF">2012-09-03T22:17:00Z</dcterms:created>
  <dcterms:modified xsi:type="dcterms:W3CDTF">2012-11-07T15:20:00Z</dcterms:modified>
</cp:coreProperties>
</file>