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D9" w:rsidRPr="00990763" w:rsidRDefault="00A65CE3" w:rsidP="00A65CE3">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 SOCIEDADE ABERTA DOS INTERPRETES E O CONTROLE CONCENTRADO DA CONSTITUIÇÃO DE 1988: SUMULA VINCULANTE</w:t>
      </w:r>
      <w:r w:rsidR="00307DD9" w:rsidRPr="00990763">
        <w:rPr>
          <w:rFonts w:ascii="Times New Roman" w:hAnsi="Times New Roman" w:cs="Times New Roman"/>
          <w:sz w:val="24"/>
          <w:szCs w:val="24"/>
        </w:rPr>
        <w:t>¹</w:t>
      </w:r>
    </w:p>
    <w:p w:rsidR="00307DD9" w:rsidRPr="00990763" w:rsidRDefault="00307DD9" w:rsidP="00A65CE3">
      <w:pPr>
        <w:spacing w:after="0" w:line="360" w:lineRule="auto"/>
        <w:jc w:val="both"/>
        <w:rPr>
          <w:rFonts w:ascii="Times New Roman" w:hAnsi="Times New Roman" w:cs="Times New Roman"/>
          <w:b/>
          <w:sz w:val="24"/>
          <w:szCs w:val="24"/>
        </w:rPr>
      </w:pPr>
    </w:p>
    <w:p w:rsidR="000B7DC2" w:rsidRPr="00990763" w:rsidRDefault="004E3BA8" w:rsidP="00A65C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Sergio Silva do Nascimento</w:t>
      </w:r>
      <w:r w:rsidR="00984570" w:rsidRPr="00990763">
        <w:rPr>
          <w:rFonts w:ascii="Times New Roman" w:hAnsi="Times New Roman" w:cs="Times New Roman"/>
          <w:sz w:val="24"/>
          <w:szCs w:val="24"/>
        </w:rPr>
        <w:t xml:space="preserve"> </w:t>
      </w:r>
      <w:r w:rsidR="005A415C" w:rsidRPr="00990763">
        <w:rPr>
          <w:rFonts w:ascii="Times New Roman" w:hAnsi="Times New Roman" w:cs="Times New Roman"/>
          <w:sz w:val="24"/>
          <w:szCs w:val="24"/>
        </w:rPr>
        <w:t>²</w:t>
      </w:r>
    </w:p>
    <w:p w:rsidR="00307DD9" w:rsidRPr="00990763" w:rsidRDefault="00A65CE3" w:rsidP="00A65CE3">
      <w:pPr>
        <w:spacing w:after="0"/>
        <w:jc w:val="right"/>
        <w:rPr>
          <w:rFonts w:ascii="Times New Roman" w:hAnsi="Times New Roman" w:cs="Times New Roman"/>
          <w:sz w:val="24"/>
          <w:szCs w:val="24"/>
        </w:rPr>
      </w:pPr>
      <w:proofErr w:type="spellStart"/>
      <w:r w:rsidRPr="00A65CE3">
        <w:rPr>
          <w:rFonts w:ascii="Times New Roman" w:hAnsi="Times New Roman" w:cs="Times New Roman"/>
          <w:sz w:val="24"/>
          <w:szCs w:val="24"/>
        </w:rPr>
        <w:t>Ísis</w:t>
      </w:r>
      <w:proofErr w:type="spellEnd"/>
      <w:r w:rsidRPr="00A65CE3">
        <w:rPr>
          <w:rFonts w:ascii="Times New Roman" w:hAnsi="Times New Roman" w:cs="Times New Roman"/>
          <w:sz w:val="24"/>
          <w:szCs w:val="24"/>
        </w:rPr>
        <w:t xml:space="preserve"> </w:t>
      </w:r>
      <w:proofErr w:type="spellStart"/>
      <w:r w:rsidRPr="00A65CE3">
        <w:rPr>
          <w:rFonts w:ascii="Times New Roman" w:hAnsi="Times New Roman" w:cs="Times New Roman"/>
          <w:sz w:val="24"/>
          <w:szCs w:val="24"/>
        </w:rPr>
        <w:t>Boll</w:t>
      </w:r>
      <w:proofErr w:type="spellEnd"/>
      <w:r w:rsidRPr="00A65CE3">
        <w:rPr>
          <w:rFonts w:ascii="Times New Roman" w:hAnsi="Times New Roman" w:cs="Times New Roman"/>
          <w:sz w:val="24"/>
          <w:szCs w:val="24"/>
        </w:rPr>
        <w:t xml:space="preserve"> de </w:t>
      </w:r>
      <w:proofErr w:type="spellStart"/>
      <w:r w:rsidRPr="00A65CE3">
        <w:rPr>
          <w:rFonts w:ascii="Times New Roman" w:hAnsi="Times New Roman" w:cs="Times New Roman"/>
          <w:sz w:val="24"/>
          <w:szCs w:val="24"/>
        </w:rPr>
        <w:t>Araujo</w:t>
      </w:r>
      <w:proofErr w:type="spellEnd"/>
      <w:r w:rsidRPr="00A65CE3">
        <w:rPr>
          <w:rFonts w:ascii="Times New Roman" w:hAnsi="Times New Roman" w:cs="Times New Roman"/>
          <w:sz w:val="24"/>
          <w:szCs w:val="24"/>
        </w:rPr>
        <w:t xml:space="preserve"> Bastos</w:t>
      </w:r>
      <w:r w:rsidR="005A415C" w:rsidRPr="00990763">
        <w:rPr>
          <w:rFonts w:ascii="Times New Roman" w:hAnsi="Times New Roman" w:cs="Times New Roman"/>
          <w:sz w:val="24"/>
          <w:szCs w:val="24"/>
        </w:rPr>
        <w:t>³</w:t>
      </w:r>
    </w:p>
    <w:p w:rsidR="0088144C" w:rsidRDefault="0088144C" w:rsidP="0088144C">
      <w:pPr>
        <w:pStyle w:val="PargrafodaLista"/>
        <w:spacing w:after="0" w:line="360" w:lineRule="auto"/>
        <w:ind w:left="0"/>
        <w:jc w:val="both"/>
        <w:rPr>
          <w:rFonts w:ascii="Times New Roman" w:hAnsi="Times New Roman" w:cs="Times New Roman"/>
          <w:sz w:val="24"/>
          <w:szCs w:val="24"/>
        </w:rPr>
      </w:pPr>
    </w:p>
    <w:p w:rsidR="001D7045" w:rsidRDefault="0088144C" w:rsidP="0088144C">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RESUMO</w:t>
      </w:r>
    </w:p>
    <w:p w:rsidR="00213410" w:rsidRPr="00990763" w:rsidRDefault="00213410" w:rsidP="00A65CE3">
      <w:pPr>
        <w:pStyle w:val="PargrafodaLista"/>
        <w:spacing w:after="0" w:line="360" w:lineRule="auto"/>
        <w:ind w:left="0"/>
        <w:jc w:val="both"/>
        <w:rPr>
          <w:rFonts w:ascii="Times New Roman" w:hAnsi="Times New Roman" w:cs="Times New Roman"/>
          <w:b/>
          <w:sz w:val="24"/>
          <w:szCs w:val="24"/>
        </w:rPr>
      </w:pPr>
    </w:p>
    <w:p w:rsidR="00161934" w:rsidRDefault="003E62E9" w:rsidP="00881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presente artigo tem o objetivo de analisar a obra de Peter Häberle, sociedade aberta dos interpretes, identificando e classificando os interpretes apresentados pela proposta, analisados pela ótica do controle judicial concentrado de interpretação constitucional, métodos e princípios utilizados para interpretação constitucional, contrapondo os conceitos apresentados com o instituto da Súmula vinculante introduzida pela Emenda Constitucional nº 45/2004.</w:t>
      </w:r>
    </w:p>
    <w:p w:rsidR="0088144C" w:rsidRDefault="0088144C" w:rsidP="0088144C">
      <w:pPr>
        <w:spacing w:after="0" w:line="360" w:lineRule="auto"/>
        <w:jc w:val="both"/>
        <w:rPr>
          <w:rFonts w:ascii="Times New Roman" w:hAnsi="Times New Roman" w:cs="Times New Roman"/>
          <w:sz w:val="24"/>
          <w:szCs w:val="24"/>
        </w:rPr>
      </w:pPr>
    </w:p>
    <w:p w:rsidR="0088144C" w:rsidRDefault="0088144C" w:rsidP="00881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Interpretação. Constitucional. Súmula Vinculante.</w:t>
      </w:r>
    </w:p>
    <w:p w:rsidR="0088144C" w:rsidRDefault="0088144C" w:rsidP="0088144C">
      <w:pPr>
        <w:spacing w:after="0" w:line="360" w:lineRule="auto"/>
        <w:jc w:val="both"/>
        <w:rPr>
          <w:rFonts w:ascii="Times New Roman" w:hAnsi="Times New Roman" w:cs="Times New Roman"/>
          <w:sz w:val="24"/>
          <w:szCs w:val="24"/>
        </w:rPr>
      </w:pPr>
    </w:p>
    <w:p w:rsidR="0088144C" w:rsidRDefault="00215F9E" w:rsidP="008814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215F9E" w:rsidRPr="00215F9E" w:rsidRDefault="00215F9E" w:rsidP="0088144C">
      <w:pPr>
        <w:spacing w:after="0" w:line="360" w:lineRule="auto"/>
        <w:jc w:val="both"/>
        <w:rPr>
          <w:rFonts w:ascii="Times New Roman" w:hAnsi="Times New Roman" w:cs="Times New Roman"/>
          <w:b/>
          <w:sz w:val="24"/>
          <w:szCs w:val="24"/>
        </w:rPr>
      </w:pPr>
    </w:p>
    <w:p w:rsidR="00215F9E" w:rsidRDefault="00215F9E"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artigo tem o objetivo de analisar a obra do Peter Häberle, sobre a lente do constitucionalismo contemporâneo, confrontando com a necessidade do controle concentrado de constitucionalidade sob o ponto de vista adotado pela Constituição de 1988, através da Emenda Constitucional nº 45, que introduziu a Súmula vinculante, limitando, obriga</w:t>
      </w:r>
      <w:r w:rsidR="00BC2648">
        <w:rPr>
          <w:rFonts w:ascii="Times New Roman" w:hAnsi="Times New Roman" w:cs="Times New Roman"/>
          <w:sz w:val="24"/>
          <w:szCs w:val="24"/>
        </w:rPr>
        <w:t>ndo</w:t>
      </w:r>
      <w:r>
        <w:rPr>
          <w:rFonts w:ascii="Times New Roman" w:hAnsi="Times New Roman" w:cs="Times New Roman"/>
          <w:sz w:val="24"/>
          <w:szCs w:val="24"/>
        </w:rPr>
        <w:t xml:space="preserve">, assim, o Poder Judiciário e a administração, a interpretarem a Constituição, sobre determinado assunto </w:t>
      </w:r>
      <w:r w:rsidR="00BC2648">
        <w:rPr>
          <w:rFonts w:ascii="Times New Roman" w:hAnsi="Times New Roman" w:cs="Times New Roman"/>
          <w:sz w:val="24"/>
          <w:szCs w:val="24"/>
        </w:rPr>
        <w:t xml:space="preserve">de acordo com a interpretação </w:t>
      </w:r>
      <w:r>
        <w:rPr>
          <w:rFonts w:ascii="Times New Roman" w:hAnsi="Times New Roman" w:cs="Times New Roman"/>
          <w:sz w:val="24"/>
          <w:szCs w:val="24"/>
        </w:rPr>
        <w:t>consolidada.</w:t>
      </w:r>
    </w:p>
    <w:p w:rsidR="00402AC1" w:rsidRDefault="00BC2648"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realizar o presente artigo se fez necessário a leitura da proposta da sociedade aberta dos interpretes da Constituição, identificando os interpretes e o participação democrática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interpretação constitucional, seus aspectos e impactos na sociedade contemporânea, buscando substrato para uma melhor participação democrática da sociedade no processo de interpretação </w:t>
      </w:r>
      <w:r w:rsidR="00402AC1">
        <w:rPr>
          <w:rFonts w:ascii="Times New Roman" w:hAnsi="Times New Roman" w:cs="Times New Roman"/>
          <w:sz w:val="24"/>
          <w:szCs w:val="24"/>
        </w:rPr>
        <w:t>constitucional, indagando-se se a proposta alcança os objetivos de maior efetivação da norma jurídica constitucional, de forma que possa assegurar a amplitude jurídica do sentido da constituição no âmbito dos poderes Executivo, Legislativo e Judiciário.</w:t>
      </w:r>
    </w:p>
    <w:p w:rsidR="003F4121" w:rsidRDefault="003F4121" w:rsidP="00215F9E">
      <w:pPr>
        <w:spacing w:after="0" w:line="360" w:lineRule="auto"/>
        <w:ind w:firstLine="1134"/>
        <w:jc w:val="both"/>
        <w:rPr>
          <w:rFonts w:ascii="Times New Roman" w:hAnsi="Times New Roman" w:cs="Times New Roman"/>
          <w:sz w:val="24"/>
          <w:szCs w:val="24"/>
        </w:rPr>
      </w:pPr>
    </w:p>
    <w:p w:rsidR="00BC2648" w:rsidRDefault="00BC2648" w:rsidP="00402AC1">
      <w:pPr>
        <w:spacing w:after="0" w:line="360" w:lineRule="auto"/>
        <w:jc w:val="both"/>
        <w:rPr>
          <w:rFonts w:ascii="Times New Roman" w:hAnsi="Times New Roman" w:cs="Times New Roman"/>
          <w:sz w:val="24"/>
          <w:szCs w:val="24"/>
        </w:rPr>
      </w:pPr>
    </w:p>
    <w:p w:rsidR="00402AC1" w:rsidRPr="00402AC1" w:rsidRDefault="00402AC1" w:rsidP="00402AC1">
      <w:pPr>
        <w:spacing w:after="0" w:line="360" w:lineRule="auto"/>
        <w:jc w:val="both"/>
        <w:rPr>
          <w:rFonts w:ascii="Times New Roman" w:hAnsi="Times New Roman" w:cs="Times New Roman"/>
          <w:b/>
          <w:sz w:val="24"/>
          <w:szCs w:val="24"/>
        </w:rPr>
      </w:pPr>
      <w:r w:rsidRPr="00402AC1">
        <w:rPr>
          <w:rFonts w:ascii="Times New Roman" w:hAnsi="Times New Roman" w:cs="Times New Roman"/>
          <w:b/>
          <w:sz w:val="24"/>
          <w:szCs w:val="24"/>
        </w:rPr>
        <w:lastRenderedPageBreak/>
        <w:t xml:space="preserve">2 </w:t>
      </w:r>
      <w:r>
        <w:rPr>
          <w:rFonts w:ascii="Times New Roman" w:hAnsi="Times New Roman" w:cs="Times New Roman"/>
          <w:b/>
          <w:sz w:val="24"/>
          <w:szCs w:val="24"/>
        </w:rPr>
        <w:t>A PROPOSTA DA SOCIEDADE ABERTA DOS INTERPRETES DA CONSTITUIÇÃO – PETER HÄBERLE</w:t>
      </w:r>
    </w:p>
    <w:p w:rsidR="00BC2648" w:rsidRDefault="00BC2648" w:rsidP="00215F9E">
      <w:pPr>
        <w:spacing w:after="0" w:line="360" w:lineRule="auto"/>
        <w:ind w:firstLine="1134"/>
        <w:jc w:val="both"/>
        <w:rPr>
          <w:rFonts w:ascii="Times New Roman" w:hAnsi="Times New Roman" w:cs="Times New Roman"/>
          <w:sz w:val="24"/>
          <w:szCs w:val="24"/>
        </w:rPr>
      </w:pPr>
    </w:p>
    <w:p w:rsidR="00D81DC0" w:rsidRDefault="00D81DC0"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402AC1">
        <w:rPr>
          <w:rFonts w:ascii="Times New Roman" w:hAnsi="Times New Roman" w:cs="Times New Roman"/>
          <w:sz w:val="24"/>
          <w:szCs w:val="24"/>
        </w:rPr>
        <w:t>proposta de interpretação democrática</w:t>
      </w:r>
      <w:r>
        <w:rPr>
          <w:rFonts w:ascii="Times New Roman" w:hAnsi="Times New Roman" w:cs="Times New Roman"/>
          <w:sz w:val="24"/>
          <w:szCs w:val="24"/>
        </w:rPr>
        <w:t xml:space="preserve"> apresentada na obra de Peter Häberle é de grande importância para a construção do ideal de interpretação democrática da Constituição na sociedade. Destarte na sociedade contemporânea vivemos diante da realidade de que a interpretação constitucional encontra-se voltada aos órgãos de poder, limitando-se, não se permitindo a participação da sociedade na interpretação, e em muitas das vezes termina-se por acatar uma única interpretação como válida a produzir efeitos no mundo jurídico.</w:t>
      </w:r>
    </w:p>
    <w:p w:rsidR="000406F6" w:rsidRDefault="004C5CA7" w:rsidP="000406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Peter Häberle, a problemática que envolve o tema repousa em duas questões que denomina essenciais: “a indagação sobre as tarefas e objetivos da interpretação constitucional e</w:t>
      </w:r>
      <w:r w:rsidR="000406F6">
        <w:rPr>
          <w:rFonts w:ascii="Times New Roman" w:hAnsi="Times New Roman" w:cs="Times New Roman"/>
          <w:sz w:val="24"/>
          <w:szCs w:val="24"/>
        </w:rPr>
        <w:t xml:space="preserve"> os</w:t>
      </w:r>
      <w:r>
        <w:rPr>
          <w:rFonts w:ascii="Times New Roman" w:hAnsi="Times New Roman" w:cs="Times New Roman"/>
          <w:sz w:val="24"/>
          <w:szCs w:val="24"/>
        </w:rPr>
        <w:t xml:space="preserve"> métodos”. (HÄBERLE, 1997/2002, p. 11)</w:t>
      </w:r>
    </w:p>
    <w:p w:rsidR="004C5CA7" w:rsidRDefault="00F31CF0" w:rsidP="000406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problemática que envolve a questão crítica a sociedade fechada dos interpretes da constituição, buscando uma participação mais democrática, onde cada cidadão é um interprete da constituição e possui legitimidade para tanto</w:t>
      </w:r>
      <w:r w:rsidR="0050056A">
        <w:rPr>
          <w:rFonts w:ascii="Times New Roman" w:hAnsi="Times New Roman" w:cs="Times New Roman"/>
          <w:sz w:val="24"/>
          <w:szCs w:val="24"/>
        </w:rPr>
        <w:t>.</w:t>
      </w:r>
      <w:r>
        <w:rPr>
          <w:rFonts w:ascii="Times New Roman" w:hAnsi="Times New Roman" w:cs="Times New Roman"/>
          <w:sz w:val="24"/>
          <w:szCs w:val="24"/>
        </w:rPr>
        <w:t xml:space="preserve"> </w:t>
      </w:r>
      <w:r w:rsidR="0050056A">
        <w:rPr>
          <w:rFonts w:ascii="Times New Roman" w:hAnsi="Times New Roman" w:cs="Times New Roman"/>
          <w:sz w:val="24"/>
          <w:szCs w:val="24"/>
        </w:rPr>
        <w:t>P</w:t>
      </w:r>
      <w:r>
        <w:rPr>
          <w:rFonts w:ascii="Times New Roman" w:hAnsi="Times New Roman" w:cs="Times New Roman"/>
          <w:sz w:val="24"/>
          <w:szCs w:val="24"/>
        </w:rPr>
        <w:t xml:space="preserve">ara o autor a interpretação constitucional não </w:t>
      </w:r>
      <w:r w:rsidR="0050056A">
        <w:rPr>
          <w:rFonts w:ascii="Times New Roman" w:hAnsi="Times New Roman" w:cs="Times New Roman"/>
          <w:sz w:val="24"/>
          <w:szCs w:val="24"/>
        </w:rPr>
        <w:t>pode ser restrita, mas</w:t>
      </w:r>
      <w:r>
        <w:rPr>
          <w:rFonts w:ascii="Times New Roman" w:hAnsi="Times New Roman" w:cs="Times New Roman"/>
          <w:sz w:val="24"/>
          <w:szCs w:val="24"/>
        </w:rPr>
        <w:t xml:space="preserve"> ampla de acordo com a proposta apresentada:</w:t>
      </w:r>
    </w:p>
    <w:p w:rsidR="00F31CF0" w:rsidRPr="00F31CF0" w:rsidRDefault="00F31CF0" w:rsidP="00F31CF0">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Propõe-se, pois, a seguinte tese: no processo de interpretação constitucional estão potencialmente vinculados todos os órgãos estata</w:t>
      </w:r>
      <w:r w:rsidR="000406F6">
        <w:rPr>
          <w:rFonts w:ascii="Times New Roman" w:hAnsi="Times New Roman" w:cs="Times New Roman"/>
          <w:sz w:val="20"/>
          <w:szCs w:val="24"/>
        </w:rPr>
        <w:t xml:space="preserve">is, todas as potencias públicas, todos os cidadãos e grupos, não sendo possível estabelecer-se um elemento cerrado ou fixado em </w:t>
      </w:r>
      <w:proofErr w:type="spellStart"/>
      <w:r w:rsidR="000406F6">
        <w:rPr>
          <w:rFonts w:ascii="Times New Roman" w:hAnsi="Times New Roman" w:cs="Times New Roman"/>
          <w:sz w:val="20"/>
          <w:szCs w:val="24"/>
        </w:rPr>
        <w:t>numerus</w:t>
      </w:r>
      <w:proofErr w:type="spellEnd"/>
      <w:r w:rsidR="000406F6">
        <w:rPr>
          <w:rFonts w:ascii="Times New Roman" w:hAnsi="Times New Roman" w:cs="Times New Roman"/>
          <w:sz w:val="20"/>
          <w:szCs w:val="24"/>
        </w:rPr>
        <w:t xml:space="preserve"> </w:t>
      </w:r>
      <w:proofErr w:type="spellStart"/>
      <w:r w:rsidR="000406F6">
        <w:rPr>
          <w:rFonts w:ascii="Times New Roman" w:hAnsi="Times New Roman" w:cs="Times New Roman"/>
          <w:sz w:val="20"/>
          <w:szCs w:val="24"/>
        </w:rPr>
        <w:t>clausus</w:t>
      </w:r>
      <w:proofErr w:type="spellEnd"/>
      <w:r w:rsidR="000406F6">
        <w:rPr>
          <w:rFonts w:ascii="Times New Roman" w:hAnsi="Times New Roman" w:cs="Times New Roman"/>
          <w:sz w:val="20"/>
          <w:szCs w:val="24"/>
        </w:rPr>
        <w:t xml:space="preserve"> de interpretes da constituição. (HÄRBELE, 1997/2002, p. 13)</w:t>
      </w:r>
      <w:r>
        <w:rPr>
          <w:rFonts w:ascii="Times New Roman" w:hAnsi="Times New Roman" w:cs="Times New Roman"/>
          <w:sz w:val="20"/>
          <w:szCs w:val="24"/>
        </w:rPr>
        <w:t xml:space="preserve"> </w:t>
      </w:r>
    </w:p>
    <w:p w:rsidR="000406F6" w:rsidRDefault="000406F6"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 autor buscar substrato para a participação de um número aberto de interpretes da Constituição, pois informa que os métodos de interpretação constitucional serão mais acessíveis quanto maior for a participação da sociedade em seus vários órgãos de poder, indivíduos e grupos de indivíduos, pluralismo de interpretes.</w:t>
      </w:r>
    </w:p>
    <w:p w:rsidR="00F8735F" w:rsidRDefault="00C359F7"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o método de interpretação da constituição Häberle assevera que as técnicas e os métodos de interpretação, hermenêutica constitucional deve estar voltada para os órgãos próprios, no entanto, todo cidadão ao vivenciar a norma acaba por interpretá-la.</w:t>
      </w:r>
      <w:r w:rsidR="00F8735F">
        <w:rPr>
          <w:rFonts w:ascii="Times New Roman" w:hAnsi="Times New Roman" w:cs="Times New Roman"/>
          <w:sz w:val="24"/>
          <w:szCs w:val="24"/>
        </w:rPr>
        <w:t xml:space="preserve"> </w:t>
      </w:r>
      <w:r w:rsidR="0050056A">
        <w:rPr>
          <w:rFonts w:ascii="Times New Roman" w:hAnsi="Times New Roman" w:cs="Times New Roman"/>
          <w:sz w:val="24"/>
          <w:szCs w:val="24"/>
        </w:rPr>
        <w:t xml:space="preserve">A interpretação constitucional para fins mais específicos deve prescindir um conceito mais amplo de hermenêutica, repousando tal responsabilidade à jurisdição constitucional que é responsável pela última palavra, no entanto, o cidadão e os outros órgãos de poder são interpretes no sentido lato, atuando como </w:t>
      </w:r>
      <w:proofErr w:type="spellStart"/>
      <w:r w:rsidR="0050056A">
        <w:rPr>
          <w:rFonts w:ascii="Times New Roman" w:hAnsi="Times New Roman" w:cs="Times New Roman"/>
          <w:sz w:val="24"/>
          <w:szCs w:val="24"/>
        </w:rPr>
        <w:t>pré</w:t>
      </w:r>
      <w:proofErr w:type="spellEnd"/>
      <w:r w:rsidR="0050056A">
        <w:rPr>
          <w:rFonts w:ascii="Times New Roman" w:hAnsi="Times New Roman" w:cs="Times New Roman"/>
          <w:sz w:val="24"/>
          <w:szCs w:val="24"/>
        </w:rPr>
        <w:t xml:space="preserve">-interpretes. </w:t>
      </w:r>
      <w:r w:rsidR="00F8735F">
        <w:rPr>
          <w:rFonts w:ascii="Times New Roman" w:hAnsi="Times New Roman" w:cs="Times New Roman"/>
          <w:sz w:val="24"/>
          <w:szCs w:val="24"/>
        </w:rPr>
        <w:t>(HÄBERLE, 1997/2002)</w:t>
      </w:r>
    </w:p>
    <w:p w:rsidR="00E52AD2" w:rsidRDefault="00C359F7" w:rsidP="00E52A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406F6">
        <w:rPr>
          <w:rFonts w:ascii="Times New Roman" w:hAnsi="Times New Roman" w:cs="Times New Roman"/>
          <w:sz w:val="24"/>
          <w:szCs w:val="24"/>
        </w:rPr>
        <w:t xml:space="preserve"> </w:t>
      </w:r>
      <w:r w:rsidR="00E52AD2">
        <w:rPr>
          <w:rFonts w:ascii="Times New Roman" w:hAnsi="Times New Roman" w:cs="Times New Roman"/>
          <w:sz w:val="24"/>
          <w:szCs w:val="24"/>
        </w:rPr>
        <w:t>Dessa forma é necessário a democratização da interpretação constitucional com a participação de todos os órgãos do poder, dos indivíduos e dos grupos de indivíduos</w:t>
      </w:r>
      <w:r w:rsidR="00AF46FA">
        <w:rPr>
          <w:rFonts w:ascii="Times New Roman" w:hAnsi="Times New Roman" w:cs="Times New Roman"/>
          <w:sz w:val="24"/>
          <w:szCs w:val="24"/>
        </w:rPr>
        <w:t>,</w:t>
      </w:r>
      <w:r w:rsidR="00E52AD2">
        <w:rPr>
          <w:rFonts w:ascii="Times New Roman" w:hAnsi="Times New Roman" w:cs="Times New Roman"/>
          <w:sz w:val="24"/>
          <w:szCs w:val="24"/>
        </w:rPr>
        <w:t xml:space="preserve"> atuando, ainda, como interpretes não técnicos, interpretando a constituição ainda em seu sentido literal aplicados ao cotidiano.</w:t>
      </w:r>
    </w:p>
    <w:p w:rsidR="00E52AD2" w:rsidRPr="00E52AD2" w:rsidRDefault="00E52AD2" w:rsidP="00E52A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 Interpretes da Constituição</w:t>
      </w:r>
    </w:p>
    <w:p w:rsidR="00E52AD2" w:rsidRDefault="00E52AD2" w:rsidP="00E52AD2">
      <w:pPr>
        <w:spacing w:after="0" w:line="360" w:lineRule="auto"/>
        <w:ind w:firstLine="1134"/>
        <w:jc w:val="both"/>
        <w:rPr>
          <w:rFonts w:ascii="Times New Roman" w:hAnsi="Times New Roman" w:cs="Times New Roman"/>
          <w:sz w:val="24"/>
          <w:szCs w:val="24"/>
        </w:rPr>
      </w:pPr>
    </w:p>
    <w:p w:rsidR="00023D33" w:rsidRDefault="00023D33"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tópico busca-se a qualificação dos interpretes e seu papel no processo interpretativo, quantificado e qualificado sob um ponto de vista sócio jurídico, voltado para a proposta apresentada por Häberle, na democratização da interpretação constitucional.</w:t>
      </w:r>
    </w:p>
    <w:p w:rsidR="00023D33" w:rsidRDefault="00023D33"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fazer a classificação dos interpretes constitucionais Häberle, sugere um catálogo sistêmico, provisório, classificando os interpretes em quatro grupos subdivididos em subgrupos de atuação.</w:t>
      </w:r>
    </w:p>
    <w:p w:rsidR="00E12631" w:rsidRDefault="00023D33" w:rsidP="00215F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catálogo proposto por Häberle</w:t>
      </w:r>
      <w:r w:rsidR="00E12631">
        <w:rPr>
          <w:rFonts w:ascii="Times New Roman" w:hAnsi="Times New Roman" w:cs="Times New Roman"/>
          <w:sz w:val="24"/>
          <w:szCs w:val="24"/>
        </w:rPr>
        <w:t xml:space="preserve"> (1997/2002), é o seguinte: funções estatais, participantes não estatais, a opinião pública e a doutrina.</w:t>
      </w:r>
    </w:p>
    <w:p w:rsidR="00F31CF0" w:rsidRDefault="00E12631" w:rsidP="002A45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primeiro grupo é formado pelos órgãos do estado responsáveis pela jurisdição e interpretação técnica constitucional, destacando-se a participação judicial no tocante a Súmula vinculante, representada pelo voto do vencido. Compõem, ainda o primeiro grupo os órgão que encontram-se vinculados, submetidos ao </w:t>
      </w:r>
      <w:r w:rsidR="002A45BB">
        <w:rPr>
          <w:rFonts w:ascii="Times New Roman" w:hAnsi="Times New Roman" w:cs="Times New Roman"/>
          <w:sz w:val="24"/>
          <w:szCs w:val="24"/>
        </w:rPr>
        <w:t>“</w:t>
      </w:r>
      <w:r>
        <w:rPr>
          <w:rFonts w:ascii="Times New Roman" w:hAnsi="Times New Roman" w:cs="Times New Roman"/>
          <w:sz w:val="24"/>
          <w:szCs w:val="24"/>
        </w:rPr>
        <w:t>processo de revisão</w:t>
      </w:r>
      <w:r w:rsidR="002A45BB">
        <w:rPr>
          <w:rFonts w:ascii="Times New Roman" w:hAnsi="Times New Roman" w:cs="Times New Roman"/>
          <w:sz w:val="24"/>
          <w:szCs w:val="24"/>
        </w:rPr>
        <w:t>: jurisdição, órgão legislativo (submetido a controle em consonância com a atividade): órgão do executivo especialmente na formulação da (</w:t>
      </w:r>
      <w:proofErr w:type="spellStart"/>
      <w:r w:rsidR="002A45BB">
        <w:rPr>
          <w:rFonts w:ascii="Times New Roman" w:hAnsi="Times New Roman" w:cs="Times New Roman"/>
          <w:sz w:val="24"/>
          <w:szCs w:val="24"/>
        </w:rPr>
        <w:t>pré</w:t>
      </w:r>
      <w:proofErr w:type="spellEnd"/>
      <w:r w:rsidR="002A45BB">
        <w:rPr>
          <w:rFonts w:ascii="Times New Roman" w:hAnsi="Times New Roman" w:cs="Times New Roman"/>
          <w:sz w:val="24"/>
          <w:szCs w:val="24"/>
        </w:rPr>
        <w:t>) formulação do interesse público”. (HÄBERLE, 1997/2002)</w:t>
      </w:r>
    </w:p>
    <w:p w:rsidR="002A45BB" w:rsidRDefault="002A45BB" w:rsidP="002A45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segundo grupo apresentado por Häberle, é formado basicamente pelos componentes do processo constitucional que não compõe os órgãos estatais, caracterizados pelas partes no processo, recorrente, recorrido, geralmente quem provoca fundamentadamente o Tribunal a tomar uma </w:t>
      </w:r>
      <w:r w:rsidR="00EE2844">
        <w:rPr>
          <w:rFonts w:ascii="Times New Roman" w:hAnsi="Times New Roman" w:cs="Times New Roman"/>
          <w:sz w:val="24"/>
          <w:szCs w:val="24"/>
        </w:rPr>
        <w:t xml:space="preserve">decisão ou assumir um diálogo jurídico. Compõe ainda o segundo grupo os que tem direito de manifestação ou de integração na lide, os </w:t>
      </w:r>
      <w:proofErr w:type="spellStart"/>
      <w:r w:rsidR="00EE2844">
        <w:rPr>
          <w:rFonts w:ascii="Times New Roman" w:hAnsi="Times New Roman" w:cs="Times New Roman"/>
          <w:sz w:val="24"/>
          <w:szCs w:val="24"/>
        </w:rPr>
        <w:t>pareceristas</w:t>
      </w:r>
      <w:proofErr w:type="spellEnd"/>
      <w:r w:rsidR="00EE2844">
        <w:rPr>
          <w:rFonts w:ascii="Times New Roman" w:hAnsi="Times New Roman" w:cs="Times New Roman"/>
          <w:sz w:val="24"/>
          <w:szCs w:val="24"/>
        </w:rPr>
        <w:t xml:space="preserve"> ou experts, peritos, grupos de pressão organizados e os requerentes ou partes no processo administrativo de caráter participativo.</w:t>
      </w:r>
    </w:p>
    <w:p w:rsidR="00EE2844" w:rsidRDefault="00EE2844" w:rsidP="002A45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terceiro grupo é representado pela opinião pública destacando-se a participação da mídia como papel importante de levar aos cidadãos as informações relativas aos processo interpretativo. Os grupos organizados da sociedade desenvolvem o mesmo papel, associações, igrejas, teatros entre outros grupos da sociedade.</w:t>
      </w:r>
    </w:p>
    <w:p w:rsidR="00EE2844" w:rsidRDefault="00EE2844" w:rsidP="002A45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quarto e último grupo é o da doutrina que tem a participação </w:t>
      </w:r>
      <w:r w:rsidR="002F55F5">
        <w:rPr>
          <w:rFonts w:ascii="Times New Roman" w:hAnsi="Times New Roman" w:cs="Times New Roman"/>
          <w:sz w:val="24"/>
          <w:szCs w:val="24"/>
        </w:rPr>
        <w:t>nos demais grupos apresentados, como o “papel especial de tematizando a participação de outras forças”. (HÄBERLE, 1997/2002, p. 23)</w:t>
      </w:r>
    </w:p>
    <w:p w:rsidR="002F55F5" w:rsidRDefault="002F55F5" w:rsidP="002A45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Observa-se que os grupos na medida em que participam do processo constitucional, ainda que, em esferas diferentes, terminam participando do processo interpretativo constitucional, contribuindo para a democracia constitucional apresentada.</w:t>
      </w:r>
    </w:p>
    <w:p w:rsidR="006403DE" w:rsidRDefault="006403DE" w:rsidP="002A45BB">
      <w:pPr>
        <w:spacing w:after="0" w:line="360" w:lineRule="auto"/>
        <w:ind w:firstLine="1134"/>
        <w:jc w:val="both"/>
        <w:rPr>
          <w:rFonts w:ascii="Times New Roman" w:hAnsi="Times New Roman" w:cs="Times New Roman"/>
          <w:sz w:val="24"/>
          <w:szCs w:val="24"/>
        </w:rPr>
      </w:pPr>
    </w:p>
    <w:p w:rsidR="002F55F5" w:rsidRPr="002F55F5" w:rsidRDefault="002F55F5" w:rsidP="002F55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Aplicação democrática da interpretação constitucional</w:t>
      </w:r>
    </w:p>
    <w:p w:rsidR="00D81DC0" w:rsidRDefault="00D81DC0" w:rsidP="00D81DC0">
      <w:pPr>
        <w:spacing w:after="0" w:line="360" w:lineRule="auto"/>
        <w:jc w:val="both"/>
        <w:rPr>
          <w:rFonts w:ascii="Times New Roman" w:hAnsi="Times New Roman" w:cs="Times New Roman"/>
          <w:sz w:val="24"/>
          <w:szCs w:val="24"/>
        </w:rPr>
      </w:pPr>
    </w:p>
    <w:p w:rsidR="00CD17E8" w:rsidRDefault="00CD17E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interpretação democrática constitucional é passível de críticas e objeções resultando na definição de um paradigma estrutural vigente, que limita a participação ampla dos interpretes da Constituição, restando por resistir ao conceito apresentado.</w:t>
      </w:r>
    </w:p>
    <w:p w:rsidR="00AF46FA" w:rsidRDefault="00CD17E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Häberle, 1997/2002, a primeira objeção apresentada reside na unidade da Constituição, sendo que a interpretação realizada por diversas pessoas, poderá resultar em um número muito grande de interpretações e de interpretes, </w:t>
      </w:r>
      <w:r w:rsidR="00EA28C1">
        <w:rPr>
          <w:rFonts w:ascii="Times New Roman" w:hAnsi="Times New Roman" w:cs="Times New Roman"/>
          <w:sz w:val="24"/>
          <w:szCs w:val="24"/>
        </w:rPr>
        <w:t>colocando em</w:t>
      </w:r>
      <w:r w:rsidR="00AF46FA">
        <w:rPr>
          <w:rFonts w:ascii="Times New Roman" w:hAnsi="Times New Roman" w:cs="Times New Roman"/>
          <w:sz w:val="24"/>
          <w:szCs w:val="24"/>
        </w:rPr>
        <w:t xml:space="preserve"> risco unidade da Constituição.</w:t>
      </w:r>
    </w:p>
    <w:p w:rsidR="00EA28C1" w:rsidRDefault="00EA28C1"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objeção e rebatida por Häberle que enfatiza que a legitimação para </w:t>
      </w:r>
      <w:r w:rsidR="009062A3">
        <w:rPr>
          <w:rFonts w:ascii="Times New Roman" w:hAnsi="Times New Roman" w:cs="Times New Roman"/>
          <w:sz w:val="24"/>
          <w:szCs w:val="24"/>
        </w:rPr>
        <w:t xml:space="preserve">a </w:t>
      </w:r>
      <w:r>
        <w:rPr>
          <w:rFonts w:ascii="Times New Roman" w:hAnsi="Times New Roman" w:cs="Times New Roman"/>
          <w:sz w:val="24"/>
          <w:szCs w:val="24"/>
        </w:rPr>
        <w:t>interpretação constitucional encontra amparo no próprio texto constitucional a medida que estabelece a interpretação oficial exercida pelos órgãos destinados a interpretação, o legislativo, desde que não promova sua alteração, os partidos políticos e todos os cidadãos ainda de forma diferenciada e restrita estão legitimados a interpretação do texto constitucional, ainda que, apenas, como vinculado ao poder sancionador estatal. (</w:t>
      </w:r>
      <w:r w:rsidR="00AF46FA">
        <w:rPr>
          <w:rFonts w:ascii="Times New Roman" w:hAnsi="Times New Roman" w:cs="Times New Roman"/>
          <w:sz w:val="24"/>
          <w:szCs w:val="24"/>
        </w:rPr>
        <w:t xml:space="preserve">HÄBELE, 1997/2002, </w:t>
      </w:r>
      <w:r>
        <w:rPr>
          <w:rFonts w:ascii="Times New Roman" w:hAnsi="Times New Roman" w:cs="Times New Roman"/>
          <w:sz w:val="24"/>
          <w:szCs w:val="24"/>
        </w:rPr>
        <w:t>p. 28-29)</w:t>
      </w:r>
    </w:p>
    <w:p w:rsidR="00EA28C1" w:rsidRDefault="009062A3"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a interpretação democrática ganha substrato à medida que se desprende o conceito de que a vinculação a medida que se desprende o conceito da teoria da interpretação de define que</w:t>
      </w:r>
      <w:r w:rsidR="00AF46FA">
        <w:rPr>
          <w:rFonts w:ascii="Times New Roman" w:hAnsi="Times New Roman" w:cs="Times New Roman"/>
          <w:sz w:val="24"/>
          <w:szCs w:val="24"/>
        </w:rPr>
        <w:t xml:space="preserve"> a</w:t>
      </w:r>
      <w:r>
        <w:rPr>
          <w:rFonts w:ascii="Times New Roman" w:hAnsi="Times New Roman" w:cs="Times New Roman"/>
          <w:sz w:val="24"/>
          <w:szCs w:val="24"/>
        </w:rPr>
        <w:t xml:space="preserve"> “interpretação é um processo aberto”. (HÄRBELE, 1997/2002, p. 30)</w:t>
      </w:r>
    </w:p>
    <w:p w:rsidR="009062A3" w:rsidRPr="001F7442" w:rsidRDefault="009062A3" w:rsidP="009E34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 Häberle esclarece:</w:t>
      </w:r>
      <w:r w:rsidR="009E34B9">
        <w:rPr>
          <w:rFonts w:ascii="Times New Roman" w:hAnsi="Times New Roman" w:cs="Times New Roman"/>
          <w:sz w:val="24"/>
          <w:szCs w:val="24"/>
        </w:rPr>
        <w:t xml:space="preserve"> </w:t>
      </w:r>
      <w:r w:rsidR="009E34B9" w:rsidRPr="009E34B9">
        <w:rPr>
          <w:rFonts w:ascii="Times New Roman" w:hAnsi="Times New Roman" w:cs="Times New Roman"/>
          <w:sz w:val="24"/>
          <w:szCs w:val="24"/>
        </w:rPr>
        <w:t xml:space="preserve">“ampliação do círculo dos intérpretes aqui sustentada é apenas a </w:t>
      </w:r>
      <w:proofErr w:type="spellStart"/>
      <w:r w:rsidR="009E34B9" w:rsidRPr="009E34B9">
        <w:rPr>
          <w:rFonts w:ascii="Times New Roman" w:hAnsi="Times New Roman" w:cs="Times New Roman"/>
          <w:sz w:val="24"/>
          <w:szCs w:val="24"/>
        </w:rPr>
        <w:t>conseqüência</w:t>
      </w:r>
      <w:proofErr w:type="spellEnd"/>
      <w:r w:rsidR="009E34B9" w:rsidRPr="009E34B9">
        <w:rPr>
          <w:rFonts w:ascii="Times New Roman" w:hAnsi="Times New Roman" w:cs="Times New Roman"/>
          <w:sz w:val="24"/>
          <w:szCs w:val="24"/>
        </w:rPr>
        <w:t xml:space="preserve"> (sic) da necessidade, por todos defendida, de integração da realidade no processo de interpretação</w:t>
      </w:r>
      <w:r w:rsidR="009E34B9">
        <w:rPr>
          <w:rFonts w:ascii="Times New Roman" w:hAnsi="Times New Roman" w:cs="Times New Roman"/>
          <w:sz w:val="20"/>
          <w:szCs w:val="24"/>
        </w:rPr>
        <w:t xml:space="preserve">”. </w:t>
      </w:r>
      <w:r w:rsidR="009E34B9" w:rsidRPr="001F7442">
        <w:rPr>
          <w:rFonts w:ascii="Times New Roman" w:hAnsi="Times New Roman" w:cs="Times New Roman"/>
          <w:sz w:val="24"/>
          <w:szCs w:val="24"/>
        </w:rPr>
        <w:t>(HÄBERLE, 1997/2002, p. 30)</w:t>
      </w:r>
    </w:p>
    <w:p w:rsidR="009E34B9" w:rsidRDefault="009E34B9" w:rsidP="009E34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interpretação democrática funciona como limitadora do poder decisivo judicial que encontra-se </w:t>
      </w:r>
      <w:r w:rsidR="001F7442">
        <w:rPr>
          <w:rFonts w:ascii="Times New Roman" w:hAnsi="Times New Roman" w:cs="Times New Roman"/>
          <w:sz w:val="24"/>
          <w:szCs w:val="24"/>
        </w:rPr>
        <w:t xml:space="preserve">vinculado à lei e também a interpretação democrática, expectativa social, que evita o livre arbítrio do juiz. Despende-se desse conceito a ideia de que a norma não encontra-se acabada, mas um patamar de abstração que somente surtira efeito no caso concreto e por </w:t>
      </w:r>
      <w:r w:rsidR="00AF46FA">
        <w:rPr>
          <w:rFonts w:ascii="Times New Roman" w:hAnsi="Times New Roman" w:cs="Times New Roman"/>
          <w:sz w:val="24"/>
          <w:szCs w:val="24"/>
        </w:rPr>
        <w:t xml:space="preserve">conseguinte </w:t>
      </w:r>
      <w:r w:rsidR="001F7442">
        <w:rPr>
          <w:rFonts w:ascii="Times New Roman" w:hAnsi="Times New Roman" w:cs="Times New Roman"/>
          <w:sz w:val="24"/>
          <w:szCs w:val="24"/>
        </w:rPr>
        <w:t>p</w:t>
      </w:r>
      <w:r w:rsidR="00AF46FA">
        <w:rPr>
          <w:rFonts w:ascii="Times New Roman" w:hAnsi="Times New Roman" w:cs="Times New Roman"/>
          <w:sz w:val="24"/>
          <w:szCs w:val="24"/>
        </w:rPr>
        <w:t>a</w:t>
      </w:r>
      <w:r w:rsidR="001F7442">
        <w:rPr>
          <w:rFonts w:ascii="Times New Roman" w:hAnsi="Times New Roman" w:cs="Times New Roman"/>
          <w:sz w:val="24"/>
          <w:szCs w:val="24"/>
        </w:rPr>
        <w:t>ssível de interpretação. (HÄBERLE, 1997/2002, p. 31-32)</w:t>
      </w:r>
    </w:p>
    <w:p w:rsidR="006403DE" w:rsidRDefault="006403DE" w:rsidP="009E34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a democracia não deve ser exercida somente através do sufrágio, onde são escolhidos os representantes políticos do povo, mas também através da interpretação </w:t>
      </w:r>
      <w:r>
        <w:rPr>
          <w:rFonts w:ascii="Times New Roman" w:hAnsi="Times New Roman" w:cs="Times New Roman"/>
          <w:sz w:val="24"/>
          <w:szCs w:val="24"/>
        </w:rPr>
        <w:lastRenderedPageBreak/>
        <w:t>constitucional com participação direita de todos os órgãos estatais, não estatais, grupos de indivíduos e cidadão do Estado Democrático de Direito.</w:t>
      </w:r>
    </w:p>
    <w:p w:rsidR="006403DE" w:rsidRDefault="006403DE" w:rsidP="009E34B9">
      <w:pPr>
        <w:spacing w:after="0" w:line="360" w:lineRule="auto"/>
        <w:ind w:firstLine="1134"/>
        <w:jc w:val="both"/>
        <w:rPr>
          <w:rFonts w:ascii="Times New Roman" w:hAnsi="Times New Roman" w:cs="Times New Roman"/>
          <w:sz w:val="24"/>
          <w:szCs w:val="24"/>
        </w:rPr>
      </w:pPr>
    </w:p>
    <w:p w:rsidR="001F7442" w:rsidRDefault="006403DE" w:rsidP="006403D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2.3 O Controle Judicial no processo de interpretação constitucional</w:t>
      </w:r>
      <w:r>
        <w:rPr>
          <w:rFonts w:ascii="Times New Roman" w:hAnsi="Times New Roman" w:cs="Times New Roman"/>
          <w:sz w:val="24"/>
          <w:szCs w:val="24"/>
        </w:rPr>
        <w:t xml:space="preserve"> </w:t>
      </w:r>
    </w:p>
    <w:p w:rsidR="009062A3" w:rsidRDefault="009062A3" w:rsidP="00CD17E8">
      <w:pPr>
        <w:spacing w:after="0" w:line="360" w:lineRule="auto"/>
        <w:ind w:firstLine="1134"/>
        <w:jc w:val="both"/>
        <w:rPr>
          <w:rFonts w:ascii="Times New Roman" w:hAnsi="Times New Roman" w:cs="Times New Roman"/>
          <w:sz w:val="24"/>
          <w:szCs w:val="24"/>
        </w:rPr>
      </w:pPr>
    </w:p>
    <w:p w:rsidR="00A46FF6" w:rsidRDefault="00AD733D"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controle judicial ou a guarda da constituição via de regra é atribuído a um órgão do poder estatal responsável pela guarda da constituição, geralmente é exercido pelo judiciário, mas </w:t>
      </w:r>
      <w:r w:rsidR="00A46FF6">
        <w:rPr>
          <w:rFonts w:ascii="Times New Roman" w:hAnsi="Times New Roman" w:cs="Times New Roman"/>
          <w:sz w:val="24"/>
          <w:szCs w:val="24"/>
        </w:rPr>
        <w:t>existe também o controle político. (BARROSO, 2012, p. 39-40)</w:t>
      </w:r>
    </w:p>
    <w:p w:rsidR="00A46FF6" w:rsidRDefault="00A46FF6"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Häberle</w:t>
      </w:r>
      <w:r w:rsidR="00150EB6">
        <w:rPr>
          <w:rFonts w:ascii="Times New Roman" w:hAnsi="Times New Roman" w:cs="Times New Roman"/>
          <w:sz w:val="24"/>
          <w:szCs w:val="24"/>
        </w:rPr>
        <w:t xml:space="preserve"> (1997/2002)</w:t>
      </w:r>
      <w:r>
        <w:rPr>
          <w:rFonts w:ascii="Times New Roman" w:hAnsi="Times New Roman" w:cs="Times New Roman"/>
          <w:sz w:val="24"/>
          <w:szCs w:val="24"/>
        </w:rPr>
        <w:t xml:space="preserve"> a interpretação democrática muda o papel do juiz constitucional que não encontra-se restrito apenas a interpretação técnica jurídica, mas </w:t>
      </w:r>
      <w:r w:rsidR="00150EB6">
        <w:rPr>
          <w:rFonts w:ascii="Times New Roman" w:hAnsi="Times New Roman" w:cs="Times New Roman"/>
          <w:sz w:val="24"/>
          <w:szCs w:val="24"/>
        </w:rPr>
        <w:t>deverá</w:t>
      </w:r>
      <w:r>
        <w:rPr>
          <w:rFonts w:ascii="Times New Roman" w:hAnsi="Times New Roman" w:cs="Times New Roman"/>
          <w:sz w:val="24"/>
          <w:szCs w:val="24"/>
        </w:rPr>
        <w:t xml:space="preserve"> atentar para a participação pluralista de interpretes a que encontra-se subm</w:t>
      </w:r>
      <w:r w:rsidR="00150EB6">
        <w:rPr>
          <w:rFonts w:ascii="Times New Roman" w:hAnsi="Times New Roman" w:cs="Times New Roman"/>
          <w:sz w:val="24"/>
          <w:szCs w:val="24"/>
        </w:rPr>
        <w:t>etido o processo constitucional, devendo a Constituição ser interpretada de acordo com a nova atualização pública.</w:t>
      </w:r>
    </w:p>
    <w:p w:rsidR="00150EB6" w:rsidRDefault="00150EB6"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a interpretação constitucional deve ultrapassar os limites do processo constitucional e buscar substratos nas interpretações abertas, visto que nem todas as questões constitucionais são do conhecimento da Suprema Corte, sendo os participante da sociedade aberta dos interpretes os responsáveis pelas descobertas e obtenção dos direitos. (HÄBERLE, 1997/2002)</w:t>
      </w:r>
    </w:p>
    <w:p w:rsidR="008003E0" w:rsidRDefault="008003E0"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Restando à Corte constitucional antes de interpretar a Constituição analisar a partição pluralista dos diversos interpretes que participaram do processo de interpretação pluralista. Sendo que uma lei que tenha nascido da manifestação popular e que tenha ganho reconhecimento da sociedade deve ter uma visão diferenciada das que não apresentam a mesma repercussão. Outro ponto a ser observado pela Corte reside na defesa do interesse dos não participantes do processo de interpretação, observadas as questões tipicamente de interesse público como: direito do consumidor e do meio ambiente. (HÄBERLE, 1997/2002)</w:t>
      </w:r>
    </w:p>
    <w:p w:rsidR="0010739D" w:rsidRDefault="008003E0"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0739D">
        <w:rPr>
          <w:rFonts w:ascii="Times New Roman" w:hAnsi="Times New Roman" w:cs="Times New Roman"/>
          <w:sz w:val="24"/>
          <w:szCs w:val="24"/>
        </w:rPr>
        <w:t>Dessa forma de acordo com a proposta da sociedade aberta dos interpretes da Constituição a Corte Suprema ao interpretar a Constituição, não deve se atentar somente aos fatores técnicos jurídicos hermenêuticos, mas deve acima de tudo identificar os participantes do processo e interpretação e o contexto social e político que se reveste a matéria a fim de que seja efetivada a norma constitucional.</w:t>
      </w:r>
    </w:p>
    <w:p w:rsidR="0010739D" w:rsidRDefault="0010739D" w:rsidP="00CD17E8">
      <w:pPr>
        <w:spacing w:after="0" w:line="360" w:lineRule="auto"/>
        <w:ind w:firstLine="1134"/>
        <w:jc w:val="both"/>
        <w:rPr>
          <w:rFonts w:ascii="Times New Roman" w:hAnsi="Times New Roman" w:cs="Times New Roman"/>
          <w:sz w:val="24"/>
          <w:szCs w:val="24"/>
        </w:rPr>
      </w:pPr>
    </w:p>
    <w:p w:rsidR="0010739D" w:rsidRDefault="0010739D" w:rsidP="0010739D">
      <w:pPr>
        <w:spacing w:after="0" w:line="360" w:lineRule="auto"/>
        <w:jc w:val="both"/>
        <w:rPr>
          <w:rFonts w:ascii="Times New Roman" w:hAnsi="Times New Roman" w:cs="Times New Roman"/>
          <w:b/>
          <w:sz w:val="24"/>
          <w:szCs w:val="24"/>
        </w:rPr>
      </w:pPr>
    </w:p>
    <w:p w:rsidR="0010739D" w:rsidRDefault="0010739D" w:rsidP="0010739D">
      <w:pPr>
        <w:spacing w:after="0" w:line="360" w:lineRule="auto"/>
        <w:jc w:val="both"/>
        <w:rPr>
          <w:rFonts w:ascii="Times New Roman" w:hAnsi="Times New Roman" w:cs="Times New Roman"/>
          <w:b/>
          <w:sz w:val="24"/>
          <w:szCs w:val="24"/>
        </w:rPr>
      </w:pPr>
    </w:p>
    <w:p w:rsidR="0010739D" w:rsidRDefault="0010739D" w:rsidP="001073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O CONTROLE CONCENTRADO NA CONSTITUIÇÃO DE 1988</w:t>
      </w:r>
    </w:p>
    <w:p w:rsidR="0010739D" w:rsidRDefault="0010739D" w:rsidP="00107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C654F" w:rsidRDefault="009C654F"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tópico apesar de referir-se ao processo constitucional, tem grande importância no tema desenvolvido, pois é justamente através do processo que é operacionalizada a interpretação técnica constitucional, pretende-se aqui entender os mecanismos e princípios jurídicos utilizados na interpretação da Constituição e questionar a submissão interpretativa da Súmula vinculante aos demais órgãos do poder judiciário e ao executivo.</w:t>
      </w:r>
    </w:p>
    <w:p w:rsidR="0010739D" w:rsidRDefault="0080331B"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w:t>
      </w:r>
      <w:r w:rsidR="0010739D">
        <w:rPr>
          <w:rFonts w:ascii="Times New Roman" w:hAnsi="Times New Roman" w:cs="Times New Roman"/>
          <w:sz w:val="24"/>
          <w:szCs w:val="24"/>
        </w:rPr>
        <w:t xml:space="preserve">controle de constitucionalidade é exercido no Brasil por força normativa do art. 102, </w:t>
      </w:r>
      <w:r w:rsidR="00B50284">
        <w:rPr>
          <w:rFonts w:ascii="Times New Roman" w:hAnsi="Times New Roman" w:cs="Times New Roman"/>
          <w:sz w:val="24"/>
          <w:szCs w:val="24"/>
        </w:rPr>
        <w:t>caput, da Constituição de 1988,</w:t>
      </w:r>
      <w:r>
        <w:rPr>
          <w:rFonts w:ascii="Times New Roman" w:hAnsi="Times New Roman" w:cs="Times New Roman"/>
          <w:sz w:val="24"/>
          <w:szCs w:val="24"/>
        </w:rPr>
        <w:t xml:space="preserve"> pelo </w:t>
      </w:r>
      <w:r w:rsidR="00B50284">
        <w:rPr>
          <w:rFonts w:ascii="Times New Roman" w:hAnsi="Times New Roman" w:cs="Times New Roman"/>
          <w:sz w:val="24"/>
          <w:szCs w:val="24"/>
        </w:rPr>
        <w:t xml:space="preserve">Supremo Tribunal Federal - STF, </w:t>
      </w:r>
      <w:r>
        <w:rPr>
          <w:rFonts w:ascii="Times New Roman" w:hAnsi="Times New Roman" w:cs="Times New Roman"/>
          <w:sz w:val="24"/>
          <w:szCs w:val="24"/>
        </w:rPr>
        <w:t>que desenvolve a função precípua de guarda da Constituição e consequentemente de sua interpretação. E</w:t>
      </w:r>
      <w:r w:rsidR="00B50284">
        <w:rPr>
          <w:rFonts w:ascii="Times New Roman" w:hAnsi="Times New Roman" w:cs="Times New Roman"/>
          <w:sz w:val="24"/>
          <w:szCs w:val="24"/>
        </w:rPr>
        <w:t xml:space="preserve">mbora o STF não seja uma Corte puramente constitucional como apresentada no modelo austríaco </w:t>
      </w:r>
      <w:r>
        <w:rPr>
          <w:rFonts w:ascii="Times New Roman" w:hAnsi="Times New Roman" w:cs="Times New Roman"/>
          <w:sz w:val="24"/>
          <w:szCs w:val="24"/>
        </w:rPr>
        <w:t>por Hans Kelsen</w:t>
      </w:r>
      <w:r w:rsidR="00B50284">
        <w:rPr>
          <w:rFonts w:ascii="Times New Roman" w:hAnsi="Times New Roman" w:cs="Times New Roman"/>
          <w:sz w:val="24"/>
          <w:szCs w:val="24"/>
        </w:rPr>
        <w:t>. (BULOS, 2011, p. 1290)</w:t>
      </w:r>
    </w:p>
    <w:p w:rsidR="00150EB6" w:rsidRDefault="00150EB6" w:rsidP="0080331B">
      <w:pPr>
        <w:spacing w:after="0" w:line="360" w:lineRule="auto"/>
        <w:jc w:val="both"/>
        <w:rPr>
          <w:rFonts w:ascii="Times New Roman" w:hAnsi="Times New Roman" w:cs="Times New Roman"/>
          <w:sz w:val="24"/>
          <w:szCs w:val="24"/>
        </w:rPr>
      </w:pPr>
    </w:p>
    <w:p w:rsidR="0080331B" w:rsidRPr="0080331B" w:rsidRDefault="0080331B" w:rsidP="0080331B">
      <w:pPr>
        <w:spacing w:after="0" w:line="360" w:lineRule="auto"/>
        <w:jc w:val="both"/>
        <w:rPr>
          <w:rFonts w:ascii="Times New Roman" w:hAnsi="Times New Roman" w:cs="Times New Roman"/>
          <w:b/>
          <w:sz w:val="24"/>
          <w:szCs w:val="24"/>
        </w:rPr>
      </w:pPr>
      <w:r w:rsidRPr="0080331B">
        <w:rPr>
          <w:rFonts w:ascii="Times New Roman" w:hAnsi="Times New Roman" w:cs="Times New Roman"/>
          <w:b/>
          <w:sz w:val="24"/>
          <w:szCs w:val="24"/>
        </w:rPr>
        <w:t xml:space="preserve">3.1 </w:t>
      </w:r>
      <w:r>
        <w:rPr>
          <w:rFonts w:ascii="Times New Roman" w:hAnsi="Times New Roman" w:cs="Times New Roman"/>
          <w:b/>
          <w:sz w:val="24"/>
          <w:szCs w:val="24"/>
        </w:rPr>
        <w:t>A interpretação da Constituição através do controle concentrado do Supremo Tribunal Federal</w:t>
      </w:r>
    </w:p>
    <w:p w:rsidR="0080331B" w:rsidRDefault="0080331B" w:rsidP="00CD17E8">
      <w:pPr>
        <w:spacing w:after="0" w:line="360" w:lineRule="auto"/>
        <w:ind w:firstLine="1134"/>
        <w:jc w:val="both"/>
        <w:rPr>
          <w:rFonts w:ascii="Times New Roman" w:hAnsi="Times New Roman" w:cs="Times New Roman"/>
          <w:sz w:val="24"/>
          <w:szCs w:val="24"/>
        </w:rPr>
      </w:pPr>
    </w:p>
    <w:p w:rsidR="00FD1B40" w:rsidRDefault="0080331B"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Antes de adentrarmos ao assunto necessário se faz destacar que o controle de constitucionalidade é exercido de forma difusa e concentrada. A forma difusa é atribuída a qualquer Juiz ou Tribunal o reconhecimento da inconstitucionalidade, no Brasil o controle difuso encontra previsão legal no artigo 97, da Constituiç</w:t>
      </w:r>
      <w:r w:rsidR="00FD1B40">
        <w:rPr>
          <w:rFonts w:ascii="Times New Roman" w:hAnsi="Times New Roman" w:cs="Times New Roman"/>
          <w:sz w:val="24"/>
          <w:szCs w:val="24"/>
        </w:rPr>
        <w:t>ão de 1988. O controle difuso consiste em o juiz diante do caso concreto em que uma norma ou ato normativo seja contrário a interpretação dada à Constituição, caracteriza-se por via de exceção. (BULOS, 2011, p. 200-201)</w:t>
      </w:r>
    </w:p>
    <w:p w:rsidR="008D7F08" w:rsidRDefault="00FD1B40"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o controle concentrado é exercido por um único órgão responsável pela guarda da Constituição, trata-se de controle exercido fora do caso concreto, não existem partes na lide</w:t>
      </w:r>
      <w:r w:rsidR="008D7F08">
        <w:rPr>
          <w:rFonts w:ascii="Times New Roman" w:hAnsi="Times New Roman" w:cs="Times New Roman"/>
          <w:sz w:val="24"/>
          <w:szCs w:val="24"/>
        </w:rPr>
        <w:t>, atendo-se tão somente na abstração em que a lei interpretada à luz da constituição possui validade jurídica, constitucionalidade, para produzir efeitos no campo de atuação. (BARROSO, 2012)</w:t>
      </w:r>
    </w:p>
    <w:p w:rsidR="008D7F08" w:rsidRDefault="008D7F0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Anteriormente a emenda constitucional nº 45, somente o Procurador Geral da República tinha legitimidade para propor a ação de controle de constitucionalidade, limitando assim a interpretação constitucional ao Procurador. No entanto a Emenda Constitucional nº 45, ampliou o rol de legitimados a propositura da referida ação democratizando o controle de </w:t>
      </w:r>
      <w:r>
        <w:rPr>
          <w:rFonts w:ascii="Times New Roman" w:hAnsi="Times New Roman" w:cs="Times New Roman"/>
          <w:sz w:val="24"/>
          <w:szCs w:val="24"/>
        </w:rPr>
        <w:lastRenderedPageBreak/>
        <w:t>constitucionalidade as diversos legitimados nos termos do art. 103, incisos da Constituição de 1988.</w:t>
      </w:r>
    </w:p>
    <w:p w:rsidR="00987FAF" w:rsidRDefault="00987FAF"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é obra política composta pela vontade do povo representada pela atuação do Poder Constituinte, dessa forma a legitimidade para interpretar e aplicar a Constituição repousa em um órgão a priori apolítico, dessa forma devido a constituição possuir caráter de norma jurídica compete ao poder judiciário interpretá-la e aplicá-la. (BARROSO, 2012, p. 45)</w:t>
      </w:r>
    </w:p>
    <w:p w:rsidR="00987FAF" w:rsidRDefault="00987FAF"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 adverte Barroso, (2012, p. 45-46):</w:t>
      </w:r>
    </w:p>
    <w:p w:rsidR="00987FAF" w:rsidRPr="00987FAF" w:rsidRDefault="00987FAF" w:rsidP="00987FAF">
      <w:pPr>
        <w:spacing w:after="0" w:line="240" w:lineRule="auto"/>
        <w:ind w:left="2268"/>
        <w:jc w:val="both"/>
        <w:rPr>
          <w:rFonts w:ascii="Times New Roman" w:hAnsi="Times New Roman" w:cs="Times New Roman"/>
          <w:sz w:val="24"/>
          <w:szCs w:val="24"/>
        </w:rPr>
      </w:pPr>
      <w:r w:rsidRPr="00987FAF">
        <w:rPr>
          <w:rFonts w:ascii="Times New Roman" w:hAnsi="Times New Roman" w:cs="Times New Roman"/>
          <w:sz w:val="24"/>
          <w:szCs w:val="24"/>
        </w:rPr>
        <w:t>Ainda quando decida conflitos de</w:t>
      </w:r>
      <w:r>
        <w:rPr>
          <w:rFonts w:ascii="Times New Roman" w:hAnsi="Times New Roman" w:cs="Times New Roman"/>
          <w:sz w:val="24"/>
          <w:szCs w:val="24"/>
        </w:rPr>
        <w:t xml:space="preserve"> </w:t>
      </w:r>
      <w:r w:rsidRPr="00987FAF">
        <w:rPr>
          <w:rFonts w:ascii="Times New Roman" w:hAnsi="Times New Roman" w:cs="Times New Roman"/>
          <w:sz w:val="24"/>
          <w:szCs w:val="24"/>
        </w:rPr>
        <w:t>natureza política, os critérios e métodos dos órgãos judiciais e das cortes</w:t>
      </w:r>
      <w:r>
        <w:rPr>
          <w:rFonts w:ascii="Times New Roman" w:hAnsi="Times New Roman" w:cs="Times New Roman"/>
          <w:sz w:val="24"/>
          <w:szCs w:val="24"/>
        </w:rPr>
        <w:t xml:space="preserve"> </w:t>
      </w:r>
      <w:r w:rsidRPr="00987FAF">
        <w:rPr>
          <w:rFonts w:ascii="Times New Roman" w:hAnsi="Times New Roman" w:cs="Times New Roman"/>
          <w:sz w:val="24"/>
          <w:szCs w:val="24"/>
        </w:rPr>
        <w:t>constitucionais são jurídicos. Em uma proposição: o Judiciário, ao interpretar as</w:t>
      </w:r>
      <w:r>
        <w:rPr>
          <w:rFonts w:ascii="Times New Roman" w:hAnsi="Times New Roman" w:cs="Times New Roman"/>
          <w:sz w:val="24"/>
          <w:szCs w:val="24"/>
        </w:rPr>
        <w:t xml:space="preserve"> </w:t>
      </w:r>
      <w:r w:rsidRPr="00987FAF">
        <w:rPr>
          <w:rFonts w:ascii="Times New Roman" w:hAnsi="Times New Roman" w:cs="Times New Roman"/>
          <w:sz w:val="24"/>
          <w:szCs w:val="24"/>
        </w:rPr>
        <w:t>normas constitucionais, revela a vontade do constituinte, isto é, do povo, e a faz</w:t>
      </w:r>
    </w:p>
    <w:p w:rsidR="008D7F08" w:rsidRDefault="00987FAF" w:rsidP="00987FAF">
      <w:pPr>
        <w:spacing w:after="0" w:line="240" w:lineRule="auto"/>
        <w:ind w:left="2268"/>
        <w:jc w:val="both"/>
        <w:rPr>
          <w:rFonts w:ascii="Times New Roman" w:hAnsi="Times New Roman" w:cs="Times New Roman"/>
          <w:sz w:val="24"/>
          <w:szCs w:val="24"/>
        </w:rPr>
      </w:pPr>
      <w:proofErr w:type="gramStart"/>
      <w:r w:rsidRPr="00987FAF">
        <w:rPr>
          <w:rFonts w:ascii="Times New Roman" w:hAnsi="Times New Roman" w:cs="Times New Roman"/>
          <w:sz w:val="24"/>
          <w:szCs w:val="24"/>
        </w:rPr>
        <w:t>prevalecer</w:t>
      </w:r>
      <w:proofErr w:type="gramEnd"/>
      <w:r w:rsidRPr="00987FAF">
        <w:rPr>
          <w:rFonts w:ascii="Times New Roman" w:hAnsi="Times New Roman" w:cs="Times New Roman"/>
          <w:sz w:val="24"/>
          <w:szCs w:val="24"/>
        </w:rPr>
        <w:t xml:space="preserve"> sobre a das maiorias parlamentares eventuais.</w:t>
      </w:r>
      <w:r w:rsidR="008D7F08">
        <w:rPr>
          <w:rFonts w:ascii="Times New Roman" w:hAnsi="Times New Roman" w:cs="Times New Roman"/>
          <w:sz w:val="24"/>
          <w:szCs w:val="24"/>
        </w:rPr>
        <w:t xml:space="preserve"> </w:t>
      </w:r>
    </w:p>
    <w:p w:rsidR="00C339E1" w:rsidRDefault="00C339E1" w:rsidP="00987FAF">
      <w:pPr>
        <w:spacing w:after="0" w:line="240" w:lineRule="auto"/>
        <w:ind w:left="2268"/>
        <w:jc w:val="both"/>
        <w:rPr>
          <w:rFonts w:ascii="Times New Roman" w:hAnsi="Times New Roman" w:cs="Times New Roman"/>
          <w:sz w:val="24"/>
          <w:szCs w:val="24"/>
        </w:rPr>
      </w:pPr>
    </w:p>
    <w:p w:rsidR="00987FAF" w:rsidRDefault="00987FAF"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defesa desse ponto encontra guarida na defesa técnica jurídica desenvolvida pela dogmática jurídica que atribuía à Suprema Corte os meios técnicos de se buscar o alcance e o sentido da norma através de princípios constitucionais de interpretação.</w:t>
      </w:r>
    </w:p>
    <w:p w:rsidR="0001785D" w:rsidRDefault="0001785D" w:rsidP="00CD17E8">
      <w:pPr>
        <w:spacing w:after="0" w:line="360" w:lineRule="auto"/>
        <w:ind w:firstLine="1134"/>
        <w:jc w:val="both"/>
        <w:rPr>
          <w:rFonts w:ascii="Times New Roman" w:hAnsi="Times New Roman" w:cs="Times New Roman"/>
          <w:sz w:val="24"/>
          <w:szCs w:val="24"/>
        </w:rPr>
      </w:pPr>
    </w:p>
    <w:p w:rsidR="0001785D" w:rsidRDefault="0001785D" w:rsidP="0001785D">
      <w:pPr>
        <w:spacing w:after="0" w:line="360" w:lineRule="auto"/>
        <w:jc w:val="both"/>
        <w:rPr>
          <w:rFonts w:ascii="Times New Roman" w:hAnsi="Times New Roman" w:cs="Times New Roman"/>
          <w:b/>
          <w:sz w:val="24"/>
          <w:szCs w:val="24"/>
        </w:rPr>
      </w:pPr>
      <w:r w:rsidRPr="0001785D">
        <w:rPr>
          <w:rFonts w:ascii="Times New Roman" w:hAnsi="Times New Roman" w:cs="Times New Roman"/>
          <w:b/>
          <w:sz w:val="24"/>
          <w:szCs w:val="24"/>
        </w:rPr>
        <w:t>3.2</w:t>
      </w:r>
      <w:r>
        <w:rPr>
          <w:rFonts w:ascii="Times New Roman" w:hAnsi="Times New Roman" w:cs="Times New Roman"/>
          <w:b/>
          <w:sz w:val="24"/>
          <w:szCs w:val="24"/>
        </w:rPr>
        <w:t xml:space="preserve"> Formas e métodos de interpretação constitucional</w:t>
      </w:r>
    </w:p>
    <w:p w:rsidR="0001785D" w:rsidRPr="0001785D" w:rsidRDefault="0001785D" w:rsidP="0001785D">
      <w:pPr>
        <w:spacing w:after="0" w:line="360" w:lineRule="auto"/>
        <w:jc w:val="both"/>
        <w:rPr>
          <w:rFonts w:ascii="Times New Roman" w:hAnsi="Times New Roman" w:cs="Times New Roman"/>
          <w:b/>
          <w:sz w:val="24"/>
          <w:szCs w:val="24"/>
        </w:rPr>
      </w:pPr>
    </w:p>
    <w:p w:rsidR="0001785D" w:rsidRDefault="0001785D"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Antes de adentrarmos aos métodos de interpretação constitucional, é necessário compreendermos o contexto jurídico político que circunda o tema, dessa forma existem duas linhas a serem seguidas a primeira baseada na interpretação e outra na não-interpretação. (CANOTILHO, 2003, p. 1195)</w:t>
      </w:r>
    </w:p>
    <w:p w:rsidR="00F7452E" w:rsidRDefault="00F7452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corrente interpretativa assevera que o juiz ao interpretar a Constituição</w:t>
      </w:r>
      <w:r w:rsidR="0001785D">
        <w:rPr>
          <w:rFonts w:ascii="Times New Roman" w:hAnsi="Times New Roman" w:cs="Times New Roman"/>
          <w:sz w:val="24"/>
          <w:szCs w:val="24"/>
        </w:rPr>
        <w:t xml:space="preserve">, </w:t>
      </w:r>
      <w:r>
        <w:rPr>
          <w:rFonts w:ascii="Times New Roman" w:hAnsi="Times New Roman" w:cs="Times New Roman"/>
          <w:sz w:val="24"/>
          <w:szCs w:val="24"/>
        </w:rPr>
        <w:t>encontra-se limitado ao sentido literal do texto e a vontade do legislador, os defensores dessa corrente asseveram que a decisão judicial não deve substituir a decisão política do legislador constituinte representante da vontade popular. (CANOTILHO, 2003, p. 1195)</w:t>
      </w:r>
    </w:p>
    <w:p w:rsidR="0028265C" w:rsidRDefault="00987FAF"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7452E">
        <w:rPr>
          <w:rFonts w:ascii="Times New Roman" w:hAnsi="Times New Roman" w:cs="Times New Roman"/>
          <w:sz w:val="24"/>
          <w:szCs w:val="24"/>
        </w:rPr>
        <w:t>A corrente não-interpretativa por sua vez pressupõe que para que o juiz possam interpretar a Constituição devem invocar “valores e princípios substantivos”</w:t>
      </w:r>
      <w:r w:rsidR="0028265C">
        <w:rPr>
          <w:rFonts w:ascii="Times New Roman" w:hAnsi="Times New Roman" w:cs="Times New Roman"/>
          <w:sz w:val="24"/>
          <w:szCs w:val="24"/>
        </w:rPr>
        <w:t>. Dentre os valores destacam-se “justiça, igualdade, liberdade – e não apenas e prevalentemente para o princípio democrático”. (CANOTILHO, 2003, p. 1196)</w:t>
      </w:r>
    </w:p>
    <w:p w:rsidR="0028265C" w:rsidRDefault="0028265C" w:rsidP="00CD17E8">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Canotilho</w:t>
      </w:r>
      <w:proofErr w:type="spellEnd"/>
      <w:r>
        <w:rPr>
          <w:rFonts w:ascii="Times New Roman" w:hAnsi="Times New Roman" w:cs="Times New Roman"/>
          <w:sz w:val="24"/>
          <w:szCs w:val="24"/>
        </w:rPr>
        <w:t xml:space="preserve"> destaca os pontos de partida apresentados por um dos maiores defensores de ‘significado substancial da constituição’, R.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w:t>
      </w:r>
    </w:p>
    <w:p w:rsidR="0028265C" w:rsidRDefault="0028265C" w:rsidP="0028265C">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Os pontos de partida são os seguintes: (1) a soberania da constituição</w:t>
      </w:r>
      <w:r w:rsidR="0060406C">
        <w:rPr>
          <w:rFonts w:ascii="Times New Roman" w:hAnsi="Times New Roman" w:cs="Times New Roman"/>
          <w:sz w:val="20"/>
          <w:szCs w:val="24"/>
        </w:rPr>
        <w:t xml:space="preserve">, pois o direito da maioria é limitado pela constituição, quer quando existem regras constitucionais </w:t>
      </w:r>
      <w:r w:rsidR="0060406C">
        <w:rPr>
          <w:rFonts w:ascii="Times New Roman" w:hAnsi="Times New Roman" w:cs="Times New Roman"/>
          <w:sz w:val="20"/>
          <w:szCs w:val="24"/>
        </w:rPr>
        <w:lastRenderedPageBreak/>
        <w:t xml:space="preserve">especificas (como origens interpretativas) quer quando as formulações constitucionais se nos apresentem sob a forma de ‘standards’ (conceitos vagos); (2) a objetividade interpretativa não é perturbada pelo facto (sic) de os juízes recorrem aos princípios da justiça, da liberdade e da igualdade, ou até a outros conceitos (religião, liberdade de imprensa) ancorados num determinado </w:t>
      </w:r>
      <w:proofErr w:type="spellStart"/>
      <w:r w:rsidR="0060406C">
        <w:rPr>
          <w:rFonts w:ascii="Times New Roman" w:hAnsi="Times New Roman" w:cs="Times New Roman"/>
          <w:sz w:val="20"/>
          <w:szCs w:val="24"/>
        </w:rPr>
        <w:t>ethos</w:t>
      </w:r>
      <w:proofErr w:type="spellEnd"/>
      <w:r w:rsidR="0060406C">
        <w:rPr>
          <w:rFonts w:ascii="Times New Roman" w:hAnsi="Times New Roman" w:cs="Times New Roman"/>
          <w:sz w:val="20"/>
          <w:szCs w:val="24"/>
        </w:rPr>
        <w:t xml:space="preserve"> social, pois a interpretação da constituição faz-se sempre tendo em conta o texto, a história, os precedentes, as regras de procedimentos, as normas de competência que globalmente considerados, permitem uma </w:t>
      </w:r>
      <w:proofErr w:type="spellStart"/>
      <w:r w:rsidR="0060406C">
        <w:rPr>
          <w:rFonts w:ascii="Times New Roman" w:hAnsi="Times New Roman" w:cs="Times New Roman"/>
          <w:sz w:val="20"/>
          <w:szCs w:val="24"/>
        </w:rPr>
        <w:t>actividade</w:t>
      </w:r>
      <w:proofErr w:type="spellEnd"/>
      <w:r w:rsidR="0060406C">
        <w:rPr>
          <w:rFonts w:ascii="Times New Roman" w:hAnsi="Times New Roman" w:cs="Times New Roman"/>
          <w:sz w:val="20"/>
          <w:szCs w:val="24"/>
        </w:rPr>
        <w:t xml:space="preserve"> interpretativa dotada de tendencial objetividade; (3) de resto, a interpretação substancial da constituição deve </w:t>
      </w:r>
      <w:proofErr w:type="spellStart"/>
      <w:r w:rsidR="0060406C">
        <w:rPr>
          <w:rFonts w:ascii="Times New Roman" w:hAnsi="Times New Roman" w:cs="Times New Roman"/>
          <w:sz w:val="20"/>
          <w:szCs w:val="24"/>
        </w:rPr>
        <w:t>perpectivar-se</w:t>
      </w:r>
      <w:proofErr w:type="spellEnd"/>
      <w:r w:rsidR="0060406C">
        <w:rPr>
          <w:rFonts w:ascii="Times New Roman" w:hAnsi="Times New Roman" w:cs="Times New Roman"/>
          <w:sz w:val="20"/>
          <w:szCs w:val="24"/>
        </w:rPr>
        <w:t xml:space="preserve"> em moldes diferentes dos </w:t>
      </w:r>
      <w:r w:rsidR="00C339E1">
        <w:rPr>
          <w:rFonts w:ascii="Times New Roman" w:hAnsi="Times New Roman" w:cs="Times New Roman"/>
          <w:sz w:val="20"/>
          <w:szCs w:val="24"/>
        </w:rPr>
        <w:t>proclamados</w:t>
      </w:r>
      <w:r w:rsidR="0060406C">
        <w:rPr>
          <w:rFonts w:ascii="Times New Roman" w:hAnsi="Times New Roman" w:cs="Times New Roman"/>
          <w:sz w:val="20"/>
          <w:szCs w:val="24"/>
        </w:rPr>
        <w:t xml:space="preserve"> pelas </w:t>
      </w:r>
      <w:r w:rsidR="00C339E1">
        <w:rPr>
          <w:rFonts w:ascii="Times New Roman" w:hAnsi="Times New Roman" w:cs="Times New Roman"/>
          <w:sz w:val="20"/>
          <w:szCs w:val="24"/>
        </w:rPr>
        <w:t xml:space="preserve">teorias interpretativas: o direito não é apenas o ‘conteúdo’ de regras jurídicas concretas, é também  formado constitutivamente por princípios jurídicos abertos como justiça, imparcialidade, igualdade, liberdade. </w:t>
      </w:r>
      <w:r w:rsidR="00C339E1" w:rsidRPr="00C339E1">
        <w:rPr>
          <w:rFonts w:ascii="Times New Roman" w:hAnsi="Times New Roman" w:cs="Times New Roman"/>
          <w:sz w:val="20"/>
          <w:szCs w:val="24"/>
        </w:rPr>
        <w:t>(CANOTILHO, 2003, p. 119</w:t>
      </w:r>
      <w:r w:rsidR="00C339E1">
        <w:rPr>
          <w:rFonts w:ascii="Times New Roman" w:hAnsi="Times New Roman" w:cs="Times New Roman"/>
          <w:sz w:val="20"/>
          <w:szCs w:val="24"/>
        </w:rPr>
        <w:t>7</w:t>
      </w:r>
      <w:r w:rsidR="00C339E1" w:rsidRPr="00C339E1">
        <w:rPr>
          <w:rFonts w:ascii="Times New Roman" w:hAnsi="Times New Roman" w:cs="Times New Roman"/>
          <w:sz w:val="20"/>
          <w:szCs w:val="24"/>
        </w:rPr>
        <w:t>)</w:t>
      </w:r>
    </w:p>
    <w:p w:rsidR="00C339E1" w:rsidRPr="0028265C" w:rsidRDefault="00C339E1" w:rsidP="0028265C">
      <w:pPr>
        <w:spacing w:after="0" w:line="240" w:lineRule="auto"/>
        <w:ind w:left="2268"/>
        <w:jc w:val="both"/>
        <w:rPr>
          <w:rFonts w:ascii="Times New Roman" w:hAnsi="Times New Roman" w:cs="Times New Roman"/>
          <w:sz w:val="20"/>
          <w:szCs w:val="24"/>
        </w:rPr>
      </w:pPr>
    </w:p>
    <w:p w:rsidR="0065410B" w:rsidRDefault="00C339E1"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das considerações, não resta dúvida a diferença existente entre as duas correntes, restando a opção para o referido trabalho da corrente não interpretativ</w:t>
      </w:r>
      <w:r w:rsidR="0065410B">
        <w:rPr>
          <w:rFonts w:ascii="Times New Roman" w:hAnsi="Times New Roman" w:cs="Times New Roman"/>
          <w:sz w:val="24"/>
          <w:szCs w:val="24"/>
        </w:rPr>
        <w:t>a, por se entender que seja a que melhor se adequa à interpretação constitucional, partindo-se para a descrição dos métodos de interpretação da constituição.</w:t>
      </w:r>
    </w:p>
    <w:p w:rsidR="009656F9" w:rsidRDefault="0065410B"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Método jurídico, também conhecido como método hermenêutico clássico, consiste em interpretar a constituição usando as mesmas regras interpretativas atribuídas a interpretação de uma lei normal, devendo-se utilizar dos elementos interpretativos, “literal ou gramatical, textual; lógico-sistemático; histórico; </w:t>
      </w:r>
      <w:r w:rsidR="009656F9">
        <w:rPr>
          <w:rFonts w:ascii="Times New Roman" w:hAnsi="Times New Roman" w:cs="Times New Roman"/>
          <w:sz w:val="24"/>
          <w:szCs w:val="24"/>
        </w:rPr>
        <w:t>teleológico; e do elemento genético. (CANOTILHO, 2003, p. 1210-1211)</w:t>
      </w:r>
    </w:p>
    <w:p w:rsidR="009656F9" w:rsidRDefault="009656F9"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Método tópico problemático, consiste na adequação do problema à norma constitucional, parte-se do problema para a solução na norma constitucional. Uma crítica ao método reside no casuísmo sem limites e ademais a interpretação não deve partir do problema para a norma, mas dessa para o problema. (CANOTILHO, 2003, p. 1211-1212)</w:t>
      </w:r>
    </w:p>
    <w:p w:rsidR="002C021E" w:rsidRDefault="009656F9"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Método hermenêutico-</w:t>
      </w:r>
      <w:proofErr w:type="spellStart"/>
      <w:r>
        <w:rPr>
          <w:rFonts w:ascii="Times New Roman" w:hAnsi="Times New Roman" w:cs="Times New Roman"/>
          <w:sz w:val="24"/>
          <w:szCs w:val="24"/>
        </w:rPr>
        <w:t>concretizador</w:t>
      </w:r>
      <w:proofErr w:type="spellEnd"/>
      <w:r>
        <w:rPr>
          <w:rFonts w:ascii="Times New Roman" w:hAnsi="Times New Roman" w:cs="Times New Roman"/>
          <w:sz w:val="24"/>
          <w:szCs w:val="24"/>
        </w:rPr>
        <w:t xml:space="preserve">, consiste na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-compreensão do texto constitucional para aplicação no caso concreto, é exatamente o contrário do método tópico.</w:t>
      </w:r>
      <w:r w:rsidR="002C021E">
        <w:rPr>
          <w:rFonts w:ascii="Times New Roman" w:hAnsi="Times New Roman" w:cs="Times New Roman"/>
          <w:sz w:val="24"/>
          <w:szCs w:val="24"/>
        </w:rPr>
        <w:t xml:space="preserve"> (CANOTILHO, 2003, p. 1212)</w:t>
      </w:r>
    </w:p>
    <w:p w:rsidR="002C021E" w:rsidRDefault="002C021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método científico-espiritual, este consiste na interpretação da constituição com base nos valores espirituais, valores que correspondem à realidade existencial do próprio Estado, não se limitando aos conceitos do texto constitucional. (CANOTILHO, 2003, p. 1212-1213)</w:t>
      </w:r>
    </w:p>
    <w:p w:rsidR="002C021E" w:rsidRDefault="0063633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método jurídico normativo estruturante, na investigação das várias facetas da norma constitucional, legislativo, administrativo e jurisdicional, a partir da revelação da norma poderá se extrair os conceitos e aplicar ao caso concreto.</w:t>
      </w:r>
      <w:r w:rsidRPr="0063633E">
        <w:rPr>
          <w:rFonts w:ascii="Times New Roman" w:hAnsi="Times New Roman" w:cs="Times New Roman"/>
          <w:sz w:val="24"/>
          <w:szCs w:val="24"/>
        </w:rPr>
        <w:t xml:space="preserve"> </w:t>
      </w:r>
      <w:r>
        <w:rPr>
          <w:rFonts w:ascii="Times New Roman" w:hAnsi="Times New Roman" w:cs="Times New Roman"/>
          <w:sz w:val="24"/>
          <w:szCs w:val="24"/>
        </w:rPr>
        <w:t>(CANOTILHO, 2003, p. 1213)</w:t>
      </w:r>
    </w:p>
    <w:p w:rsidR="0063633E" w:rsidRDefault="0063633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desse tópico não era esvaziar o assunto, mas exemplificar os métodos utilizados na interpretação e aplicação da norma.</w:t>
      </w:r>
    </w:p>
    <w:p w:rsidR="0063633E" w:rsidRDefault="0063633E" w:rsidP="00CD17E8">
      <w:pPr>
        <w:spacing w:after="0" w:line="360" w:lineRule="auto"/>
        <w:ind w:firstLine="1134"/>
        <w:jc w:val="both"/>
        <w:rPr>
          <w:rFonts w:ascii="Times New Roman" w:hAnsi="Times New Roman" w:cs="Times New Roman"/>
          <w:sz w:val="24"/>
          <w:szCs w:val="24"/>
        </w:rPr>
      </w:pPr>
    </w:p>
    <w:p w:rsidR="0063633E" w:rsidRDefault="0063633E" w:rsidP="0063633E">
      <w:pPr>
        <w:spacing w:after="0" w:line="360" w:lineRule="auto"/>
        <w:jc w:val="both"/>
        <w:rPr>
          <w:rFonts w:ascii="Times New Roman" w:hAnsi="Times New Roman" w:cs="Times New Roman"/>
          <w:b/>
          <w:sz w:val="24"/>
          <w:szCs w:val="24"/>
        </w:rPr>
      </w:pPr>
      <w:r w:rsidRPr="0063633E">
        <w:rPr>
          <w:rFonts w:ascii="Times New Roman" w:hAnsi="Times New Roman" w:cs="Times New Roman"/>
          <w:b/>
          <w:sz w:val="24"/>
          <w:szCs w:val="24"/>
        </w:rPr>
        <w:lastRenderedPageBreak/>
        <w:t>3.3</w:t>
      </w:r>
      <w:r>
        <w:rPr>
          <w:rFonts w:ascii="Times New Roman" w:hAnsi="Times New Roman" w:cs="Times New Roman"/>
          <w:b/>
          <w:sz w:val="24"/>
          <w:szCs w:val="24"/>
        </w:rPr>
        <w:t xml:space="preserve"> A Vinculação do Poder Judiciário e Poder Executivo diante das decisões </w:t>
      </w:r>
      <w:r w:rsidR="004C0CAA">
        <w:rPr>
          <w:rFonts w:ascii="Times New Roman" w:hAnsi="Times New Roman" w:cs="Times New Roman"/>
          <w:b/>
          <w:sz w:val="24"/>
          <w:szCs w:val="24"/>
        </w:rPr>
        <w:t>do STF</w:t>
      </w:r>
    </w:p>
    <w:p w:rsidR="004C0CAA" w:rsidRPr="0063633E" w:rsidRDefault="004C0CAA" w:rsidP="0063633E">
      <w:pPr>
        <w:spacing w:after="0" w:line="360" w:lineRule="auto"/>
        <w:jc w:val="both"/>
        <w:rPr>
          <w:rFonts w:ascii="Times New Roman" w:hAnsi="Times New Roman" w:cs="Times New Roman"/>
          <w:b/>
          <w:sz w:val="24"/>
          <w:szCs w:val="24"/>
        </w:rPr>
      </w:pPr>
    </w:p>
    <w:p w:rsidR="004C0CAA" w:rsidRDefault="004C0CAA"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Súmula vinculante é fruto da Emenda Constitucional nº 45/2004, que introduziu a letra ao artigo 103 da Constituição de 1988. Tal disposição permite ao Supremo Tribunal Federal, nas decisões reiteradas sobre matéria constitucional aprovar súmula com efeito vinculante em relação aos demais órgãos do Poder Judiciário e Executivo.</w:t>
      </w:r>
    </w:p>
    <w:p w:rsidR="004C0CAA" w:rsidRDefault="00567B9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Bullos</w:t>
      </w:r>
      <w:proofErr w:type="spellEnd"/>
      <w:r>
        <w:rPr>
          <w:rFonts w:ascii="Times New Roman" w:hAnsi="Times New Roman" w:cs="Times New Roman"/>
          <w:sz w:val="24"/>
          <w:szCs w:val="24"/>
        </w:rPr>
        <w:t>, 2012, as</w:t>
      </w:r>
      <w:r w:rsidR="004C0CAA">
        <w:rPr>
          <w:rFonts w:ascii="Times New Roman" w:hAnsi="Times New Roman" w:cs="Times New Roman"/>
          <w:sz w:val="24"/>
          <w:szCs w:val="24"/>
        </w:rPr>
        <w:t xml:space="preserve"> </w:t>
      </w:r>
      <w:r>
        <w:rPr>
          <w:rFonts w:ascii="Times New Roman" w:hAnsi="Times New Roman" w:cs="Times New Roman"/>
          <w:sz w:val="24"/>
          <w:szCs w:val="24"/>
        </w:rPr>
        <w:t>“</w:t>
      </w:r>
      <w:r w:rsidR="004C0CAA">
        <w:rPr>
          <w:rFonts w:ascii="Times New Roman" w:hAnsi="Times New Roman" w:cs="Times New Roman"/>
          <w:sz w:val="24"/>
          <w:szCs w:val="24"/>
        </w:rPr>
        <w:t>sumulas vinculantes possuem origem no com</w:t>
      </w:r>
      <w:r>
        <w:rPr>
          <w:rFonts w:ascii="Times New Roman" w:hAnsi="Times New Roman" w:cs="Times New Roman"/>
          <w:sz w:val="24"/>
          <w:szCs w:val="24"/>
        </w:rPr>
        <w:t xml:space="preserve">mon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mais precisamente dos anglo-saxões, derivadas dos brocados ‘mantenha-se a decisão e não se perturbe o que foi decidido”.</w:t>
      </w:r>
    </w:p>
    <w:p w:rsidR="00567B98" w:rsidRDefault="00567B9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primordial da súmula vinculante é de cunho processual, onde reduz-se a carga processual nas ações que já tenham entendimento cristalizado sobre o assunto. Visa acima de tudo garantir unidade ao ordenamento constitucional, resguardando o entendimento da Corte sobre casos semelhantes.</w:t>
      </w:r>
    </w:p>
    <w:p w:rsidR="00567B98" w:rsidRDefault="00567B98"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grande problemática que gira em torno das decisões das súmulas vinculante, reside na </w:t>
      </w:r>
      <w:r w:rsidR="001F6302">
        <w:rPr>
          <w:rFonts w:ascii="Times New Roman" w:hAnsi="Times New Roman" w:cs="Times New Roman"/>
          <w:sz w:val="24"/>
          <w:szCs w:val="24"/>
        </w:rPr>
        <w:t>possibilidade jurídica de casos semelhantes, limitando o interprete constitucional ao se deparar com casos sumulados se abster do processo interpretativo, ocasionando desvio da aplicação correta e eficaz da norma constitucional.</w:t>
      </w:r>
    </w:p>
    <w:p w:rsidR="001F6302" w:rsidRDefault="001F6302"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grande crítica que reside no instituto vinculante frente à democratização das interpretação da sociedade aberta dos interpretes é a limitação da interpretação.</w:t>
      </w:r>
    </w:p>
    <w:p w:rsidR="001F6302" w:rsidRDefault="001F6302" w:rsidP="00CD17E8">
      <w:pPr>
        <w:spacing w:after="0" w:line="360" w:lineRule="auto"/>
        <w:ind w:firstLine="1134"/>
        <w:jc w:val="both"/>
        <w:rPr>
          <w:rFonts w:ascii="Times New Roman" w:hAnsi="Times New Roman" w:cs="Times New Roman"/>
          <w:sz w:val="24"/>
          <w:szCs w:val="24"/>
        </w:rPr>
      </w:pPr>
    </w:p>
    <w:p w:rsidR="001F6302" w:rsidRPr="001F6302" w:rsidRDefault="001F6302" w:rsidP="001F63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1F6302" w:rsidRDefault="001F6302" w:rsidP="00CD17E8">
      <w:pPr>
        <w:spacing w:after="0" w:line="360" w:lineRule="auto"/>
        <w:ind w:firstLine="1134"/>
        <w:jc w:val="both"/>
        <w:rPr>
          <w:rFonts w:ascii="Times New Roman" w:hAnsi="Times New Roman" w:cs="Times New Roman"/>
          <w:sz w:val="24"/>
          <w:szCs w:val="24"/>
        </w:rPr>
      </w:pPr>
    </w:p>
    <w:p w:rsidR="001F6302" w:rsidRDefault="001F6302"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presente artigo buscou-se analisar a proposta apresentada por Peter Häberle, da sociedade aberta dos interpretes da constituição, para isso realizou-se o estudo bibliográfico da obra, onde se constatou que a proposta apresentada encontra amparo no apelo, interpretativo constitucional, voltado para a capacitação dos vários ramos da sociedade da interpretação, a fim que nas interpretações sejam observados a vários órgãos de interpretação e para que o interprete técnico conhece desses fatores </w:t>
      </w:r>
      <w:r w:rsidR="008D4C9E">
        <w:rPr>
          <w:rFonts w:ascii="Times New Roman" w:hAnsi="Times New Roman" w:cs="Times New Roman"/>
          <w:sz w:val="24"/>
          <w:szCs w:val="24"/>
        </w:rPr>
        <w:t>de interpretação.</w:t>
      </w:r>
    </w:p>
    <w:p w:rsidR="008D4C9E" w:rsidRDefault="008D4C9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da identificação de classificação dos interpretes da constituição, percebeu-se a real importância, e o grau de participação de cada componente da sociedade aberta dos interpretes. Analisou-se as objeções e críticas a sociedade abertas dos interpretes, percebeu-se, que as objeções são refutadas, e que não existem impedimentos para a participação democrática da interpretação constitucional.</w:t>
      </w:r>
    </w:p>
    <w:p w:rsidR="008D4C9E" w:rsidRDefault="008D4C9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Do estudo do controle de constitucionalidade, pode-se perceber o papel importantíssimo do Supremo Tribunal Federal não guarda e interpretação da Constituição, enfatizando-se que a interpretação constitucional técnica não pode pautar-se apenas no texto literal ou na vontade do legislado, mas deve-se interpretar a constituição a partir de princípios que garantam o preenchimento das lacunas e eficaz aplicação da norma constitucional interpretada.</w:t>
      </w:r>
    </w:p>
    <w:p w:rsidR="008978C8" w:rsidRDefault="008D4C9E" w:rsidP="00CD17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Percebe-se que da interpretação da constituição através do </w:t>
      </w:r>
      <w:r w:rsidR="008978C8">
        <w:rPr>
          <w:rFonts w:ascii="Times New Roman" w:hAnsi="Times New Roman" w:cs="Times New Roman"/>
          <w:sz w:val="24"/>
          <w:szCs w:val="24"/>
        </w:rPr>
        <w:t>significado substancial decorrem princípios e métodos de interpretação que devem sem estritamente seguidos para a correta interpretação constitucional.</w:t>
      </w:r>
    </w:p>
    <w:p w:rsidR="008978C8" w:rsidRDefault="008978C8" w:rsidP="008978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por fim ao estudar a Súmula vinculante, introduzida pela Emenda Constitucional nº 45, verificou-se que o instituto visa assegurar segurança nas decisões reiteradas do STF, vinculando os órgãos judiciários e executivo ao fiel cumprimento. No entanto concluiu-se que a vinculação engessa a interpretação constitucional, que diante das várias interpretações só pode aceitar a vinculada.</w:t>
      </w: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D66A51" w:rsidRPr="00990763" w:rsidRDefault="00D66A51" w:rsidP="00A65CE3">
      <w:pPr>
        <w:spacing w:after="0" w:line="360" w:lineRule="auto"/>
        <w:jc w:val="both"/>
        <w:rPr>
          <w:rFonts w:ascii="Times New Roman" w:hAnsi="Times New Roman" w:cs="Times New Roman"/>
          <w:b/>
          <w:sz w:val="24"/>
          <w:szCs w:val="24"/>
        </w:rPr>
      </w:pPr>
    </w:p>
    <w:p w:rsidR="00245E79" w:rsidRPr="00990763" w:rsidRDefault="00245E79" w:rsidP="00A65CE3">
      <w:pPr>
        <w:spacing w:after="0" w:line="360" w:lineRule="auto"/>
        <w:jc w:val="both"/>
        <w:rPr>
          <w:rFonts w:ascii="Times New Roman" w:hAnsi="Times New Roman" w:cs="Times New Roman"/>
          <w:b/>
          <w:sz w:val="24"/>
          <w:szCs w:val="24"/>
        </w:rPr>
      </w:pPr>
    </w:p>
    <w:p w:rsidR="00245E79" w:rsidRPr="00990763" w:rsidRDefault="00245E79" w:rsidP="00A65CE3">
      <w:pPr>
        <w:spacing w:after="0" w:line="360" w:lineRule="auto"/>
        <w:jc w:val="both"/>
        <w:rPr>
          <w:rFonts w:ascii="Times New Roman" w:hAnsi="Times New Roman" w:cs="Times New Roman"/>
          <w:b/>
          <w:sz w:val="24"/>
          <w:szCs w:val="24"/>
        </w:rPr>
      </w:pPr>
    </w:p>
    <w:p w:rsidR="00245E79" w:rsidRPr="00990763" w:rsidRDefault="00245E79" w:rsidP="00A65CE3">
      <w:pPr>
        <w:spacing w:after="0" w:line="360" w:lineRule="auto"/>
        <w:jc w:val="both"/>
        <w:rPr>
          <w:rFonts w:ascii="Times New Roman" w:hAnsi="Times New Roman" w:cs="Times New Roman"/>
          <w:b/>
          <w:sz w:val="24"/>
          <w:szCs w:val="24"/>
        </w:rPr>
      </w:pPr>
    </w:p>
    <w:p w:rsidR="0002223E" w:rsidRDefault="0002223E" w:rsidP="00A65CE3">
      <w:pPr>
        <w:spacing w:after="0" w:line="360" w:lineRule="auto"/>
        <w:jc w:val="both"/>
        <w:rPr>
          <w:rFonts w:ascii="Times New Roman" w:hAnsi="Times New Roman" w:cs="Times New Roman"/>
          <w:b/>
          <w:sz w:val="24"/>
          <w:szCs w:val="24"/>
        </w:rPr>
      </w:pPr>
    </w:p>
    <w:p w:rsidR="008978C8" w:rsidRDefault="008978C8" w:rsidP="00A65CE3">
      <w:pPr>
        <w:spacing w:after="0" w:line="360" w:lineRule="auto"/>
        <w:jc w:val="both"/>
        <w:rPr>
          <w:rFonts w:ascii="Times New Roman" w:hAnsi="Times New Roman" w:cs="Times New Roman"/>
          <w:b/>
          <w:sz w:val="24"/>
          <w:szCs w:val="24"/>
        </w:rPr>
      </w:pPr>
    </w:p>
    <w:p w:rsidR="00955126" w:rsidRPr="00990763" w:rsidRDefault="00E30E98" w:rsidP="00A65CE3">
      <w:pPr>
        <w:spacing w:after="0" w:line="360" w:lineRule="auto"/>
        <w:jc w:val="both"/>
        <w:rPr>
          <w:rFonts w:ascii="Times New Roman" w:hAnsi="Times New Roman" w:cs="Times New Roman"/>
          <w:b/>
          <w:sz w:val="24"/>
          <w:szCs w:val="24"/>
        </w:rPr>
      </w:pPr>
      <w:r w:rsidRPr="00990763">
        <w:rPr>
          <w:rFonts w:ascii="Times New Roman" w:hAnsi="Times New Roman" w:cs="Times New Roman"/>
          <w:b/>
          <w:sz w:val="24"/>
          <w:szCs w:val="24"/>
        </w:rPr>
        <w:lastRenderedPageBreak/>
        <w:t>REFERÊNCIAS</w:t>
      </w:r>
    </w:p>
    <w:p w:rsidR="0085519F" w:rsidRPr="00990763" w:rsidRDefault="0085519F" w:rsidP="00A65CE3">
      <w:pPr>
        <w:shd w:val="clear" w:color="auto" w:fill="FFFFFF"/>
        <w:spacing w:after="0" w:line="240" w:lineRule="auto"/>
        <w:outlineLvl w:val="0"/>
        <w:rPr>
          <w:rFonts w:ascii="Times New Roman" w:eastAsia="Times New Roman" w:hAnsi="Times New Roman" w:cs="Times New Roman"/>
          <w:sz w:val="20"/>
          <w:szCs w:val="20"/>
        </w:rPr>
      </w:pPr>
    </w:p>
    <w:p w:rsidR="008978C8" w:rsidRPr="008978C8" w:rsidRDefault="008978C8" w:rsidP="003E62E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BARROSO, Luís Roberto. </w:t>
      </w:r>
      <w:r>
        <w:rPr>
          <w:rFonts w:ascii="Times New Roman" w:eastAsia="Times New Roman" w:hAnsi="Times New Roman" w:cs="Times New Roman"/>
          <w:b/>
          <w:sz w:val="24"/>
          <w:szCs w:val="24"/>
        </w:rPr>
        <w:t>O controle de constitucionalidade no direito brasileiro</w:t>
      </w:r>
      <w:r w:rsidR="003E62E9">
        <w:rPr>
          <w:rFonts w:ascii="Times New Roman" w:eastAsia="Times New Roman" w:hAnsi="Times New Roman" w:cs="Times New Roman"/>
          <w:sz w:val="24"/>
          <w:szCs w:val="24"/>
        </w:rPr>
        <w:t>: exposição sistemática da doutrina e análise crítica da jurisprudência. 6. ed. rev. e atual. – São Paulo: Saraiva, 2012</w:t>
      </w:r>
    </w:p>
    <w:p w:rsidR="008978C8" w:rsidRDefault="008978C8" w:rsidP="00A65CE3">
      <w:pPr>
        <w:autoSpaceDE w:val="0"/>
        <w:autoSpaceDN w:val="0"/>
        <w:adjustRightInd w:val="0"/>
        <w:spacing w:after="0" w:line="240" w:lineRule="auto"/>
        <w:rPr>
          <w:rFonts w:ascii="Times New Roman" w:eastAsia="Times New Roman" w:hAnsi="Times New Roman" w:cs="Times New Roman"/>
          <w:sz w:val="24"/>
          <w:szCs w:val="24"/>
        </w:rPr>
      </w:pPr>
    </w:p>
    <w:p w:rsidR="008978C8" w:rsidRDefault="008978C8" w:rsidP="003E62E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BULLOS, </w:t>
      </w:r>
      <w:proofErr w:type="spellStart"/>
      <w:r>
        <w:rPr>
          <w:rFonts w:ascii="Times New Roman" w:eastAsia="Times New Roman" w:hAnsi="Times New Roman" w:cs="Times New Roman"/>
          <w:sz w:val="24"/>
          <w:szCs w:val="24"/>
        </w:rPr>
        <w:t>Uadi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Lâmego</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Curso de Direito Constitucional</w:t>
      </w:r>
      <w:r>
        <w:rPr>
          <w:rFonts w:ascii="Times New Roman" w:eastAsia="Times New Roman" w:hAnsi="Times New Roman" w:cs="Times New Roman"/>
          <w:sz w:val="24"/>
          <w:szCs w:val="24"/>
        </w:rPr>
        <w:t>, - 6. ed. rev. atual. – São Paulo: Saraiva, 2011.</w:t>
      </w:r>
    </w:p>
    <w:p w:rsidR="003E62E9" w:rsidRDefault="003E62E9" w:rsidP="003E62E9">
      <w:pPr>
        <w:autoSpaceDE w:val="0"/>
        <w:autoSpaceDN w:val="0"/>
        <w:adjustRightInd w:val="0"/>
        <w:spacing w:after="0" w:line="240" w:lineRule="auto"/>
        <w:jc w:val="both"/>
        <w:rPr>
          <w:rFonts w:ascii="Times New Roman" w:eastAsia="Times New Roman" w:hAnsi="Times New Roman" w:cs="Times New Roman"/>
          <w:sz w:val="24"/>
          <w:szCs w:val="24"/>
        </w:rPr>
      </w:pPr>
    </w:p>
    <w:p w:rsidR="003E62E9" w:rsidRDefault="003E62E9" w:rsidP="003E62E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CANOTILHO, J. J. Gomes. </w:t>
      </w:r>
      <w:r>
        <w:rPr>
          <w:rFonts w:ascii="Times New Roman" w:eastAsia="Times New Roman" w:hAnsi="Times New Roman" w:cs="Times New Roman"/>
          <w:b/>
          <w:sz w:val="24"/>
          <w:szCs w:val="24"/>
        </w:rPr>
        <w:t>Direito Constitucional e Teoria da Constituição</w:t>
      </w:r>
      <w:r>
        <w:rPr>
          <w:rFonts w:ascii="Times New Roman" w:eastAsia="Times New Roman" w:hAnsi="Times New Roman" w:cs="Times New Roman"/>
          <w:sz w:val="24"/>
          <w:szCs w:val="24"/>
        </w:rPr>
        <w:t xml:space="preserve">. 7ª ed. 6 </w:t>
      </w:r>
      <w:proofErr w:type="spellStart"/>
      <w:r>
        <w:rPr>
          <w:rFonts w:ascii="Times New Roman" w:eastAsia="Times New Roman" w:hAnsi="Times New Roman" w:cs="Times New Roman"/>
          <w:sz w:val="24"/>
          <w:szCs w:val="24"/>
        </w:rPr>
        <w:t>reimp</w:t>
      </w:r>
      <w:proofErr w:type="spellEnd"/>
      <w:r>
        <w:rPr>
          <w:rFonts w:ascii="Times New Roman" w:eastAsia="Times New Roman" w:hAnsi="Times New Roman" w:cs="Times New Roman"/>
          <w:sz w:val="24"/>
          <w:szCs w:val="24"/>
        </w:rPr>
        <w:t>. Almedina, 2003, Portugal.</w:t>
      </w:r>
    </w:p>
    <w:p w:rsidR="003E62E9" w:rsidRDefault="003E62E9" w:rsidP="003E62E9">
      <w:pPr>
        <w:autoSpaceDE w:val="0"/>
        <w:autoSpaceDN w:val="0"/>
        <w:adjustRightInd w:val="0"/>
        <w:spacing w:after="0" w:line="240" w:lineRule="auto"/>
        <w:jc w:val="both"/>
        <w:rPr>
          <w:rFonts w:ascii="Times New Roman" w:eastAsia="Times New Roman" w:hAnsi="Times New Roman" w:cs="Times New Roman"/>
          <w:sz w:val="24"/>
          <w:szCs w:val="24"/>
        </w:rPr>
      </w:pPr>
    </w:p>
    <w:p w:rsidR="003E62E9" w:rsidRDefault="003E62E9" w:rsidP="003E62E9">
      <w:pPr>
        <w:autoSpaceDE w:val="0"/>
        <w:autoSpaceDN w:val="0"/>
        <w:adjustRightInd w:val="0"/>
        <w:spacing w:after="0" w:line="240" w:lineRule="auto"/>
        <w:jc w:val="both"/>
        <w:rPr>
          <w:rFonts w:ascii="Times New Roman" w:eastAsia="Times New Roman" w:hAnsi="Times New Roman" w:cs="Times New Roman"/>
          <w:sz w:val="24"/>
          <w:szCs w:val="24"/>
        </w:rPr>
      </w:pPr>
      <w:r w:rsidRPr="003E62E9">
        <w:rPr>
          <w:rFonts w:ascii="Times New Roman" w:eastAsia="Times New Roman" w:hAnsi="Times New Roman" w:cs="Times New Roman"/>
          <w:sz w:val="24"/>
          <w:szCs w:val="24"/>
        </w:rPr>
        <w:t xml:space="preserve">HÄBERLE, Peter. </w:t>
      </w:r>
      <w:r w:rsidRPr="003E62E9">
        <w:rPr>
          <w:rFonts w:ascii="Times New Roman" w:eastAsia="Times New Roman" w:hAnsi="Times New Roman" w:cs="Times New Roman"/>
          <w:b/>
          <w:sz w:val="24"/>
          <w:szCs w:val="24"/>
        </w:rPr>
        <w:t>Hermenêutica Constitucional</w:t>
      </w:r>
      <w:r w:rsidRPr="003E62E9">
        <w:rPr>
          <w:rFonts w:ascii="Times New Roman" w:eastAsia="Times New Roman" w:hAnsi="Times New Roman" w:cs="Times New Roman"/>
          <w:sz w:val="24"/>
          <w:szCs w:val="24"/>
        </w:rPr>
        <w:t>. A Sociedade aberta dos</w:t>
      </w:r>
      <w:r>
        <w:rPr>
          <w:rFonts w:ascii="Times New Roman" w:eastAsia="Times New Roman" w:hAnsi="Times New Roman" w:cs="Times New Roman"/>
          <w:sz w:val="24"/>
          <w:szCs w:val="24"/>
        </w:rPr>
        <w:t xml:space="preserve"> </w:t>
      </w:r>
      <w:r w:rsidRPr="003E62E9">
        <w:rPr>
          <w:rFonts w:ascii="Times New Roman" w:eastAsia="Times New Roman" w:hAnsi="Times New Roman" w:cs="Times New Roman"/>
          <w:sz w:val="24"/>
          <w:szCs w:val="24"/>
        </w:rPr>
        <w:t>intérpretes da Constituição: contribuição para a interpretação pluralista e</w:t>
      </w:r>
      <w:r>
        <w:rPr>
          <w:rFonts w:ascii="Times New Roman" w:eastAsia="Times New Roman" w:hAnsi="Times New Roman" w:cs="Times New Roman"/>
          <w:sz w:val="24"/>
          <w:szCs w:val="24"/>
        </w:rPr>
        <w:t xml:space="preserve"> </w:t>
      </w:r>
      <w:r w:rsidRPr="003E62E9">
        <w:rPr>
          <w:rFonts w:ascii="Times New Roman" w:eastAsia="Times New Roman" w:hAnsi="Times New Roman" w:cs="Times New Roman"/>
          <w:sz w:val="24"/>
          <w:szCs w:val="24"/>
        </w:rPr>
        <w:t>“procedimental” da Constituição. Tradução Gilmar Ferreira Mendes. Porto Alegre:</w:t>
      </w:r>
      <w:r>
        <w:rPr>
          <w:rFonts w:ascii="Times New Roman" w:eastAsia="Times New Roman" w:hAnsi="Times New Roman" w:cs="Times New Roman"/>
          <w:sz w:val="24"/>
          <w:szCs w:val="24"/>
        </w:rPr>
        <w:t xml:space="preserve"> </w:t>
      </w:r>
      <w:r w:rsidRPr="003E62E9">
        <w:rPr>
          <w:rFonts w:ascii="Times New Roman" w:eastAsia="Times New Roman" w:hAnsi="Times New Roman" w:cs="Times New Roman"/>
          <w:sz w:val="24"/>
          <w:szCs w:val="24"/>
        </w:rPr>
        <w:t xml:space="preserve">Sergio </w:t>
      </w:r>
      <w:proofErr w:type="spellStart"/>
      <w:r w:rsidRPr="003E62E9">
        <w:rPr>
          <w:rFonts w:ascii="Times New Roman" w:eastAsia="Times New Roman" w:hAnsi="Times New Roman" w:cs="Times New Roman"/>
          <w:sz w:val="24"/>
          <w:szCs w:val="24"/>
        </w:rPr>
        <w:t>Antonio</w:t>
      </w:r>
      <w:proofErr w:type="spellEnd"/>
      <w:r w:rsidRPr="003E62E9">
        <w:rPr>
          <w:rFonts w:ascii="Times New Roman" w:eastAsia="Times New Roman" w:hAnsi="Times New Roman" w:cs="Times New Roman"/>
          <w:sz w:val="24"/>
          <w:szCs w:val="24"/>
        </w:rPr>
        <w:t xml:space="preserve"> Fabris Editor, 1997/2002.</w:t>
      </w:r>
    </w:p>
    <w:sectPr w:rsidR="003E62E9" w:rsidSect="006403DE">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30" w:rsidRDefault="005A1C30" w:rsidP="000265F3">
      <w:pPr>
        <w:spacing w:after="0" w:line="240" w:lineRule="auto"/>
      </w:pPr>
      <w:r>
        <w:separator/>
      </w:r>
    </w:p>
  </w:endnote>
  <w:endnote w:type="continuationSeparator" w:id="0">
    <w:p w:rsidR="005A1C30" w:rsidRDefault="005A1C30" w:rsidP="0002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DC" w:rsidRDefault="00FB20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019403"/>
      <w:docPartObj>
        <w:docPartGallery w:val="Page Numbers (Bottom of Page)"/>
        <w:docPartUnique/>
      </w:docPartObj>
    </w:sdtPr>
    <w:sdtContent>
      <w:p w:rsidR="008D4C9E" w:rsidRDefault="008D4C9E">
        <w:pPr>
          <w:pStyle w:val="Rodap"/>
          <w:jc w:val="right"/>
        </w:pPr>
        <w:r>
          <w:fldChar w:fldCharType="begin"/>
        </w:r>
        <w:r>
          <w:instrText>PAGE   \* MERGEFORMAT</w:instrText>
        </w:r>
        <w:r>
          <w:fldChar w:fldCharType="separate"/>
        </w:r>
        <w:r w:rsidR="00FB20DC">
          <w:rPr>
            <w:noProof/>
          </w:rPr>
          <w:t>11</w:t>
        </w:r>
        <w:r>
          <w:fldChar w:fldCharType="end"/>
        </w:r>
      </w:p>
    </w:sdtContent>
  </w:sdt>
  <w:p w:rsidR="008D4C9E" w:rsidRPr="00B54E57" w:rsidRDefault="008D4C9E">
    <w:pPr>
      <w:pStyle w:val="Rodap"/>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9E" w:rsidRPr="00B54E57" w:rsidRDefault="008D4C9E" w:rsidP="00F029C4">
    <w:pPr>
      <w:pStyle w:val="Default"/>
      <w:rPr>
        <w:rFonts w:ascii="Times New Roman" w:hAnsi="Times New Roman" w:cs="Times New Roman"/>
        <w:sz w:val="20"/>
        <w:szCs w:val="20"/>
      </w:rPr>
    </w:pPr>
    <w:r w:rsidRPr="00B54E57">
      <w:rPr>
        <w:rFonts w:ascii="Times New Roman" w:hAnsi="Times New Roman" w:cs="Times New Roman"/>
        <w:sz w:val="20"/>
        <w:szCs w:val="20"/>
      </w:rPr>
      <w:t xml:space="preserve">¹ </w:t>
    </w:r>
    <w:proofErr w:type="spellStart"/>
    <w:r>
      <w:rPr>
        <w:rFonts w:ascii="Times New Roman" w:hAnsi="Times New Roman" w:cs="Times New Roman"/>
        <w:sz w:val="20"/>
        <w:szCs w:val="20"/>
      </w:rPr>
      <w:t>P</w:t>
    </w:r>
    <w:r w:rsidRPr="00B54E57">
      <w:rPr>
        <w:rFonts w:ascii="Times New Roman" w:hAnsi="Times New Roman" w:cs="Times New Roman"/>
        <w:sz w:val="20"/>
        <w:szCs w:val="20"/>
      </w:rPr>
      <w:t>a</w:t>
    </w:r>
    <w:r>
      <w:rPr>
        <w:rFonts w:ascii="Times New Roman" w:hAnsi="Times New Roman" w:cs="Times New Roman"/>
        <w:sz w:val="20"/>
        <w:szCs w:val="20"/>
      </w:rPr>
      <w:t>per</w:t>
    </w:r>
    <w:proofErr w:type="spellEnd"/>
    <w:r w:rsidRPr="00B54E57">
      <w:rPr>
        <w:rFonts w:ascii="Times New Roman" w:hAnsi="Times New Roman" w:cs="Times New Roman"/>
        <w:sz w:val="20"/>
        <w:szCs w:val="20"/>
      </w:rPr>
      <w:t xml:space="preserve"> apresentado </w:t>
    </w:r>
    <w:r>
      <w:rPr>
        <w:rFonts w:ascii="Times New Roman" w:hAnsi="Times New Roman" w:cs="Times New Roman"/>
        <w:sz w:val="20"/>
        <w:szCs w:val="20"/>
      </w:rPr>
      <w:t>à disciplina Teoria do Direito Constitucional</w:t>
    </w:r>
    <w:r w:rsidRPr="00B54E57">
      <w:rPr>
        <w:rFonts w:ascii="Times New Roman" w:hAnsi="Times New Roman" w:cs="Times New Roman"/>
        <w:sz w:val="20"/>
        <w:szCs w:val="20"/>
      </w:rPr>
      <w:t xml:space="preserve">, da Unidade de Ensino Superior Dom Bosco - UNDB. </w:t>
    </w:r>
  </w:p>
  <w:p w:rsidR="008D4C9E" w:rsidRPr="00B54E57" w:rsidRDefault="008D4C9E" w:rsidP="00F029C4">
    <w:pPr>
      <w:pStyle w:val="Default"/>
      <w:rPr>
        <w:rFonts w:ascii="Times New Roman" w:hAnsi="Times New Roman" w:cs="Times New Roman"/>
        <w:sz w:val="20"/>
        <w:szCs w:val="20"/>
      </w:rPr>
    </w:pPr>
    <w:r w:rsidRPr="00B54E57">
      <w:rPr>
        <w:rFonts w:ascii="Times New Roman" w:hAnsi="Times New Roman" w:cs="Times New Roman"/>
        <w:sz w:val="20"/>
        <w:szCs w:val="20"/>
      </w:rPr>
      <w:t>² Alun</w:t>
    </w:r>
    <w:r>
      <w:rPr>
        <w:rFonts w:ascii="Times New Roman" w:hAnsi="Times New Roman" w:cs="Times New Roman"/>
        <w:sz w:val="20"/>
        <w:szCs w:val="20"/>
      </w:rPr>
      <w:t>o</w:t>
    </w:r>
    <w:r w:rsidRPr="00B54E57">
      <w:rPr>
        <w:rFonts w:ascii="Times New Roman" w:hAnsi="Times New Roman" w:cs="Times New Roman"/>
        <w:sz w:val="20"/>
        <w:szCs w:val="20"/>
      </w:rPr>
      <w:t xml:space="preserve"> do </w:t>
    </w:r>
    <w:r>
      <w:rPr>
        <w:rFonts w:ascii="Times New Roman" w:hAnsi="Times New Roman" w:cs="Times New Roman"/>
        <w:sz w:val="20"/>
        <w:szCs w:val="20"/>
      </w:rPr>
      <w:t>2</w:t>
    </w:r>
    <w:r w:rsidRPr="00B54E57">
      <w:rPr>
        <w:rFonts w:ascii="Times New Roman" w:hAnsi="Times New Roman" w:cs="Times New Roman"/>
        <w:sz w:val="20"/>
        <w:szCs w:val="20"/>
      </w:rPr>
      <w:t xml:space="preserve">º Período, do Curso de Direito, da UNDB. </w:t>
    </w:r>
  </w:p>
  <w:p w:rsidR="008D4C9E" w:rsidRPr="00F029C4" w:rsidRDefault="008D4C9E">
    <w:pPr>
      <w:pStyle w:val="Rodap"/>
      <w:rPr>
        <w:rFonts w:ascii="Times New Roman" w:hAnsi="Times New Roman" w:cs="Times New Roman"/>
        <w:sz w:val="20"/>
        <w:szCs w:val="20"/>
      </w:rPr>
    </w:pPr>
    <w:r>
      <w:rPr>
        <w:rFonts w:ascii="Times New Roman" w:hAnsi="Times New Roman" w:cs="Times New Roman"/>
        <w:sz w:val="20"/>
        <w:szCs w:val="20"/>
      </w:rPr>
      <w:t xml:space="preserve">³ </w:t>
    </w:r>
    <w:bookmarkStart w:id="0" w:name="_GoBack"/>
    <w:r>
      <w:rPr>
        <w:rFonts w:ascii="Times New Roman" w:hAnsi="Times New Roman" w:cs="Times New Roman"/>
        <w:sz w:val="20"/>
        <w:szCs w:val="20"/>
      </w:rPr>
      <w:t xml:space="preserve">Professora </w:t>
    </w:r>
    <w:proofErr w:type="spellStart"/>
    <w:proofErr w:type="gramStart"/>
    <w:r>
      <w:rPr>
        <w:rFonts w:ascii="Times New Roman" w:hAnsi="Times New Roman" w:cs="Times New Roman"/>
        <w:sz w:val="20"/>
        <w:szCs w:val="20"/>
      </w:rPr>
      <w:t>Ma</w:t>
    </w:r>
    <w:proofErr w:type="spellEnd"/>
    <w:r>
      <w:rPr>
        <w:rFonts w:ascii="Times New Roman" w:hAnsi="Times New Roman" w:cs="Times New Roman"/>
        <w:sz w:val="20"/>
        <w:szCs w:val="20"/>
      </w:rPr>
      <w:t>.</w:t>
    </w:r>
    <w:r w:rsidRPr="00B54E57">
      <w:rPr>
        <w:rFonts w:ascii="Times New Roman" w:hAnsi="Times New Roman" w:cs="Times New Roman"/>
        <w:sz w:val="20"/>
        <w:szCs w:val="20"/>
      </w:rPr>
      <w:t>,</w:t>
    </w:r>
    <w:proofErr w:type="gramEnd"/>
    <w:r w:rsidRPr="00B54E57">
      <w:rPr>
        <w:rFonts w:ascii="Times New Roman" w:hAnsi="Times New Roman" w:cs="Times New Roman"/>
        <w:sz w:val="20"/>
        <w:szCs w:val="20"/>
      </w:rPr>
      <w:t xml:space="preserve"> orientador</w:t>
    </w:r>
    <w:r>
      <w:rPr>
        <w:rFonts w:ascii="Times New Roman" w:hAnsi="Times New Roman" w:cs="Times New Roman"/>
        <w:sz w:val="20"/>
        <w:szCs w:val="20"/>
      </w:rPr>
      <w:t>a</w:t>
    </w:r>
    <w:r w:rsidRPr="00B54E57">
      <w:rPr>
        <w:rFonts w:ascii="Times New Roman" w:hAnsi="Times New Roman" w:cs="Times New Roman"/>
        <w:sz w:val="20"/>
        <w:szCs w:val="20"/>
      </w:rPr>
      <w:t>.</w:t>
    </w:r>
    <w:bookmarkEnd w:id="0"/>
    <w:r w:rsidRPr="00B54E57">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30" w:rsidRDefault="005A1C30" w:rsidP="000265F3">
      <w:pPr>
        <w:spacing w:after="0" w:line="240" w:lineRule="auto"/>
      </w:pPr>
      <w:r>
        <w:separator/>
      </w:r>
    </w:p>
  </w:footnote>
  <w:footnote w:type="continuationSeparator" w:id="0">
    <w:p w:rsidR="005A1C30" w:rsidRDefault="005A1C30" w:rsidP="00026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DC" w:rsidRDefault="00FB20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DC" w:rsidRDefault="00FB2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9E" w:rsidRDefault="008D4C9E">
    <w:pPr>
      <w:pStyle w:val="Cabealh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95pt;height:32.1pt" o:ole="" fillcolor="window">
          <v:imagedata r:id="rId1" o:title=""/>
        </v:shape>
        <o:OLEObject Type="Embed" ProgID="CorelDraw.Graphic.10" ShapeID="_x0000_i1025" DrawAspect="Content" ObjectID="_146024135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159"/>
    <w:multiLevelType w:val="hybridMultilevel"/>
    <w:tmpl w:val="F9248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614BA"/>
    <w:multiLevelType w:val="hybridMultilevel"/>
    <w:tmpl w:val="93D6F664"/>
    <w:lvl w:ilvl="0" w:tplc="E74CD86E">
      <w:start w:val="2"/>
      <w:numFmt w:val="decimal"/>
      <w:lvlText w:val="%1"/>
      <w:lvlJc w:val="left"/>
      <w:pPr>
        <w:ind w:left="363" w:hanging="360"/>
      </w:pPr>
      <w:rPr>
        <w:rFonts w:hint="default"/>
      </w:rPr>
    </w:lvl>
    <w:lvl w:ilvl="1" w:tplc="04160019" w:tentative="1">
      <w:start w:val="1"/>
      <w:numFmt w:val="lowerLetter"/>
      <w:lvlText w:val="%2."/>
      <w:lvlJc w:val="left"/>
      <w:pPr>
        <w:ind w:left="1083" w:hanging="360"/>
      </w:pPr>
    </w:lvl>
    <w:lvl w:ilvl="2" w:tplc="0416001B" w:tentative="1">
      <w:start w:val="1"/>
      <w:numFmt w:val="lowerRoman"/>
      <w:lvlText w:val="%3."/>
      <w:lvlJc w:val="right"/>
      <w:pPr>
        <w:ind w:left="1803" w:hanging="180"/>
      </w:pPr>
    </w:lvl>
    <w:lvl w:ilvl="3" w:tplc="0416000F" w:tentative="1">
      <w:start w:val="1"/>
      <w:numFmt w:val="decimal"/>
      <w:lvlText w:val="%4."/>
      <w:lvlJc w:val="left"/>
      <w:pPr>
        <w:ind w:left="2523" w:hanging="360"/>
      </w:pPr>
    </w:lvl>
    <w:lvl w:ilvl="4" w:tplc="04160019" w:tentative="1">
      <w:start w:val="1"/>
      <w:numFmt w:val="lowerLetter"/>
      <w:lvlText w:val="%5."/>
      <w:lvlJc w:val="left"/>
      <w:pPr>
        <w:ind w:left="3243" w:hanging="360"/>
      </w:pPr>
    </w:lvl>
    <w:lvl w:ilvl="5" w:tplc="0416001B" w:tentative="1">
      <w:start w:val="1"/>
      <w:numFmt w:val="lowerRoman"/>
      <w:lvlText w:val="%6."/>
      <w:lvlJc w:val="right"/>
      <w:pPr>
        <w:ind w:left="3963" w:hanging="180"/>
      </w:pPr>
    </w:lvl>
    <w:lvl w:ilvl="6" w:tplc="0416000F" w:tentative="1">
      <w:start w:val="1"/>
      <w:numFmt w:val="decimal"/>
      <w:lvlText w:val="%7."/>
      <w:lvlJc w:val="left"/>
      <w:pPr>
        <w:ind w:left="4683" w:hanging="360"/>
      </w:pPr>
    </w:lvl>
    <w:lvl w:ilvl="7" w:tplc="04160019" w:tentative="1">
      <w:start w:val="1"/>
      <w:numFmt w:val="lowerLetter"/>
      <w:lvlText w:val="%8."/>
      <w:lvlJc w:val="left"/>
      <w:pPr>
        <w:ind w:left="5403" w:hanging="360"/>
      </w:pPr>
    </w:lvl>
    <w:lvl w:ilvl="8" w:tplc="0416001B" w:tentative="1">
      <w:start w:val="1"/>
      <w:numFmt w:val="lowerRoman"/>
      <w:lvlText w:val="%9."/>
      <w:lvlJc w:val="right"/>
      <w:pPr>
        <w:ind w:left="6123" w:hanging="180"/>
      </w:pPr>
    </w:lvl>
  </w:abstractNum>
  <w:abstractNum w:abstractNumId="2">
    <w:nsid w:val="05246B46"/>
    <w:multiLevelType w:val="hybridMultilevel"/>
    <w:tmpl w:val="D3A60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774FF3"/>
    <w:multiLevelType w:val="multilevel"/>
    <w:tmpl w:val="BFDA83D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6196793"/>
    <w:multiLevelType w:val="multilevel"/>
    <w:tmpl w:val="8C18EAA6"/>
    <w:lvl w:ilvl="0">
      <w:start w:val="1"/>
      <w:numFmt w:val="bullet"/>
      <w:lvlText w:val=""/>
      <w:lvlJc w:val="left"/>
      <w:pPr>
        <w:ind w:left="360" w:hanging="360"/>
      </w:pPr>
      <w:rPr>
        <w:rFonts w:ascii="Wingdings" w:hAnsi="Wingdings" w:hint="default"/>
        <w:b w:val="0"/>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nsid w:val="174A2B67"/>
    <w:multiLevelType w:val="hybridMultilevel"/>
    <w:tmpl w:val="DB90DBC2"/>
    <w:lvl w:ilvl="0" w:tplc="590CB64A">
      <w:start w:val="3"/>
      <w:numFmt w:val="decimal"/>
      <w:lvlText w:val="%1"/>
      <w:lvlJc w:val="left"/>
      <w:pPr>
        <w:ind w:left="363" w:hanging="360"/>
      </w:pPr>
      <w:rPr>
        <w:rFonts w:hint="default"/>
      </w:rPr>
    </w:lvl>
    <w:lvl w:ilvl="1" w:tplc="04160019" w:tentative="1">
      <w:start w:val="1"/>
      <w:numFmt w:val="lowerLetter"/>
      <w:lvlText w:val="%2."/>
      <w:lvlJc w:val="left"/>
      <w:pPr>
        <w:ind w:left="1083" w:hanging="360"/>
      </w:pPr>
    </w:lvl>
    <w:lvl w:ilvl="2" w:tplc="0416001B" w:tentative="1">
      <w:start w:val="1"/>
      <w:numFmt w:val="lowerRoman"/>
      <w:lvlText w:val="%3."/>
      <w:lvlJc w:val="right"/>
      <w:pPr>
        <w:ind w:left="1803" w:hanging="180"/>
      </w:pPr>
    </w:lvl>
    <w:lvl w:ilvl="3" w:tplc="0416000F" w:tentative="1">
      <w:start w:val="1"/>
      <w:numFmt w:val="decimal"/>
      <w:lvlText w:val="%4."/>
      <w:lvlJc w:val="left"/>
      <w:pPr>
        <w:ind w:left="2523" w:hanging="360"/>
      </w:pPr>
    </w:lvl>
    <w:lvl w:ilvl="4" w:tplc="04160019" w:tentative="1">
      <w:start w:val="1"/>
      <w:numFmt w:val="lowerLetter"/>
      <w:lvlText w:val="%5."/>
      <w:lvlJc w:val="left"/>
      <w:pPr>
        <w:ind w:left="3243" w:hanging="360"/>
      </w:pPr>
    </w:lvl>
    <w:lvl w:ilvl="5" w:tplc="0416001B" w:tentative="1">
      <w:start w:val="1"/>
      <w:numFmt w:val="lowerRoman"/>
      <w:lvlText w:val="%6."/>
      <w:lvlJc w:val="right"/>
      <w:pPr>
        <w:ind w:left="3963" w:hanging="180"/>
      </w:pPr>
    </w:lvl>
    <w:lvl w:ilvl="6" w:tplc="0416000F" w:tentative="1">
      <w:start w:val="1"/>
      <w:numFmt w:val="decimal"/>
      <w:lvlText w:val="%7."/>
      <w:lvlJc w:val="left"/>
      <w:pPr>
        <w:ind w:left="4683" w:hanging="360"/>
      </w:pPr>
    </w:lvl>
    <w:lvl w:ilvl="7" w:tplc="04160019" w:tentative="1">
      <w:start w:val="1"/>
      <w:numFmt w:val="lowerLetter"/>
      <w:lvlText w:val="%8."/>
      <w:lvlJc w:val="left"/>
      <w:pPr>
        <w:ind w:left="5403" w:hanging="360"/>
      </w:pPr>
    </w:lvl>
    <w:lvl w:ilvl="8" w:tplc="0416001B" w:tentative="1">
      <w:start w:val="1"/>
      <w:numFmt w:val="lowerRoman"/>
      <w:lvlText w:val="%9."/>
      <w:lvlJc w:val="right"/>
      <w:pPr>
        <w:ind w:left="6123" w:hanging="180"/>
      </w:pPr>
    </w:lvl>
  </w:abstractNum>
  <w:abstractNum w:abstractNumId="6">
    <w:nsid w:val="188F53FA"/>
    <w:multiLevelType w:val="hybridMultilevel"/>
    <w:tmpl w:val="16CACBD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393719"/>
    <w:multiLevelType w:val="hybridMultilevel"/>
    <w:tmpl w:val="DA8A7F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3F2902"/>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E196EF1"/>
    <w:multiLevelType w:val="hybridMultilevel"/>
    <w:tmpl w:val="C76E6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A241A0"/>
    <w:multiLevelType w:val="hybridMultilevel"/>
    <w:tmpl w:val="C5ACE74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4050D9E"/>
    <w:multiLevelType w:val="hybridMultilevel"/>
    <w:tmpl w:val="4B5A4D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69141CB"/>
    <w:multiLevelType w:val="hybridMultilevel"/>
    <w:tmpl w:val="4F5AAF7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2B842467"/>
    <w:multiLevelType w:val="hybridMultilevel"/>
    <w:tmpl w:val="6F207A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9638A"/>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D0F5D89"/>
    <w:multiLevelType w:val="hybridMultilevel"/>
    <w:tmpl w:val="190AEDB6"/>
    <w:lvl w:ilvl="0" w:tplc="0416000F">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6">
    <w:nsid w:val="368E327B"/>
    <w:multiLevelType w:val="hybridMultilevel"/>
    <w:tmpl w:val="B714E9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39442AD9"/>
    <w:multiLevelType w:val="hybridMultilevel"/>
    <w:tmpl w:val="2A26623A"/>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8">
    <w:nsid w:val="3C7B721D"/>
    <w:multiLevelType w:val="hybridMultilevel"/>
    <w:tmpl w:val="2BA25D50"/>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3EE75983"/>
    <w:multiLevelType w:val="multilevel"/>
    <w:tmpl w:val="4588E2B8"/>
    <w:lvl w:ilvl="0">
      <w:start w:val="3"/>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nsid w:val="454E03C4"/>
    <w:multiLevelType w:val="hybridMultilevel"/>
    <w:tmpl w:val="3C3AF83E"/>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1">
    <w:nsid w:val="47CB7E24"/>
    <w:multiLevelType w:val="hybridMultilevel"/>
    <w:tmpl w:val="D840CD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489B3502"/>
    <w:multiLevelType w:val="hybridMultilevel"/>
    <w:tmpl w:val="87A090EE"/>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3">
    <w:nsid w:val="4D017081"/>
    <w:multiLevelType w:val="multilevel"/>
    <w:tmpl w:val="BBE005BA"/>
    <w:lvl w:ilvl="0">
      <w:start w:val="1"/>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4">
    <w:nsid w:val="4DAC73DF"/>
    <w:multiLevelType w:val="multilevel"/>
    <w:tmpl w:val="8C18EAA6"/>
    <w:lvl w:ilvl="0">
      <w:start w:val="1"/>
      <w:numFmt w:val="bullet"/>
      <w:lvlText w:val=""/>
      <w:lvlJc w:val="left"/>
      <w:pPr>
        <w:ind w:left="360" w:hanging="360"/>
      </w:pPr>
      <w:rPr>
        <w:rFonts w:ascii="Wingdings" w:hAnsi="Wingdings" w:hint="default"/>
        <w:b w:val="0"/>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5">
    <w:nsid w:val="50286608"/>
    <w:multiLevelType w:val="hybridMultilevel"/>
    <w:tmpl w:val="43405082"/>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nsid w:val="51C244A2"/>
    <w:multiLevelType w:val="hybridMultilevel"/>
    <w:tmpl w:val="B1FCA56A"/>
    <w:lvl w:ilvl="0" w:tplc="16668CC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C4133E"/>
    <w:multiLevelType w:val="hybridMultilevel"/>
    <w:tmpl w:val="DC0EBB0E"/>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8">
    <w:nsid w:val="55CA5C1F"/>
    <w:multiLevelType w:val="hybridMultilevel"/>
    <w:tmpl w:val="7E448C96"/>
    <w:lvl w:ilvl="0" w:tplc="AF500D24">
      <w:start w:val="4"/>
      <w:numFmt w:val="decimal"/>
      <w:lvlText w:val="%1"/>
      <w:lvlJc w:val="left"/>
      <w:pPr>
        <w:ind w:left="363" w:hanging="360"/>
      </w:pPr>
      <w:rPr>
        <w:rFonts w:hint="default"/>
      </w:rPr>
    </w:lvl>
    <w:lvl w:ilvl="1" w:tplc="04160019" w:tentative="1">
      <w:start w:val="1"/>
      <w:numFmt w:val="lowerLetter"/>
      <w:lvlText w:val="%2."/>
      <w:lvlJc w:val="left"/>
      <w:pPr>
        <w:ind w:left="1083" w:hanging="360"/>
      </w:pPr>
    </w:lvl>
    <w:lvl w:ilvl="2" w:tplc="0416001B" w:tentative="1">
      <w:start w:val="1"/>
      <w:numFmt w:val="lowerRoman"/>
      <w:lvlText w:val="%3."/>
      <w:lvlJc w:val="right"/>
      <w:pPr>
        <w:ind w:left="1803" w:hanging="180"/>
      </w:pPr>
    </w:lvl>
    <w:lvl w:ilvl="3" w:tplc="0416000F" w:tentative="1">
      <w:start w:val="1"/>
      <w:numFmt w:val="decimal"/>
      <w:lvlText w:val="%4."/>
      <w:lvlJc w:val="left"/>
      <w:pPr>
        <w:ind w:left="2523" w:hanging="360"/>
      </w:pPr>
    </w:lvl>
    <w:lvl w:ilvl="4" w:tplc="04160019" w:tentative="1">
      <w:start w:val="1"/>
      <w:numFmt w:val="lowerLetter"/>
      <w:lvlText w:val="%5."/>
      <w:lvlJc w:val="left"/>
      <w:pPr>
        <w:ind w:left="3243" w:hanging="360"/>
      </w:pPr>
    </w:lvl>
    <w:lvl w:ilvl="5" w:tplc="0416001B" w:tentative="1">
      <w:start w:val="1"/>
      <w:numFmt w:val="lowerRoman"/>
      <w:lvlText w:val="%6."/>
      <w:lvlJc w:val="right"/>
      <w:pPr>
        <w:ind w:left="3963" w:hanging="180"/>
      </w:pPr>
    </w:lvl>
    <w:lvl w:ilvl="6" w:tplc="0416000F" w:tentative="1">
      <w:start w:val="1"/>
      <w:numFmt w:val="decimal"/>
      <w:lvlText w:val="%7."/>
      <w:lvlJc w:val="left"/>
      <w:pPr>
        <w:ind w:left="4683" w:hanging="360"/>
      </w:pPr>
    </w:lvl>
    <w:lvl w:ilvl="7" w:tplc="04160019" w:tentative="1">
      <w:start w:val="1"/>
      <w:numFmt w:val="lowerLetter"/>
      <w:lvlText w:val="%8."/>
      <w:lvlJc w:val="left"/>
      <w:pPr>
        <w:ind w:left="5403" w:hanging="360"/>
      </w:pPr>
    </w:lvl>
    <w:lvl w:ilvl="8" w:tplc="0416001B" w:tentative="1">
      <w:start w:val="1"/>
      <w:numFmt w:val="lowerRoman"/>
      <w:lvlText w:val="%9."/>
      <w:lvlJc w:val="right"/>
      <w:pPr>
        <w:ind w:left="6123" w:hanging="180"/>
      </w:pPr>
    </w:lvl>
  </w:abstractNum>
  <w:abstractNum w:abstractNumId="29">
    <w:nsid w:val="5BA7621D"/>
    <w:multiLevelType w:val="multilevel"/>
    <w:tmpl w:val="90FC97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nsid w:val="62175FB3"/>
    <w:multiLevelType w:val="hybridMultilevel"/>
    <w:tmpl w:val="C94ADA48"/>
    <w:lvl w:ilvl="0" w:tplc="D06A054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372429"/>
    <w:multiLevelType w:val="hybridMultilevel"/>
    <w:tmpl w:val="E4CA94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4CA5843"/>
    <w:multiLevelType w:val="hybridMultilevel"/>
    <w:tmpl w:val="A7169E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6F51CFE"/>
    <w:multiLevelType w:val="hybridMultilevel"/>
    <w:tmpl w:val="E9C6E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99D7C5F"/>
    <w:multiLevelType w:val="hybridMultilevel"/>
    <w:tmpl w:val="F3662912"/>
    <w:lvl w:ilvl="0" w:tplc="04160009">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6B043532"/>
    <w:multiLevelType w:val="hybridMultilevel"/>
    <w:tmpl w:val="1AACA80C"/>
    <w:lvl w:ilvl="0" w:tplc="E8F0E184">
      <w:start w:val="5"/>
      <w:numFmt w:val="decimal"/>
      <w:lvlText w:val="%1"/>
      <w:lvlJc w:val="left"/>
      <w:pPr>
        <w:ind w:left="363" w:hanging="360"/>
      </w:pPr>
      <w:rPr>
        <w:rFonts w:hint="default"/>
      </w:rPr>
    </w:lvl>
    <w:lvl w:ilvl="1" w:tplc="04160019" w:tentative="1">
      <w:start w:val="1"/>
      <w:numFmt w:val="lowerLetter"/>
      <w:lvlText w:val="%2."/>
      <w:lvlJc w:val="left"/>
      <w:pPr>
        <w:ind w:left="1083" w:hanging="360"/>
      </w:pPr>
    </w:lvl>
    <w:lvl w:ilvl="2" w:tplc="0416001B" w:tentative="1">
      <w:start w:val="1"/>
      <w:numFmt w:val="lowerRoman"/>
      <w:lvlText w:val="%3."/>
      <w:lvlJc w:val="right"/>
      <w:pPr>
        <w:ind w:left="1803" w:hanging="180"/>
      </w:pPr>
    </w:lvl>
    <w:lvl w:ilvl="3" w:tplc="0416000F" w:tentative="1">
      <w:start w:val="1"/>
      <w:numFmt w:val="decimal"/>
      <w:lvlText w:val="%4."/>
      <w:lvlJc w:val="left"/>
      <w:pPr>
        <w:ind w:left="2523" w:hanging="360"/>
      </w:pPr>
    </w:lvl>
    <w:lvl w:ilvl="4" w:tplc="04160019" w:tentative="1">
      <w:start w:val="1"/>
      <w:numFmt w:val="lowerLetter"/>
      <w:lvlText w:val="%5."/>
      <w:lvlJc w:val="left"/>
      <w:pPr>
        <w:ind w:left="3243" w:hanging="360"/>
      </w:pPr>
    </w:lvl>
    <w:lvl w:ilvl="5" w:tplc="0416001B" w:tentative="1">
      <w:start w:val="1"/>
      <w:numFmt w:val="lowerRoman"/>
      <w:lvlText w:val="%6."/>
      <w:lvlJc w:val="right"/>
      <w:pPr>
        <w:ind w:left="3963" w:hanging="180"/>
      </w:pPr>
    </w:lvl>
    <w:lvl w:ilvl="6" w:tplc="0416000F" w:tentative="1">
      <w:start w:val="1"/>
      <w:numFmt w:val="decimal"/>
      <w:lvlText w:val="%7."/>
      <w:lvlJc w:val="left"/>
      <w:pPr>
        <w:ind w:left="4683" w:hanging="360"/>
      </w:pPr>
    </w:lvl>
    <w:lvl w:ilvl="7" w:tplc="04160019" w:tentative="1">
      <w:start w:val="1"/>
      <w:numFmt w:val="lowerLetter"/>
      <w:lvlText w:val="%8."/>
      <w:lvlJc w:val="left"/>
      <w:pPr>
        <w:ind w:left="5403" w:hanging="360"/>
      </w:pPr>
    </w:lvl>
    <w:lvl w:ilvl="8" w:tplc="0416001B" w:tentative="1">
      <w:start w:val="1"/>
      <w:numFmt w:val="lowerRoman"/>
      <w:lvlText w:val="%9."/>
      <w:lvlJc w:val="right"/>
      <w:pPr>
        <w:ind w:left="6123" w:hanging="180"/>
      </w:pPr>
    </w:lvl>
  </w:abstractNum>
  <w:abstractNum w:abstractNumId="36">
    <w:nsid w:val="6C647B78"/>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53D7364"/>
    <w:multiLevelType w:val="multilevel"/>
    <w:tmpl w:val="F9248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AA5274"/>
    <w:multiLevelType w:val="multilevel"/>
    <w:tmpl w:val="44304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A65A87"/>
    <w:multiLevelType w:val="multilevel"/>
    <w:tmpl w:val="906295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3"/>
  </w:num>
  <w:num w:numId="3">
    <w:abstractNumId w:val="36"/>
  </w:num>
  <w:num w:numId="4">
    <w:abstractNumId w:val="8"/>
  </w:num>
  <w:num w:numId="5">
    <w:abstractNumId w:val="38"/>
  </w:num>
  <w:num w:numId="6">
    <w:abstractNumId w:val="14"/>
  </w:num>
  <w:num w:numId="7">
    <w:abstractNumId w:val="0"/>
  </w:num>
  <w:num w:numId="8">
    <w:abstractNumId w:val="37"/>
  </w:num>
  <w:num w:numId="9">
    <w:abstractNumId w:val="29"/>
  </w:num>
  <w:num w:numId="10">
    <w:abstractNumId w:val="19"/>
  </w:num>
  <w:num w:numId="11">
    <w:abstractNumId w:val="17"/>
  </w:num>
  <w:num w:numId="12">
    <w:abstractNumId w:val="27"/>
  </w:num>
  <w:num w:numId="13">
    <w:abstractNumId w:val="35"/>
  </w:num>
  <w:num w:numId="14">
    <w:abstractNumId w:val="39"/>
  </w:num>
  <w:num w:numId="15">
    <w:abstractNumId w:val="28"/>
  </w:num>
  <w:num w:numId="16">
    <w:abstractNumId w:val="5"/>
  </w:num>
  <w:num w:numId="17">
    <w:abstractNumId w:val="30"/>
  </w:num>
  <w:num w:numId="18">
    <w:abstractNumId w:val="26"/>
  </w:num>
  <w:num w:numId="19">
    <w:abstractNumId w:val="1"/>
  </w:num>
  <w:num w:numId="20">
    <w:abstractNumId w:val="31"/>
  </w:num>
  <w:num w:numId="21">
    <w:abstractNumId w:val="18"/>
  </w:num>
  <w:num w:numId="22">
    <w:abstractNumId w:val="6"/>
  </w:num>
  <w:num w:numId="23">
    <w:abstractNumId w:val="20"/>
  </w:num>
  <w:num w:numId="24">
    <w:abstractNumId w:val="22"/>
  </w:num>
  <w:num w:numId="25">
    <w:abstractNumId w:val="21"/>
  </w:num>
  <w:num w:numId="26">
    <w:abstractNumId w:val="16"/>
  </w:num>
  <w:num w:numId="27">
    <w:abstractNumId w:val="10"/>
  </w:num>
  <w:num w:numId="28">
    <w:abstractNumId w:val="9"/>
  </w:num>
  <w:num w:numId="29">
    <w:abstractNumId w:val="13"/>
  </w:num>
  <w:num w:numId="30">
    <w:abstractNumId w:val="11"/>
  </w:num>
  <w:num w:numId="31">
    <w:abstractNumId w:val="23"/>
  </w:num>
  <w:num w:numId="32">
    <w:abstractNumId w:val="4"/>
  </w:num>
  <w:num w:numId="33">
    <w:abstractNumId w:val="24"/>
  </w:num>
  <w:num w:numId="34">
    <w:abstractNumId w:val="3"/>
  </w:num>
  <w:num w:numId="35">
    <w:abstractNumId w:val="2"/>
  </w:num>
  <w:num w:numId="36">
    <w:abstractNumId w:val="12"/>
  </w:num>
  <w:num w:numId="37">
    <w:abstractNumId w:val="32"/>
  </w:num>
  <w:num w:numId="38">
    <w:abstractNumId w:val="25"/>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5"/>
    <w:rsid w:val="00002777"/>
    <w:rsid w:val="00006921"/>
    <w:rsid w:val="00007D2B"/>
    <w:rsid w:val="00010377"/>
    <w:rsid w:val="00012C0D"/>
    <w:rsid w:val="0001785D"/>
    <w:rsid w:val="00020759"/>
    <w:rsid w:val="0002223E"/>
    <w:rsid w:val="00023D33"/>
    <w:rsid w:val="000248E3"/>
    <w:rsid w:val="000265F3"/>
    <w:rsid w:val="000309F6"/>
    <w:rsid w:val="00034553"/>
    <w:rsid w:val="000406F6"/>
    <w:rsid w:val="00040AD2"/>
    <w:rsid w:val="00053330"/>
    <w:rsid w:val="00054B63"/>
    <w:rsid w:val="00056001"/>
    <w:rsid w:val="000713A4"/>
    <w:rsid w:val="00076197"/>
    <w:rsid w:val="000805F7"/>
    <w:rsid w:val="000A3558"/>
    <w:rsid w:val="000A469E"/>
    <w:rsid w:val="000A48A6"/>
    <w:rsid w:val="000A549D"/>
    <w:rsid w:val="000B1D47"/>
    <w:rsid w:val="000B6943"/>
    <w:rsid w:val="000B7DC2"/>
    <w:rsid w:val="000D5DA4"/>
    <w:rsid w:val="000E5578"/>
    <w:rsid w:val="000E691C"/>
    <w:rsid w:val="000F6DF3"/>
    <w:rsid w:val="0010365F"/>
    <w:rsid w:val="0010739D"/>
    <w:rsid w:val="001118F2"/>
    <w:rsid w:val="0011231C"/>
    <w:rsid w:val="00113E61"/>
    <w:rsid w:val="00116E22"/>
    <w:rsid w:val="00120953"/>
    <w:rsid w:val="00122D8C"/>
    <w:rsid w:val="0013486A"/>
    <w:rsid w:val="0014287A"/>
    <w:rsid w:val="001474F0"/>
    <w:rsid w:val="00150EB6"/>
    <w:rsid w:val="00151D24"/>
    <w:rsid w:val="00157188"/>
    <w:rsid w:val="00161934"/>
    <w:rsid w:val="00177A5E"/>
    <w:rsid w:val="00183FEC"/>
    <w:rsid w:val="001841A8"/>
    <w:rsid w:val="001865A5"/>
    <w:rsid w:val="00186938"/>
    <w:rsid w:val="00186C60"/>
    <w:rsid w:val="00194FA4"/>
    <w:rsid w:val="001962DB"/>
    <w:rsid w:val="001966CA"/>
    <w:rsid w:val="00197ED0"/>
    <w:rsid w:val="001A0616"/>
    <w:rsid w:val="001A2846"/>
    <w:rsid w:val="001A4914"/>
    <w:rsid w:val="001A6B4C"/>
    <w:rsid w:val="001B467D"/>
    <w:rsid w:val="001D0F35"/>
    <w:rsid w:val="001D4282"/>
    <w:rsid w:val="001D6179"/>
    <w:rsid w:val="001D7045"/>
    <w:rsid w:val="001E1B0C"/>
    <w:rsid w:val="001F5591"/>
    <w:rsid w:val="001F6302"/>
    <w:rsid w:val="001F7442"/>
    <w:rsid w:val="00201179"/>
    <w:rsid w:val="002031F5"/>
    <w:rsid w:val="00203345"/>
    <w:rsid w:val="00205A16"/>
    <w:rsid w:val="0021199E"/>
    <w:rsid w:val="00213410"/>
    <w:rsid w:val="002135C3"/>
    <w:rsid w:val="002140F2"/>
    <w:rsid w:val="00215A0A"/>
    <w:rsid w:val="00215F9E"/>
    <w:rsid w:val="00216EEB"/>
    <w:rsid w:val="00217F3D"/>
    <w:rsid w:val="0022513F"/>
    <w:rsid w:val="00230DDB"/>
    <w:rsid w:val="00232B16"/>
    <w:rsid w:val="00233280"/>
    <w:rsid w:val="002357DF"/>
    <w:rsid w:val="0024087D"/>
    <w:rsid w:val="00240DF6"/>
    <w:rsid w:val="00245158"/>
    <w:rsid w:val="00245E79"/>
    <w:rsid w:val="0024615A"/>
    <w:rsid w:val="00254E4B"/>
    <w:rsid w:val="00261C51"/>
    <w:rsid w:val="00265AA0"/>
    <w:rsid w:val="002665AF"/>
    <w:rsid w:val="002718DB"/>
    <w:rsid w:val="00275F5C"/>
    <w:rsid w:val="0028086B"/>
    <w:rsid w:val="0028265C"/>
    <w:rsid w:val="00285317"/>
    <w:rsid w:val="00286841"/>
    <w:rsid w:val="00296EA5"/>
    <w:rsid w:val="002A45BB"/>
    <w:rsid w:val="002A513A"/>
    <w:rsid w:val="002A534A"/>
    <w:rsid w:val="002B30BA"/>
    <w:rsid w:val="002B4E68"/>
    <w:rsid w:val="002B5509"/>
    <w:rsid w:val="002B748A"/>
    <w:rsid w:val="002C021E"/>
    <w:rsid w:val="002C3A38"/>
    <w:rsid w:val="002C4D2A"/>
    <w:rsid w:val="002C542E"/>
    <w:rsid w:val="002D030D"/>
    <w:rsid w:val="002D63D9"/>
    <w:rsid w:val="002D662A"/>
    <w:rsid w:val="002D7E23"/>
    <w:rsid w:val="002E479B"/>
    <w:rsid w:val="002F2FCC"/>
    <w:rsid w:val="002F55F5"/>
    <w:rsid w:val="00304993"/>
    <w:rsid w:val="00307DD9"/>
    <w:rsid w:val="00326FBA"/>
    <w:rsid w:val="00330BFF"/>
    <w:rsid w:val="00342009"/>
    <w:rsid w:val="0034224A"/>
    <w:rsid w:val="003455F4"/>
    <w:rsid w:val="00347296"/>
    <w:rsid w:val="003510A4"/>
    <w:rsid w:val="00352877"/>
    <w:rsid w:val="0035322E"/>
    <w:rsid w:val="003545C5"/>
    <w:rsid w:val="0036578E"/>
    <w:rsid w:val="00372ADD"/>
    <w:rsid w:val="00380D4B"/>
    <w:rsid w:val="00381E10"/>
    <w:rsid w:val="00384EFD"/>
    <w:rsid w:val="00385062"/>
    <w:rsid w:val="00385D33"/>
    <w:rsid w:val="003918C6"/>
    <w:rsid w:val="003927B8"/>
    <w:rsid w:val="0039716B"/>
    <w:rsid w:val="003973B3"/>
    <w:rsid w:val="003A1F0C"/>
    <w:rsid w:val="003A5728"/>
    <w:rsid w:val="003A64C2"/>
    <w:rsid w:val="003A7522"/>
    <w:rsid w:val="003A7BBE"/>
    <w:rsid w:val="003A7E71"/>
    <w:rsid w:val="003B36AC"/>
    <w:rsid w:val="003C062A"/>
    <w:rsid w:val="003D792A"/>
    <w:rsid w:val="003E62E9"/>
    <w:rsid w:val="003E6B72"/>
    <w:rsid w:val="003E7A70"/>
    <w:rsid w:val="003F0E06"/>
    <w:rsid w:val="003F30EC"/>
    <w:rsid w:val="003F4121"/>
    <w:rsid w:val="003F652E"/>
    <w:rsid w:val="004002D6"/>
    <w:rsid w:val="00401174"/>
    <w:rsid w:val="00402AC1"/>
    <w:rsid w:val="00426D7D"/>
    <w:rsid w:val="004425DF"/>
    <w:rsid w:val="00444BE0"/>
    <w:rsid w:val="0045060E"/>
    <w:rsid w:val="00451CBD"/>
    <w:rsid w:val="00453AE3"/>
    <w:rsid w:val="0046645B"/>
    <w:rsid w:val="00471BA3"/>
    <w:rsid w:val="0047442A"/>
    <w:rsid w:val="004769E9"/>
    <w:rsid w:val="00481171"/>
    <w:rsid w:val="00482905"/>
    <w:rsid w:val="00487BE6"/>
    <w:rsid w:val="00494B90"/>
    <w:rsid w:val="00494DFD"/>
    <w:rsid w:val="004A2F2E"/>
    <w:rsid w:val="004A3A8B"/>
    <w:rsid w:val="004A7B95"/>
    <w:rsid w:val="004B0837"/>
    <w:rsid w:val="004C0CAA"/>
    <w:rsid w:val="004C3817"/>
    <w:rsid w:val="004C412B"/>
    <w:rsid w:val="004C4396"/>
    <w:rsid w:val="004C5CA7"/>
    <w:rsid w:val="004D2A3F"/>
    <w:rsid w:val="004D431B"/>
    <w:rsid w:val="004D7CBF"/>
    <w:rsid w:val="004E082B"/>
    <w:rsid w:val="004E3BA8"/>
    <w:rsid w:val="004E63B1"/>
    <w:rsid w:val="004F7E32"/>
    <w:rsid w:val="005000EF"/>
    <w:rsid w:val="0050056A"/>
    <w:rsid w:val="005030D0"/>
    <w:rsid w:val="00512294"/>
    <w:rsid w:val="005125CF"/>
    <w:rsid w:val="00513903"/>
    <w:rsid w:val="0051678F"/>
    <w:rsid w:val="00521A5A"/>
    <w:rsid w:val="00523C5F"/>
    <w:rsid w:val="00527887"/>
    <w:rsid w:val="00531A00"/>
    <w:rsid w:val="0053548C"/>
    <w:rsid w:val="00544536"/>
    <w:rsid w:val="005516B9"/>
    <w:rsid w:val="00564DB6"/>
    <w:rsid w:val="00567B98"/>
    <w:rsid w:val="00570491"/>
    <w:rsid w:val="005728BA"/>
    <w:rsid w:val="00573226"/>
    <w:rsid w:val="00577DB4"/>
    <w:rsid w:val="00577DCC"/>
    <w:rsid w:val="00580877"/>
    <w:rsid w:val="0058125F"/>
    <w:rsid w:val="0058536B"/>
    <w:rsid w:val="005A1C30"/>
    <w:rsid w:val="005A415C"/>
    <w:rsid w:val="005A5968"/>
    <w:rsid w:val="005A7A10"/>
    <w:rsid w:val="005B161B"/>
    <w:rsid w:val="005B5D16"/>
    <w:rsid w:val="005C2ACA"/>
    <w:rsid w:val="005D6B9D"/>
    <w:rsid w:val="005E1CAE"/>
    <w:rsid w:val="005F402E"/>
    <w:rsid w:val="005F65E6"/>
    <w:rsid w:val="0060406C"/>
    <w:rsid w:val="0060547F"/>
    <w:rsid w:val="00605588"/>
    <w:rsid w:val="00611180"/>
    <w:rsid w:val="0061254A"/>
    <w:rsid w:val="006128F0"/>
    <w:rsid w:val="00612BD6"/>
    <w:rsid w:val="00613F04"/>
    <w:rsid w:val="006147F2"/>
    <w:rsid w:val="00616A8C"/>
    <w:rsid w:val="006200F4"/>
    <w:rsid w:val="0062140D"/>
    <w:rsid w:val="00627E12"/>
    <w:rsid w:val="0063118D"/>
    <w:rsid w:val="00634AE6"/>
    <w:rsid w:val="0063633E"/>
    <w:rsid w:val="006403DE"/>
    <w:rsid w:val="00642BD4"/>
    <w:rsid w:val="00647AA1"/>
    <w:rsid w:val="0065107D"/>
    <w:rsid w:val="00651FF7"/>
    <w:rsid w:val="006530DA"/>
    <w:rsid w:val="0065410B"/>
    <w:rsid w:val="00654D9A"/>
    <w:rsid w:val="006571BE"/>
    <w:rsid w:val="00663980"/>
    <w:rsid w:val="00665580"/>
    <w:rsid w:val="00667787"/>
    <w:rsid w:val="00670420"/>
    <w:rsid w:val="00682452"/>
    <w:rsid w:val="006841AB"/>
    <w:rsid w:val="006912EA"/>
    <w:rsid w:val="00696011"/>
    <w:rsid w:val="0069719F"/>
    <w:rsid w:val="00697C7D"/>
    <w:rsid w:val="006A5288"/>
    <w:rsid w:val="006B0717"/>
    <w:rsid w:val="006C256B"/>
    <w:rsid w:val="006C6D2B"/>
    <w:rsid w:val="006D3170"/>
    <w:rsid w:val="006E009C"/>
    <w:rsid w:val="006E07E6"/>
    <w:rsid w:val="006E11D9"/>
    <w:rsid w:val="006E757A"/>
    <w:rsid w:val="006F0A6E"/>
    <w:rsid w:val="006F2D22"/>
    <w:rsid w:val="00701EC1"/>
    <w:rsid w:val="00702D0C"/>
    <w:rsid w:val="0070534B"/>
    <w:rsid w:val="00712160"/>
    <w:rsid w:val="007141F1"/>
    <w:rsid w:val="007148BD"/>
    <w:rsid w:val="00715B78"/>
    <w:rsid w:val="00722B92"/>
    <w:rsid w:val="00732572"/>
    <w:rsid w:val="00734B31"/>
    <w:rsid w:val="00736038"/>
    <w:rsid w:val="00742CA9"/>
    <w:rsid w:val="007466E4"/>
    <w:rsid w:val="00751E1F"/>
    <w:rsid w:val="007632F6"/>
    <w:rsid w:val="007642FB"/>
    <w:rsid w:val="00765209"/>
    <w:rsid w:val="007660DD"/>
    <w:rsid w:val="00766A16"/>
    <w:rsid w:val="00772897"/>
    <w:rsid w:val="007747AA"/>
    <w:rsid w:val="00775FAC"/>
    <w:rsid w:val="00776465"/>
    <w:rsid w:val="00776DDA"/>
    <w:rsid w:val="00777E3F"/>
    <w:rsid w:val="0078051C"/>
    <w:rsid w:val="00782387"/>
    <w:rsid w:val="00786634"/>
    <w:rsid w:val="007912E2"/>
    <w:rsid w:val="00791735"/>
    <w:rsid w:val="0079181D"/>
    <w:rsid w:val="00791E48"/>
    <w:rsid w:val="00791F12"/>
    <w:rsid w:val="00794413"/>
    <w:rsid w:val="00797BA8"/>
    <w:rsid w:val="007A595E"/>
    <w:rsid w:val="007C0C7D"/>
    <w:rsid w:val="007C1E59"/>
    <w:rsid w:val="007C5A51"/>
    <w:rsid w:val="007E3F82"/>
    <w:rsid w:val="007F2749"/>
    <w:rsid w:val="008003E0"/>
    <w:rsid w:val="008014D8"/>
    <w:rsid w:val="00801646"/>
    <w:rsid w:val="0080331B"/>
    <w:rsid w:val="00804DED"/>
    <w:rsid w:val="00806170"/>
    <w:rsid w:val="0080691E"/>
    <w:rsid w:val="0081353C"/>
    <w:rsid w:val="00813FC8"/>
    <w:rsid w:val="0082071A"/>
    <w:rsid w:val="00833C7D"/>
    <w:rsid w:val="00836DFF"/>
    <w:rsid w:val="00840164"/>
    <w:rsid w:val="008479F6"/>
    <w:rsid w:val="00854465"/>
    <w:rsid w:val="0085519F"/>
    <w:rsid w:val="00857EC4"/>
    <w:rsid w:val="008638B4"/>
    <w:rsid w:val="008654CA"/>
    <w:rsid w:val="00865619"/>
    <w:rsid w:val="00875F27"/>
    <w:rsid w:val="0087675B"/>
    <w:rsid w:val="00880488"/>
    <w:rsid w:val="0088144C"/>
    <w:rsid w:val="0088799F"/>
    <w:rsid w:val="00896376"/>
    <w:rsid w:val="008978C8"/>
    <w:rsid w:val="008A0108"/>
    <w:rsid w:val="008A249E"/>
    <w:rsid w:val="008B0407"/>
    <w:rsid w:val="008B2403"/>
    <w:rsid w:val="008C21A5"/>
    <w:rsid w:val="008C3D97"/>
    <w:rsid w:val="008D0917"/>
    <w:rsid w:val="008D2BDB"/>
    <w:rsid w:val="008D2D64"/>
    <w:rsid w:val="008D4C9E"/>
    <w:rsid w:val="008D7F08"/>
    <w:rsid w:val="008E4031"/>
    <w:rsid w:val="008E628F"/>
    <w:rsid w:val="008F1504"/>
    <w:rsid w:val="008F47AF"/>
    <w:rsid w:val="008F5D3E"/>
    <w:rsid w:val="009062A3"/>
    <w:rsid w:val="0091610A"/>
    <w:rsid w:val="00922157"/>
    <w:rsid w:val="009302AA"/>
    <w:rsid w:val="00943201"/>
    <w:rsid w:val="00943D59"/>
    <w:rsid w:val="0095419B"/>
    <w:rsid w:val="00955126"/>
    <w:rsid w:val="00956F70"/>
    <w:rsid w:val="009656F9"/>
    <w:rsid w:val="0097129E"/>
    <w:rsid w:val="009766E7"/>
    <w:rsid w:val="0097716C"/>
    <w:rsid w:val="00984570"/>
    <w:rsid w:val="00984B42"/>
    <w:rsid w:val="00987C12"/>
    <w:rsid w:val="00987FAF"/>
    <w:rsid w:val="00990763"/>
    <w:rsid w:val="009916A3"/>
    <w:rsid w:val="00992EBC"/>
    <w:rsid w:val="00995149"/>
    <w:rsid w:val="00996FC3"/>
    <w:rsid w:val="009A5A9A"/>
    <w:rsid w:val="009A67B5"/>
    <w:rsid w:val="009B39DA"/>
    <w:rsid w:val="009B4068"/>
    <w:rsid w:val="009B477B"/>
    <w:rsid w:val="009C0A52"/>
    <w:rsid w:val="009C299E"/>
    <w:rsid w:val="009C654F"/>
    <w:rsid w:val="009D230D"/>
    <w:rsid w:val="009E3066"/>
    <w:rsid w:val="009E33B5"/>
    <w:rsid w:val="009E34B9"/>
    <w:rsid w:val="009F03E9"/>
    <w:rsid w:val="009F2133"/>
    <w:rsid w:val="009F3D7D"/>
    <w:rsid w:val="009F7AB5"/>
    <w:rsid w:val="00A01C6A"/>
    <w:rsid w:val="00A24689"/>
    <w:rsid w:val="00A253B2"/>
    <w:rsid w:val="00A30DF4"/>
    <w:rsid w:val="00A448B7"/>
    <w:rsid w:val="00A45BCC"/>
    <w:rsid w:val="00A46FF6"/>
    <w:rsid w:val="00A509E5"/>
    <w:rsid w:val="00A579A7"/>
    <w:rsid w:val="00A65CE3"/>
    <w:rsid w:val="00A80091"/>
    <w:rsid w:val="00A82202"/>
    <w:rsid w:val="00A857C4"/>
    <w:rsid w:val="00A857F4"/>
    <w:rsid w:val="00A85B72"/>
    <w:rsid w:val="00A973CE"/>
    <w:rsid w:val="00AA67B0"/>
    <w:rsid w:val="00AA77F5"/>
    <w:rsid w:val="00AB494A"/>
    <w:rsid w:val="00AB68F5"/>
    <w:rsid w:val="00AB7622"/>
    <w:rsid w:val="00AD361D"/>
    <w:rsid w:val="00AD733D"/>
    <w:rsid w:val="00AE079C"/>
    <w:rsid w:val="00AE4320"/>
    <w:rsid w:val="00AF46FA"/>
    <w:rsid w:val="00B02DF1"/>
    <w:rsid w:val="00B04E37"/>
    <w:rsid w:val="00B10053"/>
    <w:rsid w:val="00B20AEE"/>
    <w:rsid w:val="00B21D21"/>
    <w:rsid w:val="00B221D6"/>
    <w:rsid w:val="00B24C8F"/>
    <w:rsid w:val="00B34A52"/>
    <w:rsid w:val="00B37B20"/>
    <w:rsid w:val="00B413A4"/>
    <w:rsid w:val="00B45FE6"/>
    <w:rsid w:val="00B46E5E"/>
    <w:rsid w:val="00B50284"/>
    <w:rsid w:val="00B525D7"/>
    <w:rsid w:val="00B53EC6"/>
    <w:rsid w:val="00B54A6C"/>
    <w:rsid w:val="00B54E57"/>
    <w:rsid w:val="00B56408"/>
    <w:rsid w:val="00B620BC"/>
    <w:rsid w:val="00B630B0"/>
    <w:rsid w:val="00B643A4"/>
    <w:rsid w:val="00B64D00"/>
    <w:rsid w:val="00B6609E"/>
    <w:rsid w:val="00B71717"/>
    <w:rsid w:val="00B73725"/>
    <w:rsid w:val="00B8255E"/>
    <w:rsid w:val="00BA226C"/>
    <w:rsid w:val="00BA45EC"/>
    <w:rsid w:val="00BA5B50"/>
    <w:rsid w:val="00BB1622"/>
    <w:rsid w:val="00BC2648"/>
    <w:rsid w:val="00BC4757"/>
    <w:rsid w:val="00BD71D3"/>
    <w:rsid w:val="00BE740F"/>
    <w:rsid w:val="00BF0541"/>
    <w:rsid w:val="00BF20F9"/>
    <w:rsid w:val="00BF538B"/>
    <w:rsid w:val="00BF7548"/>
    <w:rsid w:val="00C009EA"/>
    <w:rsid w:val="00C02486"/>
    <w:rsid w:val="00C04194"/>
    <w:rsid w:val="00C0453E"/>
    <w:rsid w:val="00C26A15"/>
    <w:rsid w:val="00C339E1"/>
    <w:rsid w:val="00C34A92"/>
    <w:rsid w:val="00C359F7"/>
    <w:rsid w:val="00C443A3"/>
    <w:rsid w:val="00C45928"/>
    <w:rsid w:val="00C501F5"/>
    <w:rsid w:val="00C61478"/>
    <w:rsid w:val="00C62050"/>
    <w:rsid w:val="00C7392E"/>
    <w:rsid w:val="00C767A0"/>
    <w:rsid w:val="00C826A8"/>
    <w:rsid w:val="00C85C09"/>
    <w:rsid w:val="00C92B9E"/>
    <w:rsid w:val="00C93D99"/>
    <w:rsid w:val="00C952BF"/>
    <w:rsid w:val="00C96904"/>
    <w:rsid w:val="00CA1F8C"/>
    <w:rsid w:val="00CA22CE"/>
    <w:rsid w:val="00CB2CF8"/>
    <w:rsid w:val="00CB30FD"/>
    <w:rsid w:val="00CB601D"/>
    <w:rsid w:val="00CC569F"/>
    <w:rsid w:val="00CC7BE3"/>
    <w:rsid w:val="00CD0124"/>
    <w:rsid w:val="00CD07C1"/>
    <w:rsid w:val="00CD17E8"/>
    <w:rsid w:val="00CD68DF"/>
    <w:rsid w:val="00CE387C"/>
    <w:rsid w:val="00CE4775"/>
    <w:rsid w:val="00CF6392"/>
    <w:rsid w:val="00CF6FC0"/>
    <w:rsid w:val="00CF705E"/>
    <w:rsid w:val="00D018B0"/>
    <w:rsid w:val="00D03D5E"/>
    <w:rsid w:val="00D0596B"/>
    <w:rsid w:val="00D17B68"/>
    <w:rsid w:val="00D24710"/>
    <w:rsid w:val="00D31735"/>
    <w:rsid w:val="00D35F55"/>
    <w:rsid w:val="00D449AC"/>
    <w:rsid w:val="00D5166F"/>
    <w:rsid w:val="00D520EF"/>
    <w:rsid w:val="00D5470D"/>
    <w:rsid w:val="00D5689B"/>
    <w:rsid w:val="00D5714A"/>
    <w:rsid w:val="00D57BF1"/>
    <w:rsid w:val="00D57DCC"/>
    <w:rsid w:val="00D66A51"/>
    <w:rsid w:val="00D66C22"/>
    <w:rsid w:val="00D7051C"/>
    <w:rsid w:val="00D769D3"/>
    <w:rsid w:val="00D77BFA"/>
    <w:rsid w:val="00D81DC0"/>
    <w:rsid w:val="00D8675B"/>
    <w:rsid w:val="00D9274B"/>
    <w:rsid w:val="00D9657C"/>
    <w:rsid w:val="00D97727"/>
    <w:rsid w:val="00D9794C"/>
    <w:rsid w:val="00DA3073"/>
    <w:rsid w:val="00DB0672"/>
    <w:rsid w:val="00DB258E"/>
    <w:rsid w:val="00DB2D93"/>
    <w:rsid w:val="00DB3505"/>
    <w:rsid w:val="00DB6380"/>
    <w:rsid w:val="00DD02BB"/>
    <w:rsid w:val="00DD0B2C"/>
    <w:rsid w:val="00DE7C6B"/>
    <w:rsid w:val="00DF0680"/>
    <w:rsid w:val="00DF6444"/>
    <w:rsid w:val="00DF7AFE"/>
    <w:rsid w:val="00E03C3C"/>
    <w:rsid w:val="00E1092B"/>
    <w:rsid w:val="00E11433"/>
    <w:rsid w:val="00E12631"/>
    <w:rsid w:val="00E13ADF"/>
    <w:rsid w:val="00E15C20"/>
    <w:rsid w:val="00E20596"/>
    <w:rsid w:val="00E23CE9"/>
    <w:rsid w:val="00E30E98"/>
    <w:rsid w:val="00E3191B"/>
    <w:rsid w:val="00E356F5"/>
    <w:rsid w:val="00E36E35"/>
    <w:rsid w:val="00E37A60"/>
    <w:rsid w:val="00E43DD1"/>
    <w:rsid w:val="00E44334"/>
    <w:rsid w:val="00E464AA"/>
    <w:rsid w:val="00E52AD2"/>
    <w:rsid w:val="00E539B7"/>
    <w:rsid w:val="00E542E8"/>
    <w:rsid w:val="00E622B5"/>
    <w:rsid w:val="00E630A4"/>
    <w:rsid w:val="00E64940"/>
    <w:rsid w:val="00E65037"/>
    <w:rsid w:val="00E7083E"/>
    <w:rsid w:val="00E743DA"/>
    <w:rsid w:val="00E768D5"/>
    <w:rsid w:val="00E9471D"/>
    <w:rsid w:val="00E97BC0"/>
    <w:rsid w:val="00EA2366"/>
    <w:rsid w:val="00EA28C1"/>
    <w:rsid w:val="00EA614C"/>
    <w:rsid w:val="00EB4F55"/>
    <w:rsid w:val="00EC0E3F"/>
    <w:rsid w:val="00EC2FD0"/>
    <w:rsid w:val="00EC45B3"/>
    <w:rsid w:val="00ED3BAD"/>
    <w:rsid w:val="00ED6DDA"/>
    <w:rsid w:val="00EE2844"/>
    <w:rsid w:val="00EE5170"/>
    <w:rsid w:val="00EF09FF"/>
    <w:rsid w:val="00F029C4"/>
    <w:rsid w:val="00F107BC"/>
    <w:rsid w:val="00F12A8E"/>
    <w:rsid w:val="00F158BA"/>
    <w:rsid w:val="00F210E8"/>
    <w:rsid w:val="00F22363"/>
    <w:rsid w:val="00F22C1E"/>
    <w:rsid w:val="00F23705"/>
    <w:rsid w:val="00F2714E"/>
    <w:rsid w:val="00F273F0"/>
    <w:rsid w:val="00F27477"/>
    <w:rsid w:val="00F27752"/>
    <w:rsid w:val="00F31CF0"/>
    <w:rsid w:val="00F320C3"/>
    <w:rsid w:val="00F33153"/>
    <w:rsid w:val="00F44EB8"/>
    <w:rsid w:val="00F55AAF"/>
    <w:rsid w:val="00F64515"/>
    <w:rsid w:val="00F648DE"/>
    <w:rsid w:val="00F65042"/>
    <w:rsid w:val="00F728E8"/>
    <w:rsid w:val="00F7452E"/>
    <w:rsid w:val="00F75409"/>
    <w:rsid w:val="00F76505"/>
    <w:rsid w:val="00F83FC1"/>
    <w:rsid w:val="00F8735F"/>
    <w:rsid w:val="00FA125A"/>
    <w:rsid w:val="00FA240F"/>
    <w:rsid w:val="00FA4923"/>
    <w:rsid w:val="00FA4C5A"/>
    <w:rsid w:val="00FB20DC"/>
    <w:rsid w:val="00FB4040"/>
    <w:rsid w:val="00FC2990"/>
    <w:rsid w:val="00FD1B40"/>
    <w:rsid w:val="00FE79DC"/>
    <w:rsid w:val="00FF5A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39EED-CD80-4142-89D0-2511E98C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544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8544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7045"/>
    <w:pPr>
      <w:ind w:left="720"/>
      <w:contextualSpacing/>
    </w:pPr>
  </w:style>
  <w:style w:type="paragraph" w:styleId="NormalWeb">
    <w:name w:val="Normal (Web)"/>
    <w:basedOn w:val="Normal"/>
    <w:uiPriority w:val="99"/>
    <w:unhideWhenUsed/>
    <w:rsid w:val="00742CA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0265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65F3"/>
    <w:rPr>
      <w:lang w:val="es-ES"/>
    </w:rPr>
  </w:style>
  <w:style w:type="paragraph" w:styleId="Rodap">
    <w:name w:val="footer"/>
    <w:basedOn w:val="Normal"/>
    <w:link w:val="RodapChar"/>
    <w:uiPriority w:val="99"/>
    <w:unhideWhenUsed/>
    <w:rsid w:val="000265F3"/>
    <w:pPr>
      <w:tabs>
        <w:tab w:val="center" w:pos="4252"/>
        <w:tab w:val="right" w:pos="8504"/>
      </w:tabs>
      <w:spacing w:after="0" w:line="240" w:lineRule="auto"/>
    </w:pPr>
  </w:style>
  <w:style w:type="character" w:customStyle="1" w:styleId="RodapChar">
    <w:name w:val="Rodapé Char"/>
    <w:basedOn w:val="Fontepargpadro"/>
    <w:link w:val="Rodap"/>
    <w:uiPriority w:val="99"/>
    <w:rsid w:val="000265F3"/>
    <w:rPr>
      <w:lang w:val="es-ES"/>
    </w:rPr>
  </w:style>
  <w:style w:type="character" w:customStyle="1" w:styleId="apple-style-span">
    <w:name w:val="apple-style-span"/>
    <w:basedOn w:val="Fontepargpadro"/>
    <w:rsid w:val="000B7DC2"/>
  </w:style>
  <w:style w:type="paragraph" w:customStyle="1" w:styleId="Default">
    <w:name w:val="Default"/>
    <w:rsid w:val="00DB2D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183FEC"/>
    <w:rPr>
      <w:color w:val="0000FF" w:themeColor="hyperlink"/>
      <w:u w:val="single"/>
    </w:rPr>
  </w:style>
  <w:style w:type="character" w:customStyle="1" w:styleId="addmd1">
    <w:name w:val="addmd1"/>
    <w:basedOn w:val="Fontepargpadro"/>
    <w:rsid w:val="000805F7"/>
    <w:rPr>
      <w:sz w:val="20"/>
      <w:szCs w:val="20"/>
    </w:rPr>
  </w:style>
  <w:style w:type="character" w:styleId="nfase">
    <w:name w:val="Emphasis"/>
    <w:basedOn w:val="Fontepargpadro"/>
    <w:uiPriority w:val="20"/>
    <w:qFormat/>
    <w:rsid w:val="00C61478"/>
    <w:rPr>
      <w:i/>
      <w:iCs/>
    </w:rPr>
  </w:style>
  <w:style w:type="paragraph" w:customStyle="1" w:styleId="autor2">
    <w:name w:val="autor2"/>
    <w:basedOn w:val="Normal"/>
    <w:rsid w:val="00854465"/>
    <w:pPr>
      <w:spacing w:before="192" w:after="120"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8544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54465"/>
    <w:rPr>
      <w:rFonts w:ascii="Times New Roman" w:eastAsia="Times New Roman" w:hAnsi="Times New Roman" w:cs="Times New Roman"/>
      <w:b/>
      <w:bCs/>
      <w:sz w:val="36"/>
      <w:szCs w:val="36"/>
      <w:lang w:eastAsia="pt-BR"/>
    </w:rPr>
  </w:style>
  <w:style w:type="character" w:customStyle="1" w:styleId="fn">
    <w:name w:val="fn"/>
    <w:basedOn w:val="Fontepargpadro"/>
    <w:rsid w:val="003918C6"/>
  </w:style>
  <w:style w:type="character" w:styleId="Forte">
    <w:name w:val="Strong"/>
    <w:basedOn w:val="Fontepargpadro"/>
    <w:uiPriority w:val="22"/>
    <w:qFormat/>
    <w:rsid w:val="00775FAC"/>
    <w:rPr>
      <w:b/>
      <w:bCs/>
    </w:rPr>
  </w:style>
  <w:style w:type="paragraph" w:styleId="Textodebalo">
    <w:name w:val="Balloon Text"/>
    <w:basedOn w:val="Normal"/>
    <w:link w:val="TextodebaloChar"/>
    <w:uiPriority w:val="99"/>
    <w:semiHidden/>
    <w:unhideWhenUsed/>
    <w:rsid w:val="003971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71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5956929">
          <w:marLeft w:val="0"/>
          <w:marRight w:val="3480"/>
          <w:marTop w:val="0"/>
          <w:marBottom w:val="0"/>
          <w:divBdr>
            <w:top w:val="none" w:sz="0" w:space="0" w:color="auto"/>
            <w:left w:val="none" w:sz="0" w:space="0" w:color="auto"/>
            <w:bottom w:val="none" w:sz="0" w:space="0" w:color="auto"/>
            <w:right w:val="none" w:sz="0" w:space="0" w:color="auto"/>
          </w:divBdr>
          <w:divsChild>
            <w:div w:id="1977954335">
              <w:marLeft w:val="120"/>
              <w:marRight w:val="120"/>
              <w:marTop w:val="0"/>
              <w:marBottom w:val="360"/>
              <w:divBdr>
                <w:top w:val="none" w:sz="0" w:space="0" w:color="auto"/>
                <w:left w:val="none" w:sz="0" w:space="0" w:color="auto"/>
                <w:bottom w:val="none" w:sz="0" w:space="0" w:color="auto"/>
                <w:right w:val="none" w:sz="0" w:space="0" w:color="auto"/>
              </w:divBdr>
              <w:divsChild>
                <w:div w:id="58872520">
                  <w:marLeft w:val="0"/>
                  <w:marRight w:val="0"/>
                  <w:marTop w:val="0"/>
                  <w:marBottom w:val="0"/>
                  <w:divBdr>
                    <w:top w:val="none" w:sz="0" w:space="0" w:color="auto"/>
                    <w:left w:val="none" w:sz="0" w:space="0" w:color="auto"/>
                    <w:bottom w:val="none" w:sz="0" w:space="0" w:color="auto"/>
                    <w:right w:val="none" w:sz="0" w:space="0" w:color="auto"/>
                  </w:divBdr>
                  <w:divsChild>
                    <w:div w:id="1588542785">
                      <w:marLeft w:val="0"/>
                      <w:marRight w:val="0"/>
                      <w:marTop w:val="0"/>
                      <w:marBottom w:val="0"/>
                      <w:divBdr>
                        <w:top w:val="none" w:sz="0" w:space="0" w:color="auto"/>
                        <w:left w:val="none" w:sz="0" w:space="0" w:color="auto"/>
                        <w:bottom w:val="none" w:sz="0" w:space="0" w:color="auto"/>
                        <w:right w:val="none" w:sz="0" w:space="0" w:color="auto"/>
                      </w:divBdr>
                      <w:divsChild>
                        <w:div w:id="3352289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62761436">
      <w:bodyDiv w:val="1"/>
      <w:marLeft w:val="0"/>
      <w:marRight w:val="0"/>
      <w:marTop w:val="0"/>
      <w:marBottom w:val="0"/>
      <w:divBdr>
        <w:top w:val="none" w:sz="0" w:space="0" w:color="auto"/>
        <w:left w:val="none" w:sz="0" w:space="0" w:color="auto"/>
        <w:bottom w:val="none" w:sz="0" w:space="0" w:color="auto"/>
        <w:right w:val="none" w:sz="0" w:space="0" w:color="auto"/>
      </w:divBdr>
      <w:divsChild>
        <w:div w:id="1786725702">
          <w:marLeft w:val="0"/>
          <w:marRight w:val="0"/>
          <w:marTop w:val="0"/>
          <w:marBottom w:val="0"/>
          <w:divBdr>
            <w:top w:val="none" w:sz="0" w:space="0" w:color="auto"/>
            <w:left w:val="none" w:sz="0" w:space="0" w:color="auto"/>
            <w:bottom w:val="none" w:sz="0" w:space="0" w:color="auto"/>
            <w:right w:val="none" w:sz="0" w:space="0" w:color="auto"/>
          </w:divBdr>
          <w:divsChild>
            <w:div w:id="42171176">
              <w:marLeft w:val="90"/>
              <w:marRight w:val="0"/>
              <w:marTop w:val="150"/>
              <w:marBottom w:val="0"/>
              <w:divBdr>
                <w:top w:val="none" w:sz="0" w:space="0" w:color="auto"/>
                <w:left w:val="none" w:sz="0" w:space="0" w:color="auto"/>
                <w:bottom w:val="none" w:sz="0" w:space="0" w:color="auto"/>
                <w:right w:val="none" w:sz="0" w:space="0" w:color="auto"/>
              </w:divBdr>
              <w:divsChild>
                <w:div w:id="1152406233">
                  <w:marLeft w:val="0"/>
                  <w:marRight w:val="0"/>
                  <w:marTop w:val="0"/>
                  <w:marBottom w:val="0"/>
                  <w:divBdr>
                    <w:top w:val="none" w:sz="0" w:space="0" w:color="auto"/>
                    <w:left w:val="none" w:sz="0" w:space="0" w:color="auto"/>
                    <w:bottom w:val="none" w:sz="0" w:space="0" w:color="auto"/>
                    <w:right w:val="none" w:sz="0" w:space="0" w:color="auto"/>
                  </w:divBdr>
                  <w:divsChild>
                    <w:div w:id="1472752039">
                      <w:marLeft w:val="2610"/>
                      <w:marRight w:val="0"/>
                      <w:marTop w:val="0"/>
                      <w:marBottom w:val="0"/>
                      <w:divBdr>
                        <w:top w:val="none" w:sz="0" w:space="0" w:color="auto"/>
                        <w:left w:val="none" w:sz="0" w:space="0" w:color="auto"/>
                        <w:bottom w:val="none" w:sz="0" w:space="0" w:color="auto"/>
                        <w:right w:val="none" w:sz="0" w:space="0" w:color="auto"/>
                      </w:divBdr>
                      <w:divsChild>
                        <w:div w:id="13271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628283">
      <w:bodyDiv w:val="1"/>
      <w:marLeft w:val="0"/>
      <w:marRight w:val="0"/>
      <w:marTop w:val="0"/>
      <w:marBottom w:val="0"/>
      <w:divBdr>
        <w:top w:val="none" w:sz="0" w:space="0" w:color="auto"/>
        <w:left w:val="none" w:sz="0" w:space="0" w:color="auto"/>
        <w:bottom w:val="none" w:sz="0" w:space="0" w:color="auto"/>
        <w:right w:val="none" w:sz="0" w:space="0" w:color="auto"/>
      </w:divBdr>
    </w:div>
    <w:div w:id="972979771">
      <w:bodyDiv w:val="1"/>
      <w:marLeft w:val="0"/>
      <w:marRight w:val="0"/>
      <w:marTop w:val="0"/>
      <w:marBottom w:val="0"/>
      <w:divBdr>
        <w:top w:val="none" w:sz="0" w:space="0" w:color="auto"/>
        <w:left w:val="none" w:sz="0" w:space="0" w:color="auto"/>
        <w:bottom w:val="none" w:sz="0" w:space="0" w:color="auto"/>
        <w:right w:val="none" w:sz="0" w:space="0" w:color="auto"/>
      </w:divBdr>
      <w:divsChild>
        <w:div w:id="385180590">
          <w:marLeft w:val="0"/>
          <w:marRight w:val="0"/>
          <w:marTop w:val="0"/>
          <w:marBottom w:val="0"/>
          <w:divBdr>
            <w:top w:val="none" w:sz="0" w:space="0" w:color="auto"/>
            <w:left w:val="none" w:sz="0" w:space="0" w:color="auto"/>
            <w:bottom w:val="none" w:sz="0" w:space="0" w:color="auto"/>
            <w:right w:val="none" w:sz="0" w:space="0" w:color="auto"/>
          </w:divBdr>
        </w:div>
      </w:divsChild>
    </w:div>
    <w:div w:id="1936597559">
      <w:bodyDiv w:val="1"/>
      <w:marLeft w:val="0"/>
      <w:marRight w:val="0"/>
      <w:marTop w:val="0"/>
      <w:marBottom w:val="0"/>
      <w:divBdr>
        <w:top w:val="none" w:sz="0" w:space="0" w:color="auto"/>
        <w:left w:val="none" w:sz="0" w:space="0" w:color="auto"/>
        <w:bottom w:val="none" w:sz="0" w:space="0" w:color="auto"/>
        <w:right w:val="none" w:sz="0" w:space="0" w:color="auto"/>
      </w:divBdr>
    </w:div>
    <w:div w:id="2141417749">
      <w:bodyDiv w:val="1"/>
      <w:marLeft w:val="0"/>
      <w:marRight w:val="0"/>
      <w:marTop w:val="0"/>
      <w:marBottom w:val="0"/>
      <w:divBdr>
        <w:top w:val="none" w:sz="0" w:space="0" w:color="auto"/>
        <w:left w:val="none" w:sz="0" w:space="0" w:color="auto"/>
        <w:bottom w:val="none" w:sz="0" w:space="0" w:color="auto"/>
        <w:right w:val="none" w:sz="0" w:space="0" w:color="auto"/>
      </w:divBdr>
      <w:divsChild>
        <w:div w:id="317923674">
          <w:marLeft w:val="0"/>
          <w:marRight w:val="0"/>
          <w:marTop w:val="0"/>
          <w:marBottom w:val="0"/>
          <w:divBdr>
            <w:top w:val="none" w:sz="0" w:space="0" w:color="auto"/>
            <w:left w:val="none" w:sz="0" w:space="0" w:color="auto"/>
            <w:bottom w:val="none" w:sz="0" w:space="0" w:color="auto"/>
            <w:right w:val="none" w:sz="0" w:space="0" w:color="auto"/>
          </w:divBdr>
          <w:divsChild>
            <w:div w:id="390468760">
              <w:marLeft w:val="90"/>
              <w:marRight w:val="0"/>
              <w:marTop w:val="150"/>
              <w:marBottom w:val="0"/>
              <w:divBdr>
                <w:top w:val="none" w:sz="0" w:space="0" w:color="auto"/>
                <w:left w:val="none" w:sz="0" w:space="0" w:color="auto"/>
                <w:bottom w:val="none" w:sz="0" w:space="0" w:color="auto"/>
                <w:right w:val="none" w:sz="0" w:space="0" w:color="auto"/>
              </w:divBdr>
              <w:divsChild>
                <w:div w:id="1173567096">
                  <w:marLeft w:val="0"/>
                  <w:marRight w:val="0"/>
                  <w:marTop w:val="0"/>
                  <w:marBottom w:val="150"/>
                  <w:divBdr>
                    <w:top w:val="none" w:sz="0" w:space="0" w:color="auto"/>
                    <w:left w:val="none" w:sz="0" w:space="0" w:color="auto"/>
                    <w:bottom w:val="none" w:sz="0" w:space="0" w:color="auto"/>
                    <w:right w:val="none" w:sz="0" w:space="0" w:color="auto"/>
                  </w:divBdr>
                </w:div>
                <w:div w:id="693849729">
                  <w:marLeft w:val="0"/>
                  <w:marRight w:val="0"/>
                  <w:marTop w:val="0"/>
                  <w:marBottom w:val="240"/>
                  <w:divBdr>
                    <w:top w:val="none" w:sz="0" w:space="0" w:color="auto"/>
                    <w:left w:val="none" w:sz="0" w:space="0" w:color="auto"/>
                    <w:bottom w:val="none" w:sz="0" w:space="0" w:color="auto"/>
                    <w:right w:val="none" w:sz="0" w:space="0" w:color="auto"/>
                  </w:divBdr>
                </w:div>
                <w:div w:id="1710032730">
                  <w:marLeft w:val="0"/>
                  <w:marRight w:val="0"/>
                  <w:marTop w:val="0"/>
                  <w:marBottom w:val="0"/>
                  <w:divBdr>
                    <w:top w:val="none" w:sz="0" w:space="0" w:color="auto"/>
                    <w:left w:val="none" w:sz="0" w:space="0" w:color="auto"/>
                    <w:bottom w:val="none" w:sz="0" w:space="0" w:color="auto"/>
                    <w:right w:val="none" w:sz="0" w:space="0" w:color="auto"/>
                  </w:divBdr>
                  <w:divsChild>
                    <w:div w:id="270674419">
                      <w:marLeft w:val="2610"/>
                      <w:marRight w:val="0"/>
                      <w:marTop w:val="0"/>
                      <w:marBottom w:val="0"/>
                      <w:divBdr>
                        <w:top w:val="none" w:sz="0" w:space="0" w:color="auto"/>
                        <w:left w:val="none" w:sz="0" w:space="0" w:color="auto"/>
                        <w:bottom w:val="none" w:sz="0" w:space="0" w:color="auto"/>
                        <w:right w:val="none" w:sz="0" w:space="0" w:color="auto"/>
                      </w:divBdr>
                      <w:divsChild>
                        <w:div w:id="11162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79448">
      <w:bodyDiv w:val="1"/>
      <w:marLeft w:val="0"/>
      <w:marRight w:val="0"/>
      <w:marTop w:val="0"/>
      <w:marBottom w:val="0"/>
      <w:divBdr>
        <w:top w:val="none" w:sz="0" w:space="0" w:color="auto"/>
        <w:left w:val="none" w:sz="0" w:space="0" w:color="auto"/>
        <w:bottom w:val="none" w:sz="0" w:space="0" w:color="auto"/>
        <w:right w:val="none" w:sz="0" w:space="0" w:color="auto"/>
      </w:divBdr>
      <w:divsChild>
        <w:div w:id="819200537">
          <w:marLeft w:val="0"/>
          <w:marRight w:val="0"/>
          <w:marTop w:val="0"/>
          <w:marBottom w:val="0"/>
          <w:divBdr>
            <w:top w:val="none" w:sz="0" w:space="0" w:color="auto"/>
            <w:left w:val="none" w:sz="0" w:space="0" w:color="auto"/>
            <w:bottom w:val="none" w:sz="0" w:space="0" w:color="auto"/>
            <w:right w:val="none" w:sz="0" w:space="0" w:color="auto"/>
          </w:divBdr>
          <w:divsChild>
            <w:div w:id="1850676200">
              <w:marLeft w:val="90"/>
              <w:marRight w:val="0"/>
              <w:marTop w:val="150"/>
              <w:marBottom w:val="0"/>
              <w:divBdr>
                <w:top w:val="none" w:sz="0" w:space="0" w:color="auto"/>
                <w:left w:val="none" w:sz="0" w:space="0" w:color="auto"/>
                <w:bottom w:val="none" w:sz="0" w:space="0" w:color="auto"/>
                <w:right w:val="none" w:sz="0" w:space="0" w:color="auto"/>
              </w:divBdr>
              <w:divsChild>
                <w:div w:id="53283218">
                  <w:marLeft w:val="0"/>
                  <w:marRight w:val="0"/>
                  <w:marTop w:val="0"/>
                  <w:marBottom w:val="150"/>
                  <w:divBdr>
                    <w:top w:val="none" w:sz="0" w:space="0" w:color="auto"/>
                    <w:left w:val="none" w:sz="0" w:space="0" w:color="auto"/>
                    <w:bottom w:val="none" w:sz="0" w:space="0" w:color="auto"/>
                    <w:right w:val="none" w:sz="0" w:space="0" w:color="auto"/>
                  </w:divBdr>
                </w:div>
                <w:div w:id="1131904665">
                  <w:marLeft w:val="0"/>
                  <w:marRight w:val="0"/>
                  <w:marTop w:val="0"/>
                  <w:marBottom w:val="240"/>
                  <w:divBdr>
                    <w:top w:val="none" w:sz="0" w:space="0" w:color="auto"/>
                    <w:left w:val="none" w:sz="0" w:space="0" w:color="auto"/>
                    <w:bottom w:val="none" w:sz="0" w:space="0" w:color="auto"/>
                    <w:right w:val="none" w:sz="0" w:space="0" w:color="auto"/>
                  </w:divBdr>
                </w:div>
                <w:div w:id="1241521127">
                  <w:marLeft w:val="0"/>
                  <w:marRight w:val="0"/>
                  <w:marTop w:val="0"/>
                  <w:marBottom w:val="0"/>
                  <w:divBdr>
                    <w:top w:val="none" w:sz="0" w:space="0" w:color="auto"/>
                    <w:left w:val="none" w:sz="0" w:space="0" w:color="auto"/>
                    <w:bottom w:val="none" w:sz="0" w:space="0" w:color="auto"/>
                    <w:right w:val="none" w:sz="0" w:space="0" w:color="auto"/>
                  </w:divBdr>
                  <w:divsChild>
                    <w:div w:id="986513750">
                      <w:marLeft w:val="2610"/>
                      <w:marRight w:val="0"/>
                      <w:marTop w:val="0"/>
                      <w:marBottom w:val="0"/>
                      <w:divBdr>
                        <w:top w:val="none" w:sz="0" w:space="0" w:color="auto"/>
                        <w:left w:val="none" w:sz="0" w:space="0" w:color="auto"/>
                        <w:bottom w:val="none" w:sz="0" w:space="0" w:color="auto"/>
                        <w:right w:val="none" w:sz="0" w:space="0" w:color="auto"/>
                      </w:divBdr>
                      <w:divsChild>
                        <w:div w:id="17592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F6BA-29A5-48E0-BD88-0CFFA0BE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3607</Words>
  <Characters>19481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23042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Raquel Brandão Silva</dc:creator>
  <cp:lastModifiedBy>sergio silva do nascimento</cp:lastModifiedBy>
  <cp:revision>5</cp:revision>
  <cp:lastPrinted>2014-04-28T17:27:00Z</cp:lastPrinted>
  <dcterms:created xsi:type="dcterms:W3CDTF">2014-04-28T07:45:00Z</dcterms:created>
  <dcterms:modified xsi:type="dcterms:W3CDTF">2014-04-29T04:49:00Z</dcterms:modified>
</cp:coreProperties>
</file>