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FAMA-Faculdade Aldete Maria Alves</w:t>
      </w: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Ana Lúcia Mariano Bento</w:t>
      </w: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O PAPEL DO GESTOR ESCOLAR NA ATUALIDADE</w:t>
      </w: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Iturama-MG</w:t>
      </w:r>
    </w:p>
    <w:p w:rsidR="00707D8D" w:rsidRDefault="00707D8D" w:rsidP="00707D8D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2015</w:t>
      </w:r>
    </w:p>
    <w:p w:rsidR="00707D8D" w:rsidRDefault="00707D8D" w:rsidP="00707D8D">
      <w:pPr>
        <w:suppressAutoHyphens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  <w:sectPr w:rsidR="00707D8D">
          <w:pgSz w:w="11906" w:h="16838"/>
          <w:pgMar w:top="1135" w:right="1134" w:bottom="993" w:left="1134" w:header="720" w:footer="720" w:gutter="0"/>
          <w:pgNumType w:start="1"/>
          <w:cols w:space="720"/>
        </w:sect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Ana Lúcia Mariano Bento</w:t>
      </w: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O PAPEL DO GESTOR ESCOLAR NA ATUALIDADE</w:t>
      </w: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t-BR"/>
        </w:rPr>
      </w:pPr>
    </w:p>
    <w:p w:rsidR="00707D8D" w:rsidRDefault="00707D8D" w:rsidP="00707D8D">
      <w:pPr>
        <w:spacing w:after="0" w:line="240" w:lineRule="auto"/>
        <w:ind w:left="467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Projeto de pesquisa apresentado como requisito parcial para a conclusão do curso de Pedagogia, da Faculdade Aldete Maria Alves, como requisito parcial para obtenção do título de licenciatura em Pedagogia sob a orientação: ProfªMe Terezinha Severino da Silva</w:t>
      </w:r>
    </w:p>
    <w:p w:rsidR="00707D8D" w:rsidRDefault="00707D8D" w:rsidP="00707D8D">
      <w:pPr>
        <w:spacing w:after="0" w:line="240" w:lineRule="auto"/>
        <w:ind w:left="4678"/>
        <w:jc w:val="both"/>
        <w:rPr>
          <w:rFonts w:ascii="Times New Roman" w:hAnsi="Times New Roman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Iturama-MG</w:t>
      </w:r>
    </w:p>
    <w:p w:rsidR="00707D8D" w:rsidRDefault="00707D8D" w:rsidP="00707D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2015</w:t>
      </w:r>
    </w:p>
    <w:p w:rsidR="00707D8D" w:rsidRDefault="00707D8D" w:rsidP="00707D8D">
      <w:pPr>
        <w:tabs>
          <w:tab w:val="left" w:pos="38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 TEMA</w:t>
      </w:r>
    </w:p>
    <w:p w:rsidR="00707D8D" w:rsidRDefault="00707D8D" w:rsidP="00707D8D">
      <w:pPr>
        <w:tabs>
          <w:tab w:val="left" w:pos="38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Gestão </w:t>
      </w:r>
    </w:p>
    <w:p w:rsidR="00707D8D" w:rsidRDefault="00707D8D" w:rsidP="00707D8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 TÍTULO</w:t>
      </w:r>
    </w:p>
    <w:p w:rsidR="00707D8D" w:rsidRDefault="00707D8D" w:rsidP="00707D8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Papel do Gestor Escolar na Atualidade</w:t>
      </w:r>
    </w:p>
    <w:p w:rsidR="00707D8D" w:rsidRDefault="00707D8D" w:rsidP="00707D8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  PROBLEMA</w:t>
      </w:r>
    </w:p>
    <w:p w:rsidR="00707D8D" w:rsidRDefault="00707D8D" w:rsidP="00707D8D">
      <w:pPr>
        <w:tabs>
          <w:tab w:val="left" w:pos="3880"/>
        </w:tabs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Qual o papel do gestor escolar para a educação dos alunos na atualidade?</w:t>
      </w:r>
    </w:p>
    <w:p w:rsidR="00707D8D" w:rsidRDefault="00707D8D" w:rsidP="00707D8D">
      <w:pPr>
        <w:tabs>
          <w:tab w:val="left" w:pos="38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4  HIPÓTESE </w:t>
      </w:r>
    </w:p>
    <w:p w:rsidR="00707D8D" w:rsidRDefault="00707D8D" w:rsidP="00707D8D">
      <w:pPr>
        <w:tabs>
          <w:tab w:val="left" w:pos="3880"/>
        </w:tabs>
        <w:spacing w:after="0" w:line="36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  <w:lang w:eastAsia="pt-BR"/>
        </w:rPr>
      </w:pPr>
      <w:r>
        <w:rPr>
          <w:rFonts w:ascii="Times New Roman" w:hAnsi="Times New Roman"/>
          <w:sz w:val="24"/>
          <w:szCs w:val="24"/>
        </w:rPr>
        <w:t>O compromisso do gestor escolar é ter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uma visão global da escola, inclusive de sua comunidade escolar para que a aprendizagem seja desenvolvida de maneira coerente com o conhecimento que os alunos necessitam.  </w:t>
      </w:r>
    </w:p>
    <w:p w:rsidR="00707D8D" w:rsidRDefault="00707D8D" w:rsidP="00707D8D">
      <w:pPr>
        <w:tabs>
          <w:tab w:val="left" w:pos="388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  <w:lang w:eastAsia="pt-BR"/>
        </w:rPr>
      </w:pPr>
    </w:p>
    <w:p w:rsidR="00707D8D" w:rsidRDefault="00707D8D" w:rsidP="00707D8D">
      <w:pPr>
        <w:tabs>
          <w:tab w:val="left" w:pos="3880"/>
        </w:tabs>
        <w:spacing w:after="0" w:line="36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5 OBJETIVOS:</w:t>
      </w: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5.1 Objetivo Geral</w:t>
      </w: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</w:rPr>
        <w:t>Analisar</w:t>
      </w:r>
      <w:r w:rsidRPr="00707D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dentro dos parâmetros legais e </w:t>
      </w:r>
      <w:r>
        <w:rPr>
          <w:rFonts w:ascii="Times New Roman" w:hAnsi="Times New Roman"/>
        </w:rPr>
        <w:t>profissionais,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qual o verdadeiro papel do gestor escolar na atualidad</w:t>
      </w:r>
      <w:r>
        <w:rPr>
          <w:rFonts w:ascii="Times New Roman" w:hAnsi="Times New Roman"/>
        </w:rPr>
        <w:t>e,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com vistas a desenvolver um trabalho em benefício do educando.</w:t>
      </w: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5.2 Objetivos Específicos</w:t>
      </w:r>
    </w:p>
    <w:p w:rsidR="00707D8D" w:rsidRDefault="00707D8D" w:rsidP="00707D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Ampliar o conhecimento em relação ao trabalho do gestor educacional na atualidade;</w:t>
      </w:r>
    </w:p>
    <w:p w:rsidR="00707D8D" w:rsidRDefault="00707D8D" w:rsidP="00707D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Pesquisar sobre as legislações que dão amparo na gestão escolar;</w:t>
      </w:r>
    </w:p>
    <w:p w:rsidR="00707D8D" w:rsidRDefault="00707D8D" w:rsidP="00707D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Pesquisar como o gestor escolar pode desenvolver um trabalho de intercâmbio entre a escola e a comunidade.</w:t>
      </w:r>
    </w:p>
    <w:p w:rsidR="00707D8D" w:rsidRDefault="00707D8D" w:rsidP="00707D8D">
      <w:pPr>
        <w:tabs>
          <w:tab w:val="left" w:pos="38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 JUSTIFICATIVA</w:t>
      </w:r>
    </w:p>
    <w:p w:rsidR="00707D8D" w:rsidRDefault="00707D8D" w:rsidP="00707D8D">
      <w:pPr>
        <w:spacing w:after="0" w:line="36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presente pesquisa justifica-se por entender que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, na atualidade, 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profissionais de educação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</w:rPr>
        <w:t>inclusive o gestor escola</w:t>
      </w:r>
      <w:r w:rsidRPr="00707D8D">
        <w:rPr>
          <w:rFonts w:ascii="Times New Roman" w:hAnsi="Times New Roman"/>
        </w:rPr>
        <w:t>r,</w:t>
      </w:r>
      <w:r>
        <w:rPr>
          <w:rFonts w:ascii="Times New Roman" w:hAnsi="Times New Roman"/>
        </w:rPr>
        <w:t xml:space="preserve"> 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têm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um papel fundamental na educação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por isso não pode ficar parado no tradicionalismo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precisa se modernizar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No atual cenário educacional brasileiro, onde o papel da escola é</w:t>
      </w:r>
      <w:r w:rsidRPr="00707D8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principalmente, formar o aluno para o exercício da cidadania, há necessidade de o gestor escolar assumir a liderança nas ações administrativas, financeiras e pedagógicas em um processo democrático. Assim a escola poderá oferecer condições para o processo de desenvolvimento do ensino e aprendizagem.</w:t>
      </w:r>
    </w:p>
    <w:p w:rsidR="00707D8D" w:rsidRDefault="00707D8D" w:rsidP="00707D8D">
      <w:pPr>
        <w:shd w:val="clear" w:color="auto" w:fill="FFFFFF"/>
        <w:spacing w:before="240" w:line="360" w:lineRule="auto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707D8D" w:rsidRDefault="00707D8D" w:rsidP="00707D8D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7 METOLOLOGIA </w:t>
      </w:r>
    </w:p>
    <w:p w:rsidR="00707D8D" w:rsidRDefault="00707D8D" w:rsidP="00707D8D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hAnsi="Times New Roman"/>
        </w:rPr>
      </w:pP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que sejam alcançadas as respostas desejadas sobre o tema proposto far-se-á necessária </w:t>
      </w:r>
      <w:r w:rsidR="00987A4D"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busca através da pesquisa bibliográfica q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Gil (2008, p.71), “a principal vantagem da pesquisa bibliográfica reside no fato de permitir ao investigador a cobertura de uma gama de fenômeno muito mais ampla do que aquela que poderia pesquisar diariamente”. </w:t>
      </w: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aprofundamento ao tema nos proporcionará a possibilidade de identificar a importância do Gestor Escolar na atualidade.</w:t>
      </w: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Nesse sentido, a pesquisa bibliográfica permitirá conhecer os conceitos acerca das abordagens qualitativas, por meio de livros, revistas, periódicos, artigos científicos, legislações pertinentes.</w:t>
      </w: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Lakatos e Marconi (1999, p. 73) afirmam que a pesquisa bibliográfica:</w:t>
      </w:r>
    </w:p>
    <w:p w:rsidR="00707D8D" w:rsidRDefault="00707D8D" w:rsidP="00707D8D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Abrange toda bibliografia já tornada pública em relação ao tema em estudo, desde publicações avulsas, boletins, jornais, revistas, livros, pesquisas, monografias, teses, material cartográfico etc., até meios de comunicação orais: rádio, gravações em fita magnética e audiovisuais: filmes e televisão. Sua finalidade é colocar o pesquisador em contato direto com tudo que já foi escrito, dito ou filmado sobre determinado assunto, inclusive conferências seguidas de debates que tenham sido transcritos por alguma forma, quer publicadas</w:t>
      </w:r>
      <w:r w:rsidRPr="00707D8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quer gravadas.</w:t>
      </w: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hAnsi="Times New Roman"/>
        </w:rPr>
      </w:pP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360" w:lineRule="auto"/>
        <w:jc w:val="both"/>
        <w:rPr>
          <w:rFonts w:ascii="Times New Roman" w:hAnsi="Times New Roman"/>
          <w:b/>
          <w:bCs/>
          <w:sz w:val="30"/>
          <w:szCs w:val="30"/>
          <w:shd w:val="clear" w:color="auto" w:fill="00CC00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8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REFERENCIAL  TEÓRICO</w:t>
      </w:r>
    </w:p>
    <w:p w:rsidR="00707D8D" w:rsidRDefault="00707D8D" w:rsidP="00707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0"/>
          <w:szCs w:val="30"/>
          <w:shd w:val="clear" w:color="auto" w:fill="00CC00"/>
        </w:rPr>
        <w:t xml:space="preserve">    </w:t>
      </w:r>
    </w:p>
    <w:p w:rsidR="00707D8D" w:rsidRDefault="00707D8D" w:rsidP="00707D8D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00CC00"/>
          <w:lang w:eastAsia="pt-BR"/>
        </w:rPr>
      </w:pPr>
      <w:r>
        <w:rPr>
          <w:rFonts w:ascii="Times New Roman" w:hAnsi="Times New Roman"/>
          <w:sz w:val="24"/>
          <w:szCs w:val="24"/>
        </w:rPr>
        <w:t>A Lei de Diretrizes e Bases - LDB prevê em seus artigos 12, 13 e 14 o compromisso dos estabelecimentos de ensino com a elaboração e a execução da proposta pedagógica e a importância da participação dos docentes nessa construção</w:t>
      </w:r>
      <w:r>
        <w:rPr>
          <w:rFonts w:ascii="Times New Roman" w:hAnsi="Times New Roman"/>
        </w:rPr>
        <w:t>.  Em</w:t>
      </w:r>
      <w:r>
        <w:rPr>
          <w:rFonts w:ascii="Times New Roman" w:hAnsi="Times New Roman"/>
          <w:sz w:val="24"/>
          <w:szCs w:val="24"/>
        </w:rPr>
        <w:t xml:space="preserve"> seu artigo 14 diz que as normas de gestão democrática são definidas pelos sistemas de ensino.</w:t>
      </w: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00CC00"/>
          <w:lang w:eastAsia="pt-BR"/>
        </w:rPr>
      </w:pP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/>
          <w:lang w:eastAsia="pt-BR"/>
        </w:rPr>
        <w:t>As análises críticas sobre o sistema de ensino e sobre as políticas educacionais perdem a força analítica, se não tiverem como referência escola e as salas de aula, do mesmo modo que os profissionais de determinado estabelecimento escolar podem ter a eficácia de seu trabalho reduzida, se não tiverem uma visão de conjunto do sistema de ensino nacional e estadual. (...) A escola é a instância integrante do todo social, sendo afetada pela estrutura econômica e social, pelas decisões políticas e pelas relações de poder em vigor na sociedade (LIBÂNEO et al, 2003, p. 296).</w:t>
      </w: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707D8D" w:rsidRDefault="00707D8D" w:rsidP="00707D8D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Os profissionais da educação devem ter uma visão global do ensino porque a escola é a </w:t>
      </w:r>
      <w:r>
        <w:rPr>
          <w:rFonts w:ascii="Times New Roman" w:hAnsi="Times New Roman"/>
        </w:rPr>
        <w:t>instância</w:t>
      </w:r>
      <w:r>
        <w:rPr>
          <w:rFonts w:ascii="Times New Roman" w:hAnsi="Times New Roman"/>
          <w:sz w:val="24"/>
          <w:szCs w:val="24"/>
        </w:rPr>
        <w:t xml:space="preserve"> que integra </w:t>
      </w:r>
      <w:r w:rsidR="00987A4D">
        <w:rPr>
          <w:rFonts w:ascii="Times New Roman" w:hAnsi="Times New Roman"/>
          <w:sz w:val="24"/>
          <w:szCs w:val="24"/>
        </w:rPr>
        <w:t>toda a sociedade dentro de seus setores, social e econômica, dentro de uma decisão politica nas relações de poder que existem atualmente na sociedade</w:t>
      </w:r>
      <w:r>
        <w:rPr>
          <w:rFonts w:ascii="Times New Roman" w:hAnsi="Times New Roman"/>
          <w:sz w:val="24"/>
          <w:szCs w:val="24"/>
        </w:rPr>
        <w:t>.</w:t>
      </w: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As organizações escolares, apesar de integradas a um contexto cultural e social mais amplo, produzem uma cultura interna que lhes possibilita a construção de uma identidade única, expressa pelos valores, crenças e concepções que os membros da organização partilham (NÓVOA, 1995).</w:t>
      </w: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Segundo Paro (2002, p.154), uma gestão escolar comprometida com os interesses da comunidade reconhece a complexidade de sua área de atuação e considera que “se a racionalidade externa da escola depende de sua articulação com os interesses da classe trabalhadora, é preciso que estes </w:t>
      </w:r>
      <w:r>
        <w:rPr>
          <w:rFonts w:ascii="Times New Roman" w:hAnsi="Times New Roman"/>
        </w:rPr>
        <w:t>interesses sejam conhecidos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mais rigorosamente possível”. </w:t>
      </w: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“Assim, importa muito o nível de consciência crítica sobre a realidade social, por parte dos gestores escolares, para que sejam capazes de melhor atender às necessidades das classes trabalhadoras” (PARO 2002, p. 167).</w:t>
      </w:r>
    </w:p>
    <w:p w:rsidR="00707D8D" w:rsidRDefault="00707D8D" w:rsidP="00707D8D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707D8D" w:rsidRDefault="00987A4D" w:rsidP="00987A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</w:rPr>
        <w:lastRenderedPageBreak/>
        <w:t xml:space="preserve">    </w:t>
      </w:r>
      <w:r w:rsidR="00707D8D">
        <w:rPr>
          <w:rFonts w:ascii="Times New Roman" w:hAnsi="Times New Roman"/>
          <w:b/>
          <w:sz w:val="24"/>
          <w:szCs w:val="24"/>
        </w:rPr>
        <w:t xml:space="preserve"> CRONOGRAMA DE ATIVIDADES</w:t>
      </w:r>
    </w:p>
    <w:p w:rsidR="00707D8D" w:rsidRDefault="00707D8D" w:rsidP="00707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31"/>
        <w:gridCol w:w="3401"/>
        <w:gridCol w:w="1133"/>
        <w:gridCol w:w="991"/>
        <w:gridCol w:w="849"/>
        <w:gridCol w:w="997"/>
      </w:tblGrid>
      <w:tr w:rsidR="00707D8D" w:rsidTr="00707D8D">
        <w:trPr>
          <w:trHeight w:val="292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/ Períodos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Março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Abril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Maio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Junho</w:t>
            </w: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Tema/Problema/ Estrutura do Projeto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86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Hipótese/Levantamento de Literatura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Justificativa/ Objetivos/ Metodologia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Referencial Teórico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Cronograma do Projeto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Coreeção do Projeto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Preparação dos Slides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Coreeção dos Slides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Entrega do trabalho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07D8D" w:rsidTr="00707D8D">
        <w:trPr>
          <w:trHeight w:val="277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Bancas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07D8D" w:rsidRDefault="00707D8D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707D8D" w:rsidRDefault="00707D8D" w:rsidP="00707D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7D8D" w:rsidRDefault="00707D8D" w:rsidP="00707D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07D8D" w:rsidRDefault="00707D8D" w:rsidP="00707D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:rsidR="00707D8D" w:rsidRDefault="00707D8D" w:rsidP="00707D8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BRASIL. Lei 9394/96, de 20 de dezembro de 1996.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Lei de Diretrizes e Bases da Educação Nacional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Brasília, 1996.</w:t>
      </w: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GIL, A.C.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hn   nMétodos e Técnicas de pesquisa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Social, 6ed. São Paulo: </w:t>
      </w:r>
      <w:r w:rsidR="00987A4D">
        <w:rPr>
          <w:rFonts w:ascii="Times New Roman" w:eastAsia="Times New Roman" w:hAnsi="Times New Roman"/>
          <w:sz w:val="24"/>
          <w:szCs w:val="24"/>
          <w:lang w:eastAsia="pt-BR"/>
        </w:rPr>
        <w:t xml:space="preserve">Atlas,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2008</w:t>
      </w: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LAKATOS, E. M.; MARCONI, M. de A. </w:t>
      </w:r>
      <w:r>
        <w:rPr>
          <w:rFonts w:ascii="Times New Roman" w:eastAsia="Times New Roman" w:hAnsi="Times New Roman"/>
          <w:b/>
          <w:iCs/>
          <w:sz w:val="24"/>
          <w:szCs w:val="24"/>
          <w:lang w:eastAsia="pt-BR"/>
        </w:rPr>
        <w:t>Técnicas de pesquisa</w:t>
      </w:r>
      <w:r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4. ed. São Paulo: Atlas S. A., 1999.</w:t>
      </w: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LIBÂNEO, José Carlos.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Organização e Gestão Escolar. Teoria e Prática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 Goiânia: Alternativa, 2003.</w:t>
      </w: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NÓVOA, António.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As organizações escolares em análise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Lisboa: Dom Quixote, 1995.</w:t>
      </w: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07D8D" w:rsidRDefault="00707D8D" w:rsidP="00707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PARO, Vitor Henrique.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Administração Escolar. Introdução Crítica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8ª edição. São Paulo: Cortez Editora. 2002.</w:t>
      </w:r>
    </w:p>
    <w:p w:rsidR="005D2367" w:rsidRDefault="005D2367"/>
    <w:sectPr w:rsidR="005D2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D"/>
    <w:rsid w:val="005D2367"/>
    <w:rsid w:val="00602856"/>
    <w:rsid w:val="00707D8D"/>
    <w:rsid w:val="009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8D"/>
    <w:pPr>
      <w:suppressAutoHyphens/>
    </w:pPr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8D"/>
    <w:pPr>
      <w:suppressAutoHyphens/>
    </w:pPr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3</cp:revision>
  <dcterms:created xsi:type="dcterms:W3CDTF">2015-09-23T21:40:00Z</dcterms:created>
  <dcterms:modified xsi:type="dcterms:W3CDTF">2015-09-23T21:55:00Z</dcterms:modified>
</cp:coreProperties>
</file>