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B70" w:rsidRDefault="009A2B70" w:rsidP="009A2B70">
      <w:pPr>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O ENTENDIMENTO DO STF ACERCA DA UNIÃO HOMOAFETIVA À LUZ DA JUSTIÇA ARISTOTÉLICA</w:t>
      </w:r>
      <w:r>
        <w:rPr>
          <w:rStyle w:val="Refdenotaderodap"/>
          <w:rFonts w:ascii="Times New Roman" w:hAnsi="Times New Roman" w:cs="Times New Roman"/>
          <w:sz w:val="24"/>
          <w:szCs w:val="24"/>
        </w:rPr>
        <w:footnoteReference w:id="1"/>
      </w:r>
    </w:p>
    <w:p w:rsidR="009A2B70" w:rsidRDefault="009A2B70" w:rsidP="009A2B70">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Darla de Medeiros Gonçalves Gaspar</w:t>
      </w:r>
      <w:r>
        <w:rPr>
          <w:rStyle w:val="Refdenotaderodap"/>
          <w:rFonts w:ascii="Times New Roman" w:hAnsi="Times New Roman" w:cs="Times New Roman"/>
          <w:i/>
          <w:sz w:val="24"/>
          <w:szCs w:val="24"/>
        </w:rPr>
        <w:footnoteReference w:id="2"/>
      </w:r>
    </w:p>
    <w:p w:rsidR="009A2B70" w:rsidRDefault="009A2B70" w:rsidP="009A2B70">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Gabriel Rosendo</w:t>
      </w:r>
      <w:r>
        <w:rPr>
          <w:rStyle w:val="Refdenotaderodap"/>
          <w:rFonts w:ascii="Times New Roman" w:hAnsi="Times New Roman" w:cs="Times New Roman"/>
          <w:i/>
          <w:sz w:val="24"/>
          <w:szCs w:val="24"/>
        </w:rPr>
        <w:footnoteReference w:id="3"/>
      </w:r>
    </w:p>
    <w:p w:rsidR="009A2B70" w:rsidRDefault="009A2B70" w:rsidP="009A2B70">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Thales da Costa Lopes</w:t>
      </w:r>
      <w:r>
        <w:rPr>
          <w:rStyle w:val="Refdenotaderodap"/>
          <w:rFonts w:ascii="Times New Roman" w:hAnsi="Times New Roman" w:cs="Times New Roman"/>
          <w:i/>
          <w:sz w:val="24"/>
          <w:szCs w:val="24"/>
        </w:rPr>
        <w:footnoteReference w:id="4"/>
      </w:r>
    </w:p>
    <w:p w:rsidR="009A2B70" w:rsidRDefault="009A2B70" w:rsidP="009A2B70">
      <w:pPr>
        <w:spacing w:after="0" w:line="240" w:lineRule="auto"/>
        <w:ind w:left="3402"/>
        <w:jc w:val="both"/>
        <w:rPr>
          <w:rFonts w:ascii="Times New Roman" w:eastAsia="Calibri" w:hAnsi="Times New Roman" w:cs="Times New Roman"/>
          <w:bCs/>
          <w:sz w:val="20"/>
          <w:szCs w:val="20"/>
        </w:rPr>
      </w:pPr>
    </w:p>
    <w:p w:rsidR="009A2B70" w:rsidRDefault="009A2B70" w:rsidP="009A2B70">
      <w:pPr>
        <w:spacing w:after="0" w:line="240" w:lineRule="auto"/>
        <w:ind w:left="3402"/>
        <w:jc w:val="both"/>
        <w:rPr>
          <w:rFonts w:ascii="Times New Roman" w:eastAsia="Calibri" w:hAnsi="Times New Roman" w:cs="Times New Roman"/>
          <w:bCs/>
          <w:sz w:val="20"/>
          <w:szCs w:val="20"/>
        </w:rPr>
      </w:pPr>
    </w:p>
    <w:p w:rsidR="009A2B70" w:rsidRDefault="009A2B70" w:rsidP="009A2B70">
      <w:pPr>
        <w:spacing w:after="0" w:line="240" w:lineRule="auto"/>
        <w:ind w:left="3402"/>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Sumário: Introdução; </w:t>
      </w:r>
      <w:proofErr w:type="gramStart"/>
      <w:r>
        <w:rPr>
          <w:rFonts w:ascii="Times New Roman" w:eastAsia="Calibri" w:hAnsi="Times New Roman" w:cs="Times New Roman"/>
          <w:bCs/>
          <w:sz w:val="20"/>
          <w:szCs w:val="20"/>
        </w:rPr>
        <w:t>1</w:t>
      </w:r>
      <w:proofErr w:type="gramEnd"/>
      <w:r>
        <w:rPr>
          <w:rFonts w:ascii="Times New Roman" w:eastAsia="Calibri" w:hAnsi="Times New Roman" w:cs="Times New Roman"/>
          <w:bCs/>
          <w:sz w:val="20"/>
          <w:szCs w:val="20"/>
        </w:rPr>
        <w:t xml:space="preserve"> Aspectos gerais do pensamento de Aristóteles; 2 Justiça e ética segundo Aristóteles; 3 A justiça como valor jurídico; 4 A união homoafetiva e o Princípio da Igualdade; 5 O entendimento do STF acerca da união homoafetiva; 6 Considerações Finais e Referências. </w:t>
      </w:r>
    </w:p>
    <w:p w:rsidR="009A2B70" w:rsidRDefault="009A2B70" w:rsidP="009A2B70">
      <w:pPr>
        <w:rPr>
          <w:rFonts w:ascii="Times New Roman" w:hAnsi="Times New Roman" w:cs="Times New Roman"/>
          <w:sz w:val="24"/>
          <w:szCs w:val="24"/>
        </w:rPr>
      </w:pPr>
    </w:p>
    <w:p w:rsidR="009A2B70" w:rsidRDefault="009A2B70" w:rsidP="009A2B70">
      <w:pPr>
        <w:jc w:val="center"/>
        <w:rPr>
          <w:rFonts w:ascii="Times New Roman" w:hAnsi="Times New Roman" w:cs="Times New Roman"/>
          <w:sz w:val="24"/>
          <w:szCs w:val="24"/>
        </w:rPr>
      </w:pPr>
      <w:r>
        <w:rPr>
          <w:rFonts w:ascii="Times New Roman" w:hAnsi="Times New Roman" w:cs="Times New Roman"/>
          <w:sz w:val="24"/>
          <w:szCs w:val="24"/>
        </w:rPr>
        <w:t>RESUMO</w:t>
      </w:r>
    </w:p>
    <w:p w:rsidR="009A2B70" w:rsidRDefault="009A2B70" w:rsidP="009A2B70">
      <w:pPr>
        <w:spacing w:line="240" w:lineRule="auto"/>
        <w:jc w:val="both"/>
        <w:rPr>
          <w:rFonts w:ascii="Times New Roman" w:hAnsi="Times New Roman" w:cs="Times New Roman"/>
          <w:sz w:val="24"/>
          <w:szCs w:val="24"/>
        </w:rPr>
      </w:pPr>
      <w:r>
        <w:rPr>
          <w:rFonts w:ascii="Times New Roman" w:hAnsi="Times New Roman" w:cs="Times New Roman"/>
          <w:sz w:val="24"/>
          <w:szCs w:val="24"/>
        </w:rPr>
        <w:t>O pensamento filosófico de Aristóteles é reconhecido como um dos mais importantes formadores das acepções de justiça do mundo moderno. A partir desse pensamento, pode-se fazer uma análise do ordenamento jurídico presente. As concepções acerca da igualdade e dos valores morais e éticos embasam a justiça defendida por Aristóteles. Assim, a união homoafetiva pode ser analisada a partir desse ponto de vista, fundamentada nas decisões jurisprudenciais e no entendimento do Supremo Tribunal de Justiça brasileiro.</w:t>
      </w:r>
    </w:p>
    <w:p w:rsidR="00103553" w:rsidRDefault="009A2B70" w:rsidP="00103553">
      <w:pPr>
        <w:jc w:val="both"/>
        <w:rPr>
          <w:rFonts w:ascii="Times New Roman" w:hAnsi="Times New Roman" w:cs="Times New Roman"/>
          <w:sz w:val="24"/>
          <w:szCs w:val="24"/>
        </w:rPr>
      </w:pPr>
      <w:r>
        <w:rPr>
          <w:rFonts w:ascii="Times New Roman" w:hAnsi="Times New Roman" w:cs="Times New Roman"/>
          <w:sz w:val="24"/>
          <w:szCs w:val="24"/>
        </w:rPr>
        <w:t>Palavras-chave: Aristóteles – Justiça – União homoafetiva – STF.</w:t>
      </w:r>
    </w:p>
    <w:p w:rsidR="00103553" w:rsidRDefault="00103553" w:rsidP="00103553">
      <w:pPr>
        <w:spacing w:after="0" w:line="240" w:lineRule="auto"/>
        <w:jc w:val="both"/>
        <w:rPr>
          <w:rFonts w:ascii="Times New Roman" w:hAnsi="Times New Roman" w:cs="Times New Roman"/>
          <w:sz w:val="24"/>
          <w:szCs w:val="24"/>
        </w:rPr>
      </w:pPr>
    </w:p>
    <w:p w:rsidR="001B7799" w:rsidRDefault="001B7799" w:rsidP="001B7799">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0005FD">
        <w:rPr>
          <w:rFonts w:ascii="Times New Roman" w:eastAsia="Calibri" w:hAnsi="Times New Roman" w:cs="Times New Roman"/>
          <w:b/>
          <w:bCs/>
          <w:color w:val="000000"/>
          <w:sz w:val="24"/>
          <w:szCs w:val="24"/>
        </w:rPr>
        <w:t>INTRODUÇÃO</w:t>
      </w:r>
    </w:p>
    <w:p w:rsidR="001B7799" w:rsidRDefault="001B7799" w:rsidP="001B7799">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9A2B70" w:rsidRDefault="009A2B70" w:rsidP="009A2B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ordenamento jurídico brasileiro deve estar todo adequado à Constituição Federal de 1988, a qual apresenta dentre seus princípios basilares, a Igualdade. A partir desse preceito, procura-se analisar esse ordenamento a partir da doutrina aristotélica da justiça. Para isso, deve-se inicialmente construir conceitos acerca do que é justo segundo Aristóteles e posteriormente, avaliar se esse ordenamento, especificamente o entendimento do Supremo Tribunal Federal acerca da união homoafetiva encontra-se adequado aos parâmetros da justiça aristotélica.</w:t>
      </w:r>
    </w:p>
    <w:p w:rsidR="009A2B70" w:rsidRDefault="009A2B70" w:rsidP="009A2B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presente trabalho busca analisar primeiramente, as concepções acerca da justiça segundo Aristóteles, um dos mais importantes filósofos gregos e um dos maiores formadores do pensamento moderno ocidental. Tendo em vista que a evolução das ideias sociais sofreu influência direta desse pensamento filosófico, baseado na moral e ética aristotélicas. Entretanto, Aristóteles desenvolveu conceitos nos mais diversos campos da vida social, inclusive da justiça. A partir do pensamento de Aristóteles, busca-se compreender se o </w:t>
      </w:r>
      <w:r>
        <w:rPr>
          <w:rFonts w:ascii="Times New Roman" w:hAnsi="Times New Roman" w:cs="Times New Roman"/>
          <w:sz w:val="24"/>
          <w:szCs w:val="24"/>
        </w:rPr>
        <w:lastRenderedPageBreak/>
        <w:t>ordenamento jurídico, especificamente o entendimento da Corte Suprema da justiça brasileira acerca da união homoafetiva. Sendo esse um assunto tão abordado na atualidade e de suma importância para a consolidação dos direitos humanos fundamentais, imprescindíveis para a dignidade da pessoa humana.</w:t>
      </w:r>
    </w:p>
    <w:p w:rsidR="009A2B70" w:rsidRDefault="009A2B70" w:rsidP="009A2B70">
      <w:pPr>
        <w:spacing w:after="0" w:line="240" w:lineRule="auto"/>
        <w:ind w:firstLine="1134"/>
        <w:jc w:val="both"/>
        <w:rPr>
          <w:rFonts w:ascii="Times New Roman" w:hAnsi="Times New Roman" w:cs="Times New Roman"/>
          <w:sz w:val="24"/>
          <w:szCs w:val="24"/>
        </w:rPr>
      </w:pPr>
    </w:p>
    <w:p w:rsidR="009A2B70" w:rsidRDefault="009A2B70" w:rsidP="009A2B70">
      <w:pPr>
        <w:spacing w:after="0" w:line="360" w:lineRule="auto"/>
        <w:jc w:val="both"/>
        <w:rPr>
          <w:rFonts w:ascii="Times New Roman" w:hAnsi="Times New Roman" w:cs="Times New Roman"/>
          <w:b/>
          <w:bCs/>
          <w:sz w:val="24"/>
          <w:szCs w:val="24"/>
        </w:rPr>
      </w:pPr>
      <w:proofErr w:type="gramStart"/>
      <w:r w:rsidRPr="009A2B70">
        <w:rPr>
          <w:rFonts w:ascii="Times New Roman" w:hAnsi="Times New Roman" w:cs="Times New Roman"/>
          <w:b/>
          <w:bCs/>
          <w:sz w:val="24"/>
          <w:szCs w:val="24"/>
        </w:rPr>
        <w:t>1</w:t>
      </w:r>
      <w:proofErr w:type="gramEnd"/>
      <w:r w:rsidRPr="009A2B70">
        <w:rPr>
          <w:rFonts w:ascii="Times New Roman" w:hAnsi="Times New Roman" w:cs="Times New Roman"/>
          <w:b/>
          <w:bCs/>
          <w:sz w:val="24"/>
          <w:szCs w:val="24"/>
        </w:rPr>
        <w:t xml:space="preserve"> ASPECTOS GERAIS DO PENSAMENTO DE ARISTÓTELES</w:t>
      </w:r>
    </w:p>
    <w:p w:rsidR="009A2B70" w:rsidRDefault="009A2B70" w:rsidP="009A2B70">
      <w:pPr>
        <w:spacing w:after="0" w:line="240" w:lineRule="auto"/>
        <w:jc w:val="both"/>
        <w:rPr>
          <w:rFonts w:ascii="Times New Roman" w:hAnsi="Times New Roman" w:cs="Times New Roman"/>
          <w:b/>
          <w:bCs/>
          <w:sz w:val="24"/>
          <w:szCs w:val="24"/>
        </w:rPr>
      </w:pPr>
    </w:p>
    <w:p w:rsidR="009A2B70" w:rsidRDefault="009A2B70" w:rsidP="009A2B7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pensamento aristotélico discorre sobre os mais diversos assuntos, como amizade, justiça, virtude, adequação legislativa, adequada regência da </w:t>
      </w:r>
      <w:r>
        <w:rPr>
          <w:rFonts w:ascii="Times New Roman" w:hAnsi="Times New Roman" w:cs="Times New Roman"/>
          <w:i/>
          <w:sz w:val="24"/>
          <w:szCs w:val="24"/>
        </w:rPr>
        <w:t>pólis</w:t>
      </w:r>
      <w:r>
        <w:rPr>
          <w:rFonts w:ascii="Times New Roman" w:hAnsi="Times New Roman" w:cs="Times New Roman"/>
          <w:sz w:val="24"/>
          <w:szCs w:val="24"/>
        </w:rPr>
        <w:t xml:space="preserve">, entre outros. (BITTAR, 2005, p. 194).  Nota-se que são assuntos que embora tenha sido produzido na antiguidade, ainda são pertinentes à realidade moderna. Pois se trata de aspectos pertinentes ao homem e à sociedade. Segundo Bittar (2005, p. 195), </w:t>
      </w:r>
    </w:p>
    <w:p w:rsidR="009A2B70" w:rsidRDefault="008477BC" w:rsidP="009A2B70">
      <w:pPr>
        <w:ind w:left="2268"/>
        <w:jc w:val="both"/>
        <w:rPr>
          <w:rFonts w:ascii="Times New Roman" w:hAnsi="Times New Roman" w:cs="Times New Roman"/>
          <w:sz w:val="20"/>
          <w:szCs w:val="20"/>
        </w:rPr>
      </w:pPr>
      <w:r>
        <w:rPr>
          <w:rFonts w:ascii="Times New Roman" w:hAnsi="Times New Roman" w:cs="Times New Roman"/>
          <w:sz w:val="20"/>
          <w:szCs w:val="20"/>
        </w:rPr>
        <w:t>A</w:t>
      </w:r>
      <w:r w:rsidR="009A2B70">
        <w:rPr>
          <w:rFonts w:ascii="Times New Roman" w:hAnsi="Times New Roman" w:cs="Times New Roman"/>
          <w:sz w:val="20"/>
          <w:szCs w:val="20"/>
        </w:rPr>
        <w:t xml:space="preserve"> doutrina ética de Aristóteles centraliza a atenção e a preocupação de uma filosofia direcionada para uma atuação prático-social. [...]. Nessa perspectiva, indivíduo e coletividade não são extremos ou pólos antagônicos e repulsivos, mas corpos complementares e reciprocamente dependentes na realização dos magnos valores do indivíduo (</w:t>
      </w:r>
      <w:r w:rsidR="009A2B70">
        <w:rPr>
          <w:rFonts w:ascii="Times New Roman" w:hAnsi="Times New Roman" w:cs="Times New Roman"/>
          <w:i/>
          <w:sz w:val="20"/>
          <w:szCs w:val="20"/>
        </w:rPr>
        <w:t>eudaimonía</w:t>
      </w:r>
      <w:r w:rsidR="009A2B70">
        <w:rPr>
          <w:rFonts w:ascii="Times New Roman" w:hAnsi="Times New Roman" w:cs="Times New Roman"/>
          <w:sz w:val="20"/>
          <w:szCs w:val="20"/>
        </w:rPr>
        <w:t>) e da coletividade (</w:t>
      </w:r>
      <w:r w:rsidR="009A2B70">
        <w:rPr>
          <w:rFonts w:ascii="Times New Roman" w:hAnsi="Times New Roman" w:cs="Times New Roman"/>
          <w:i/>
          <w:sz w:val="20"/>
          <w:szCs w:val="20"/>
        </w:rPr>
        <w:t>télos</w:t>
      </w:r>
      <w:r w:rsidR="009A2B70">
        <w:rPr>
          <w:rFonts w:ascii="Times New Roman" w:hAnsi="Times New Roman" w:cs="Times New Roman"/>
          <w:sz w:val="20"/>
          <w:szCs w:val="20"/>
        </w:rPr>
        <w:t>).</w:t>
      </w:r>
    </w:p>
    <w:p w:rsidR="007A57D7" w:rsidRDefault="00103553" w:rsidP="007A57D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9A2B70">
        <w:rPr>
          <w:rFonts w:ascii="Times New Roman" w:hAnsi="Times New Roman" w:cs="Times New Roman"/>
          <w:sz w:val="24"/>
          <w:szCs w:val="24"/>
        </w:rPr>
        <w:t xml:space="preserve"> doutrina desenvolvida por Aristóteles </w:t>
      </w:r>
      <w:r>
        <w:rPr>
          <w:rFonts w:ascii="Times New Roman" w:hAnsi="Times New Roman" w:cs="Times New Roman"/>
          <w:sz w:val="24"/>
          <w:szCs w:val="24"/>
        </w:rPr>
        <w:t xml:space="preserve">pode ser utilizada </w:t>
      </w:r>
      <w:r w:rsidR="009A2B70">
        <w:rPr>
          <w:rFonts w:ascii="Times New Roman" w:hAnsi="Times New Roman" w:cs="Times New Roman"/>
          <w:sz w:val="24"/>
          <w:szCs w:val="24"/>
        </w:rPr>
        <w:t xml:space="preserve">como base para o entendimento e solução de conflitos existentes na sociedade moderna. </w:t>
      </w:r>
      <w:r w:rsidR="007A57D7">
        <w:rPr>
          <w:rFonts w:ascii="Times New Roman" w:hAnsi="Times New Roman" w:cs="Times New Roman"/>
          <w:sz w:val="24"/>
          <w:szCs w:val="24"/>
        </w:rPr>
        <w:t xml:space="preserve">A ética, por excelência, é um assunto bastante abordado quando se fala em Aristóteles, tendo em vista que este filósofo tornou-se referência nessa temática. Segundo Bittar (2005, p. 194), “a complexidade do conteúdo da reflexão ética, [...], prevê a existência de várias obras dedicadas ao mesmo capítulo do saber aristotélico que autorizam o que se disse”. </w:t>
      </w:r>
    </w:p>
    <w:p w:rsidR="007A57D7" w:rsidRDefault="007A57D7" w:rsidP="007A57D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Atualmente, tem-se o conhecimento de três obras de períodos diversos, essas obras são: </w:t>
      </w:r>
      <w:r w:rsidRPr="007A57D7">
        <w:rPr>
          <w:rFonts w:ascii="Times New Roman" w:hAnsi="Times New Roman" w:cs="Times New Roman"/>
          <w:i/>
          <w:sz w:val="24"/>
          <w:szCs w:val="24"/>
        </w:rPr>
        <w:t xml:space="preserve">Magna Moralia, Ethica Eudemia </w:t>
      </w:r>
      <w:r w:rsidRPr="007A57D7">
        <w:rPr>
          <w:rFonts w:ascii="Times New Roman" w:hAnsi="Times New Roman" w:cs="Times New Roman"/>
          <w:sz w:val="24"/>
          <w:szCs w:val="24"/>
        </w:rPr>
        <w:t>e</w:t>
      </w:r>
      <w:r w:rsidRPr="007A57D7">
        <w:rPr>
          <w:rFonts w:ascii="Times New Roman" w:hAnsi="Times New Roman" w:cs="Times New Roman"/>
          <w:i/>
          <w:sz w:val="24"/>
          <w:szCs w:val="24"/>
        </w:rPr>
        <w:t xml:space="preserve"> Ethica Nicomachea</w:t>
      </w:r>
      <w:r>
        <w:rPr>
          <w:rFonts w:ascii="Times New Roman" w:hAnsi="Times New Roman" w:cs="Times New Roman"/>
          <w:sz w:val="24"/>
          <w:szCs w:val="24"/>
        </w:rPr>
        <w:t xml:space="preserve"> (BITTAR, 2005, p. 194). Tais obras, segundo Bittar (2005, p. 194)</w:t>
      </w:r>
      <w:proofErr w:type="gramStart"/>
      <w:r>
        <w:rPr>
          <w:rFonts w:ascii="Times New Roman" w:hAnsi="Times New Roman" w:cs="Times New Roman"/>
          <w:sz w:val="24"/>
          <w:szCs w:val="24"/>
        </w:rPr>
        <w:t>, apresentam</w:t>
      </w:r>
      <w:proofErr w:type="gramEnd"/>
      <w:r>
        <w:rPr>
          <w:rFonts w:ascii="Times New Roman" w:hAnsi="Times New Roman" w:cs="Times New Roman"/>
          <w:sz w:val="24"/>
          <w:szCs w:val="24"/>
        </w:rPr>
        <w:t xml:space="preserve"> características diversas, quanto à maturidade dos escritos</w:t>
      </w:r>
      <w:r w:rsidR="008F38E7">
        <w:rPr>
          <w:rFonts w:ascii="Times New Roman" w:hAnsi="Times New Roman" w:cs="Times New Roman"/>
          <w:sz w:val="24"/>
          <w:szCs w:val="24"/>
        </w:rPr>
        <w:t xml:space="preserve">. </w:t>
      </w:r>
    </w:p>
    <w:p w:rsidR="008F38E7" w:rsidRDefault="008F38E7" w:rsidP="007A57D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Bittar (2005, p. 195), “a ética de maturidade, [...], pressupõe preexistentes amplos estudos exclusivamente dedicados à penetração na seara dos saberes biológico, psicológico, físico etc”. Ocorre que a “excelência do tratamento dado ao problema ético parece conduzir, inclusive, a padrões estéticos de referência”. (BITTAR, 2005, p. 195).</w:t>
      </w:r>
    </w:p>
    <w:p w:rsidR="008F38E7" w:rsidRDefault="008F38E7" w:rsidP="007A57D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Nas palavras do autor, </w:t>
      </w:r>
    </w:p>
    <w:p w:rsidR="008F38E7" w:rsidRDefault="008F38E7" w:rsidP="006C4736">
      <w:pPr>
        <w:spacing w:after="0" w:line="240" w:lineRule="auto"/>
        <w:ind w:left="2268"/>
        <w:jc w:val="both"/>
        <w:rPr>
          <w:rFonts w:ascii="Times New Roman" w:hAnsi="Times New Roman" w:cs="Times New Roman"/>
          <w:sz w:val="20"/>
          <w:szCs w:val="20"/>
        </w:rPr>
      </w:pPr>
      <w:r w:rsidRPr="006C4736">
        <w:rPr>
          <w:rFonts w:ascii="Times New Roman" w:hAnsi="Times New Roman" w:cs="Times New Roman"/>
          <w:sz w:val="20"/>
          <w:szCs w:val="20"/>
        </w:rPr>
        <w:t>A perfeição ética como meio termo (</w:t>
      </w:r>
      <w:r w:rsidRPr="006C4736">
        <w:rPr>
          <w:rFonts w:ascii="Times New Roman" w:hAnsi="Times New Roman" w:cs="Times New Roman"/>
          <w:i/>
          <w:sz w:val="20"/>
          <w:szCs w:val="20"/>
        </w:rPr>
        <w:t>mesótes</w:t>
      </w:r>
      <w:r w:rsidRPr="006C4736">
        <w:rPr>
          <w:rFonts w:ascii="Times New Roman" w:hAnsi="Times New Roman" w:cs="Times New Roman"/>
          <w:sz w:val="20"/>
          <w:szCs w:val="20"/>
        </w:rPr>
        <w:t>) entre excesso e defeito, o exercício da reta razão (</w:t>
      </w:r>
      <w:r w:rsidRPr="006C4736">
        <w:rPr>
          <w:rFonts w:ascii="Times New Roman" w:hAnsi="Times New Roman" w:cs="Times New Roman"/>
          <w:i/>
          <w:sz w:val="20"/>
          <w:szCs w:val="20"/>
        </w:rPr>
        <w:t>orthòs logos</w:t>
      </w:r>
      <w:r w:rsidRPr="006C4736">
        <w:rPr>
          <w:rFonts w:ascii="Times New Roman" w:hAnsi="Times New Roman" w:cs="Times New Roman"/>
          <w:sz w:val="20"/>
          <w:szCs w:val="20"/>
        </w:rPr>
        <w:t>) para a deliberação racional, o alcance da felicidade (eudaimonía) pela conjugação de fatores anímicos da prudência (</w:t>
      </w:r>
      <w:r w:rsidRPr="006C4736">
        <w:rPr>
          <w:rFonts w:ascii="Times New Roman" w:hAnsi="Times New Roman" w:cs="Times New Roman"/>
          <w:i/>
          <w:sz w:val="20"/>
          <w:szCs w:val="20"/>
        </w:rPr>
        <w:t>phrónesis</w:t>
      </w:r>
      <w:r w:rsidRPr="006C4736">
        <w:rPr>
          <w:rFonts w:ascii="Times New Roman" w:hAnsi="Times New Roman" w:cs="Times New Roman"/>
          <w:sz w:val="20"/>
          <w:szCs w:val="20"/>
        </w:rPr>
        <w:t>) e da sabedoria (</w:t>
      </w:r>
      <w:r w:rsidRPr="006C4736">
        <w:rPr>
          <w:rFonts w:ascii="Times New Roman" w:hAnsi="Times New Roman" w:cs="Times New Roman"/>
          <w:i/>
          <w:sz w:val="20"/>
          <w:szCs w:val="20"/>
        </w:rPr>
        <w:t>sophía</w:t>
      </w:r>
      <w:r w:rsidRPr="006C4736">
        <w:rPr>
          <w:rFonts w:ascii="Times New Roman" w:hAnsi="Times New Roman" w:cs="Times New Roman"/>
          <w:sz w:val="20"/>
          <w:szCs w:val="20"/>
        </w:rPr>
        <w:t xml:space="preserve">), entre outros. Daí a terapêutica do corpo, do que se incumbe </w:t>
      </w:r>
      <w:proofErr w:type="gramStart"/>
      <w:r w:rsidRPr="006C4736">
        <w:rPr>
          <w:rFonts w:ascii="Times New Roman" w:hAnsi="Times New Roman" w:cs="Times New Roman"/>
          <w:sz w:val="20"/>
          <w:szCs w:val="20"/>
        </w:rPr>
        <w:t>a</w:t>
      </w:r>
      <w:proofErr w:type="gramEnd"/>
      <w:r w:rsidRPr="006C4736">
        <w:rPr>
          <w:rFonts w:ascii="Times New Roman" w:hAnsi="Times New Roman" w:cs="Times New Roman"/>
          <w:sz w:val="20"/>
          <w:szCs w:val="20"/>
        </w:rPr>
        <w:t xml:space="preserve"> </w:t>
      </w:r>
      <w:r w:rsidRPr="006C4736">
        <w:rPr>
          <w:rFonts w:ascii="Times New Roman" w:hAnsi="Times New Roman" w:cs="Times New Roman"/>
          <w:sz w:val="20"/>
          <w:szCs w:val="20"/>
        </w:rPr>
        <w:lastRenderedPageBreak/>
        <w:t>medicina, ser tomada como parâmetro para a terapêutica da alma.</w:t>
      </w:r>
      <w:r w:rsidR="006C4736">
        <w:rPr>
          <w:rFonts w:ascii="Times New Roman" w:hAnsi="Times New Roman" w:cs="Times New Roman"/>
          <w:sz w:val="20"/>
          <w:szCs w:val="20"/>
        </w:rPr>
        <w:t xml:space="preserve"> (BITTAR, 2005, p. 195).</w:t>
      </w:r>
    </w:p>
    <w:p w:rsidR="006C4736" w:rsidRDefault="006C4736" w:rsidP="006C4736">
      <w:pPr>
        <w:spacing w:after="0" w:line="240" w:lineRule="auto"/>
        <w:ind w:left="2268"/>
        <w:jc w:val="both"/>
        <w:rPr>
          <w:rFonts w:ascii="Times New Roman" w:hAnsi="Times New Roman" w:cs="Times New Roman"/>
          <w:sz w:val="20"/>
          <w:szCs w:val="20"/>
        </w:rPr>
      </w:pPr>
    </w:p>
    <w:p w:rsidR="006C4736" w:rsidRDefault="006C4736" w:rsidP="006C473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Isso pressupõe que Aristóteles se ocupou de investigar a natureza humana tanto em suas ações morais e éticas, quanto em sua em sua natureza material, trazendo para os mais diversos ramos do estudo, uma concepção própria à procura de respostas dentro do pensam</w:t>
      </w:r>
      <w:r w:rsidR="000251E7">
        <w:rPr>
          <w:rFonts w:ascii="Times New Roman" w:hAnsi="Times New Roman" w:cs="Times New Roman"/>
          <w:sz w:val="24"/>
          <w:szCs w:val="24"/>
        </w:rPr>
        <w:t>ento filosófico</w:t>
      </w:r>
      <w:r>
        <w:rPr>
          <w:rFonts w:ascii="Times New Roman" w:hAnsi="Times New Roman" w:cs="Times New Roman"/>
          <w:sz w:val="24"/>
          <w:szCs w:val="24"/>
        </w:rPr>
        <w:t>.</w:t>
      </w:r>
    </w:p>
    <w:p w:rsidR="000251E7" w:rsidRDefault="000251E7" w:rsidP="006C473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ação humana para Aristóteles deve estar concatenada à ação moral, embora separadas, a ação humana pode ser entendida como uma manifestação do pensamento moral. Assim, se um indivíduo tem concepções morais e éticas bem definidas e voltadas para a prática do bem, suas atitudes irão corresponder ao seu pensamento. Isso contribui para a vida social, se em cada indivíduo for construída essa base moral. </w:t>
      </w:r>
      <w:r w:rsidR="00D337C0">
        <w:rPr>
          <w:rFonts w:ascii="Times New Roman" w:hAnsi="Times New Roman" w:cs="Times New Roman"/>
          <w:sz w:val="24"/>
          <w:szCs w:val="24"/>
        </w:rPr>
        <w:t>Nos termos do autor,</w:t>
      </w:r>
    </w:p>
    <w:p w:rsidR="00D337C0" w:rsidRDefault="00D337C0" w:rsidP="00D337C0">
      <w:pPr>
        <w:spacing w:after="0" w:line="240" w:lineRule="auto"/>
        <w:ind w:left="2268"/>
        <w:jc w:val="both"/>
        <w:rPr>
          <w:rFonts w:ascii="Times New Roman" w:hAnsi="Times New Roman" w:cs="Times New Roman"/>
          <w:sz w:val="20"/>
          <w:szCs w:val="20"/>
        </w:rPr>
      </w:pPr>
      <w:r w:rsidRPr="00D337C0">
        <w:rPr>
          <w:rFonts w:ascii="Times New Roman" w:hAnsi="Times New Roman" w:cs="Times New Roman"/>
          <w:sz w:val="20"/>
          <w:szCs w:val="20"/>
        </w:rPr>
        <w:t xml:space="preserve">Se a toda técnica, a todo método, a todo raciocínio e a toda ciência corresponde a um fim, também à ação corresponderá a um fim. Por aqui </w:t>
      </w:r>
      <w:proofErr w:type="gramStart"/>
      <w:r w:rsidRPr="00D337C0">
        <w:rPr>
          <w:rFonts w:ascii="Times New Roman" w:hAnsi="Times New Roman" w:cs="Times New Roman"/>
          <w:sz w:val="20"/>
          <w:szCs w:val="20"/>
        </w:rPr>
        <w:t>vê-se</w:t>
      </w:r>
      <w:proofErr w:type="gramEnd"/>
      <w:r w:rsidRPr="00D337C0">
        <w:rPr>
          <w:rFonts w:ascii="Times New Roman" w:hAnsi="Times New Roman" w:cs="Times New Roman"/>
          <w:sz w:val="20"/>
          <w:szCs w:val="20"/>
        </w:rPr>
        <w:t xml:space="preserve"> ser o teleologismo a noção fundante de toda a arquitetura ontológica para Aristóteles. Isso porque se a tudo corresponde um fim, nada há que se encontre desprovido de um fim. Porém, tudo é decorrente do fato de que a natureza (phýsis) é ordem, e é fim, e como tal, tudo está perpassado de ordem e, portanto, de natureza (phýsis).</w:t>
      </w:r>
      <w:r w:rsidR="003D7DCB">
        <w:rPr>
          <w:rFonts w:ascii="Times New Roman" w:hAnsi="Times New Roman" w:cs="Times New Roman"/>
          <w:sz w:val="20"/>
          <w:szCs w:val="20"/>
        </w:rPr>
        <w:t xml:space="preserve"> (BITTAR, 2005, p. 197).</w:t>
      </w:r>
    </w:p>
    <w:p w:rsidR="00D337C0" w:rsidRDefault="00D337C0" w:rsidP="00D337C0">
      <w:pPr>
        <w:spacing w:after="0" w:line="240" w:lineRule="auto"/>
        <w:ind w:left="2268"/>
        <w:jc w:val="both"/>
        <w:rPr>
          <w:rFonts w:ascii="Times New Roman" w:hAnsi="Times New Roman" w:cs="Times New Roman"/>
          <w:sz w:val="20"/>
          <w:szCs w:val="20"/>
        </w:rPr>
      </w:pPr>
    </w:p>
    <w:p w:rsidR="00D337C0" w:rsidRDefault="00D337C0" w:rsidP="00D337C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é necessário saber qual a finalidade de cada ação, de cada técnica, de cada método, de cada raciocínio e de cada ciência. Segundo o pensamento aristotélico, há uma “dissintonia entre o que dizem os homens comuns do povo – que, aliás, se equiparam aos escravos </w:t>
      </w:r>
      <w:r w:rsidR="003D7DCB">
        <w:rPr>
          <w:rFonts w:ascii="Times New Roman" w:hAnsi="Times New Roman" w:cs="Times New Roman"/>
          <w:sz w:val="24"/>
          <w:szCs w:val="24"/>
        </w:rPr>
        <w:t>em sua opinião –, o que dizem os homens de vida prática e o que dizem sábios e filósofos”. (BITTAR, 2005, p. 199).</w:t>
      </w:r>
    </w:p>
    <w:p w:rsidR="003D7DCB" w:rsidRDefault="003D7DCB" w:rsidP="00D337C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Bittar (2005, p. 200), de acordo com o pensamento aristotélico, existem três tipos de vidas (</w:t>
      </w:r>
      <w:r w:rsidRPr="003D7DCB">
        <w:rPr>
          <w:rFonts w:ascii="Times New Roman" w:hAnsi="Times New Roman" w:cs="Times New Roman"/>
          <w:i/>
          <w:sz w:val="24"/>
          <w:szCs w:val="24"/>
        </w:rPr>
        <w:t>bíoi</w:t>
      </w:r>
      <w:r>
        <w:rPr>
          <w:rFonts w:ascii="Times New Roman" w:hAnsi="Times New Roman" w:cs="Times New Roman"/>
          <w:sz w:val="24"/>
          <w:szCs w:val="24"/>
        </w:rPr>
        <w:t>), dentre as quais, a) a vida voltada ao gozo dos prazeres materiais, que em nada diferencia o homem do animal; b) a vida cuja finalidade é política, pois o homem procura o reconhecimento de suas ações (</w:t>
      </w:r>
      <w:r w:rsidRPr="003D7DCB">
        <w:rPr>
          <w:rFonts w:ascii="Times New Roman" w:hAnsi="Times New Roman" w:cs="Times New Roman"/>
          <w:i/>
          <w:sz w:val="24"/>
          <w:szCs w:val="24"/>
        </w:rPr>
        <w:t>politikós</w:t>
      </w:r>
      <w:r>
        <w:rPr>
          <w:rFonts w:ascii="Times New Roman" w:hAnsi="Times New Roman" w:cs="Times New Roman"/>
          <w:sz w:val="24"/>
          <w:szCs w:val="24"/>
        </w:rPr>
        <w:t>); e c) a vida contemplativa (</w:t>
      </w:r>
      <w:r w:rsidRPr="003D7DCB">
        <w:rPr>
          <w:rFonts w:ascii="Times New Roman" w:hAnsi="Times New Roman" w:cs="Times New Roman"/>
          <w:i/>
          <w:sz w:val="24"/>
          <w:szCs w:val="24"/>
        </w:rPr>
        <w:t>theorétikós</w:t>
      </w:r>
      <w:r>
        <w:rPr>
          <w:rFonts w:ascii="Times New Roman" w:hAnsi="Times New Roman" w:cs="Times New Roman"/>
          <w:sz w:val="24"/>
          <w:szCs w:val="24"/>
        </w:rPr>
        <w:t>). De forma análoga, essa tripartição aparece também no pensamento platônico e no pitagórico</w:t>
      </w:r>
      <w:r w:rsidR="00A879DD">
        <w:rPr>
          <w:rFonts w:ascii="Times New Roman" w:hAnsi="Times New Roman" w:cs="Times New Roman"/>
          <w:sz w:val="24"/>
          <w:szCs w:val="24"/>
        </w:rPr>
        <w:t xml:space="preserve"> e em todas há o enaltecimento da forma “magna” de vida, ou seja, da vida contemplativa (</w:t>
      </w:r>
      <w:r w:rsidR="00A879DD" w:rsidRPr="00A879DD">
        <w:rPr>
          <w:rFonts w:ascii="Times New Roman" w:hAnsi="Times New Roman" w:cs="Times New Roman"/>
          <w:i/>
          <w:sz w:val="24"/>
          <w:szCs w:val="24"/>
        </w:rPr>
        <w:t>bíos theorétikós</w:t>
      </w:r>
      <w:r w:rsidR="00A879DD">
        <w:rPr>
          <w:rFonts w:ascii="Times New Roman" w:hAnsi="Times New Roman" w:cs="Times New Roman"/>
          <w:sz w:val="24"/>
          <w:szCs w:val="24"/>
        </w:rPr>
        <w:t>). (BITTAR, 2005, p. 200).</w:t>
      </w:r>
    </w:p>
    <w:p w:rsidR="002D0D50" w:rsidRDefault="00A879DD" w:rsidP="002D0D5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pode-se entender que o bem maior das ações humanas não se confunde com a busca da felicidade, mas com a busca do verdadeiro bem maior ou o verdadeiro bem.</w:t>
      </w:r>
      <w:r w:rsidR="002D0D50">
        <w:rPr>
          <w:rFonts w:ascii="Times New Roman" w:hAnsi="Times New Roman" w:cs="Times New Roman"/>
          <w:sz w:val="24"/>
          <w:szCs w:val="24"/>
        </w:rPr>
        <w:t xml:space="preserve"> Aristóteles no Livro I de</w:t>
      </w:r>
      <w:r>
        <w:rPr>
          <w:rFonts w:ascii="Times New Roman" w:hAnsi="Times New Roman" w:cs="Times New Roman"/>
          <w:sz w:val="24"/>
          <w:szCs w:val="24"/>
        </w:rPr>
        <w:t xml:space="preserve"> Ética a Nicômaco</w:t>
      </w:r>
      <w:r w:rsidR="002D0D50">
        <w:rPr>
          <w:rFonts w:ascii="Times New Roman" w:hAnsi="Times New Roman" w:cs="Times New Roman"/>
          <w:sz w:val="24"/>
          <w:szCs w:val="24"/>
        </w:rPr>
        <w:t xml:space="preserve"> afirma sobre o verdadeiro bem:</w:t>
      </w:r>
    </w:p>
    <w:p w:rsidR="002D0D50" w:rsidRDefault="002D0D50" w:rsidP="002D0D50">
      <w:pPr>
        <w:spacing w:after="0" w:line="240" w:lineRule="auto"/>
        <w:ind w:left="2268"/>
        <w:jc w:val="both"/>
        <w:rPr>
          <w:rFonts w:ascii="Times New Roman" w:hAnsi="Times New Roman" w:cs="Times New Roman"/>
          <w:sz w:val="20"/>
          <w:szCs w:val="20"/>
        </w:rPr>
      </w:pPr>
      <w:r w:rsidRPr="002D0D50">
        <w:rPr>
          <w:rFonts w:ascii="Times New Roman" w:hAnsi="Times New Roman" w:cs="Times New Roman"/>
          <w:sz w:val="20"/>
          <w:szCs w:val="20"/>
        </w:rPr>
        <w:t xml:space="preserve">Não terá o conhecimento desse bem, então, grande influência sobre a nossa vida? Não alcançaremos, como arqueiros que visam a um alvo certo, com mais facilidade aquilo que nos é mais conveniente? Se assim é, cumpre-nos tentar determinar, mesmo que apenas em linhas gerais, o que seja esse bem e de que ciências ou faculdades ele é o objeto. E, ao que parece, ele é objeto da ciência mais prestigiosa e que prevalece sobre tudo. Ora, parece que esta é a ciência política, pois é ela que </w:t>
      </w:r>
      <w:r w:rsidRPr="002D0D50">
        <w:rPr>
          <w:rFonts w:ascii="Times New Roman" w:hAnsi="Times New Roman" w:cs="Times New Roman"/>
          <w:sz w:val="20"/>
          <w:szCs w:val="20"/>
        </w:rPr>
        <w:lastRenderedPageBreak/>
        <w:t xml:space="preserve">determina quais as ciências que devem ser estudadas em uma </w:t>
      </w:r>
      <w:proofErr w:type="gramStart"/>
      <w:r w:rsidRPr="002D0D50">
        <w:rPr>
          <w:rFonts w:ascii="Times New Roman" w:hAnsi="Times New Roman" w:cs="Times New Roman"/>
          <w:sz w:val="20"/>
          <w:szCs w:val="20"/>
        </w:rPr>
        <w:t>cidade-Estado</w:t>
      </w:r>
      <w:proofErr w:type="gramEnd"/>
      <w:r w:rsidRPr="002D0D50">
        <w:rPr>
          <w:rFonts w:ascii="Times New Roman" w:hAnsi="Times New Roman" w:cs="Times New Roman"/>
          <w:sz w:val="20"/>
          <w:szCs w:val="20"/>
        </w:rPr>
        <w:t>, quais as que cada cidadão deve aprender, e até que ponto.</w:t>
      </w:r>
      <w:r>
        <w:rPr>
          <w:rFonts w:ascii="Times New Roman" w:hAnsi="Times New Roman" w:cs="Times New Roman"/>
          <w:sz w:val="20"/>
          <w:szCs w:val="20"/>
        </w:rPr>
        <w:t xml:space="preserve"> (ARISTÓTELES, 2013, p. 10).</w:t>
      </w:r>
    </w:p>
    <w:p w:rsidR="002D0D50" w:rsidRDefault="002D0D50" w:rsidP="002D0D50">
      <w:pPr>
        <w:spacing w:after="0" w:line="240" w:lineRule="auto"/>
        <w:ind w:left="2268"/>
        <w:jc w:val="both"/>
        <w:rPr>
          <w:rFonts w:ascii="Times New Roman" w:hAnsi="Times New Roman" w:cs="Times New Roman"/>
          <w:sz w:val="20"/>
          <w:szCs w:val="20"/>
        </w:rPr>
      </w:pPr>
    </w:p>
    <w:p w:rsidR="00DD6D90" w:rsidRPr="002D0D50" w:rsidRDefault="002D0D50" w:rsidP="00DD6D9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partir dessas indagações, Aristóteles passa a analisar em quais áreas da vida do indivíduo, pode estar disposto esse bem maior. Assim, ele passa a refletir sobre as noções platônicas acerca da temática, assim como analisa a felicidade como bem, os prazeres, a fugacidade, as virtudes, as dores</w:t>
      </w:r>
      <w:r w:rsidR="00DD6D90">
        <w:rPr>
          <w:rFonts w:ascii="Times New Roman" w:hAnsi="Times New Roman" w:cs="Times New Roman"/>
          <w:sz w:val="24"/>
          <w:szCs w:val="24"/>
        </w:rPr>
        <w:t>, entre outros. (BITTAR, 2005, p. 201).</w:t>
      </w:r>
    </w:p>
    <w:p w:rsidR="00FC7613" w:rsidRPr="009A2B70" w:rsidRDefault="00FC7613" w:rsidP="00FC7613">
      <w:pPr>
        <w:spacing w:after="0" w:line="240" w:lineRule="auto"/>
        <w:ind w:firstLine="1134"/>
        <w:jc w:val="both"/>
        <w:rPr>
          <w:rFonts w:ascii="Times New Roman" w:hAnsi="Times New Roman" w:cs="Times New Roman"/>
          <w:sz w:val="24"/>
          <w:szCs w:val="24"/>
        </w:rPr>
      </w:pPr>
    </w:p>
    <w:p w:rsidR="009A2B70" w:rsidRDefault="009A2B70" w:rsidP="009A2B70">
      <w:pPr>
        <w:spacing w:after="0" w:line="360" w:lineRule="auto"/>
        <w:jc w:val="both"/>
        <w:rPr>
          <w:rFonts w:ascii="Times New Roman" w:hAnsi="Times New Roman" w:cs="Times New Roman"/>
          <w:b/>
          <w:bCs/>
          <w:sz w:val="24"/>
          <w:szCs w:val="24"/>
        </w:rPr>
      </w:pPr>
      <w:proofErr w:type="gramStart"/>
      <w:r w:rsidRPr="009A2B70">
        <w:rPr>
          <w:rFonts w:ascii="Times New Roman" w:hAnsi="Times New Roman" w:cs="Times New Roman"/>
          <w:b/>
          <w:bCs/>
          <w:sz w:val="24"/>
          <w:szCs w:val="24"/>
        </w:rPr>
        <w:t>2</w:t>
      </w:r>
      <w:proofErr w:type="gramEnd"/>
      <w:r w:rsidRPr="009A2B70">
        <w:rPr>
          <w:rFonts w:ascii="Times New Roman" w:hAnsi="Times New Roman" w:cs="Times New Roman"/>
          <w:b/>
          <w:bCs/>
          <w:sz w:val="24"/>
          <w:szCs w:val="24"/>
        </w:rPr>
        <w:t xml:space="preserve"> </w:t>
      </w:r>
      <w:r w:rsidR="008477BC">
        <w:rPr>
          <w:rFonts w:ascii="Times New Roman" w:hAnsi="Times New Roman" w:cs="Times New Roman"/>
          <w:b/>
          <w:bCs/>
          <w:sz w:val="24"/>
          <w:szCs w:val="24"/>
        </w:rPr>
        <w:t xml:space="preserve"> </w:t>
      </w:r>
      <w:r w:rsidRPr="009A2B70">
        <w:rPr>
          <w:rFonts w:ascii="Times New Roman" w:hAnsi="Times New Roman" w:cs="Times New Roman"/>
          <w:b/>
          <w:bCs/>
          <w:sz w:val="24"/>
          <w:szCs w:val="24"/>
        </w:rPr>
        <w:t>JUSTIÇA E ÉTICA SEGUNDO ARISTÓTELES</w:t>
      </w:r>
    </w:p>
    <w:p w:rsidR="008477BC" w:rsidRDefault="008477BC" w:rsidP="008477BC">
      <w:pPr>
        <w:spacing w:after="0" w:line="240" w:lineRule="auto"/>
        <w:jc w:val="both"/>
        <w:rPr>
          <w:rFonts w:ascii="Times New Roman" w:hAnsi="Times New Roman" w:cs="Times New Roman"/>
          <w:b/>
          <w:bCs/>
          <w:sz w:val="24"/>
          <w:szCs w:val="24"/>
        </w:rPr>
      </w:pPr>
    </w:p>
    <w:p w:rsidR="008477BC" w:rsidRDefault="008477BC" w:rsidP="008477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Aristóteles relaciona justiça com ética. Segundo Bittar (2005, p. 222), “o problema da justiça é, dentro da filosofia aristotélica, uma questão acentuadamente de caráter ético”. Essa acepção requer, por conseguinte, um entendimento prévio do que Aristóteles defende como ética, eticidade e natureza ética. (BITTAR, 2005, p. 222).</w:t>
      </w:r>
    </w:p>
    <w:p w:rsidR="00DD6D90" w:rsidRDefault="00D15EA3" w:rsidP="008477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Inicialmente, segundo Bittar (2005, p. 222), para Aristóteles, a ética não se distingue de racionalidade, tendo em vista que razão prática e razão teórica ou teorética caminham conjuntamente na totalização do ser racional, atuando paralelamente para a realização integral do homem em sociedade. Nas palavras do autor,</w:t>
      </w:r>
    </w:p>
    <w:p w:rsidR="00D15EA3" w:rsidRDefault="00D15EA3" w:rsidP="00D15EA3">
      <w:pPr>
        <w:spacing w:after="0" w:line="240" w:lineRule="auto"/>
        <w:ind w:left="2268"/>
        <w:jc w:val="both"/>
        <w:rPr>
          <w:rFonts w:ascii="Times New Roman" w:hAnsi="Times New Roman" w:cs="Times New Roman"/>
          <w:sz w:val="20"/>
          <w:szCs w:val="20"/>
        </w:rPr>
      </w:pPr>
      <w:r w:rsidRPr="00D15EA3">
        <w:rPr>
          <w:rFonts w:ascii="Times New Roman" w:hAnsi="Times New Roman" w:cs="Times New Roman"/>
          <w:sz w:val="20"/>
          <w:szCs w:val="20"/>
        </w:rPr>
        <w:t>Entre a deliberação ética interna e a exteriorização de uma conduta social ou antissocial, medeia o processo de eleição de meios para a execução de fins individuais ou sociais, problema este que toca diretamente à razão prática resolver, bem como institucionalizar mediante o hábito (</w:t>
      </w:r>
      <w:r w:rsidRPr="00D15EA3">
        <w:rPr>
          <w:rFonts w:ascii="Times New Roman" w:hAnsi="Times New Roman" w:cs="Times New Roman"/>
          <w:i/>
          <w:sz w:val="20"/>
          <w:szCs w:val="20"/>
        </w:rPr>
        <w:t>éthos</w:t>
      </w:r>
      <w:r w:rsidRPr="00D15EA3">
        <w:rPr>
          <w:rFonts w:ascii="Times New Roman" w:hAnsi="Times New Roman" w:cs="Times New Roman"/>
          <w:sz w:val="20"/>
          <w:szCs w:val="20"/>
        </w:rPr>
        <w:t>), que pode ser individual ou tornar-se coletivo no costume.</w:t>
      </w:r>
      <w:r w:rsidR="003E248E">
        <w:rPr>
          <w:rFonts w:ascii="Times New Roman" w:hAnsi="Times New Roman" w:cs="Times New Roman"/>
          <w:sz w:val="20"/>
          <w:szCs w:val="20"/>
        </w:rPr>
        <w:t xml:space="preserve"> (BITTAR, 2005, p. 223).</w:t>
      </w:r>
    </w:p>
    <w:p w:rsidR="00D15EA3" w:rsidRDefault="00D15EA3" w:rsidP="00D15EA3">
      <w:pPr>
        <w:spacing w:after="0" w:line="240" w:lineRule="auto"/>
        <w:ind w:left="2268"/>
        <w:jc w:val="both"/>
        <w:rPr>
          <w:rFonts w:ascii="Times New Roman" w:hAnsi="Times New Roman" w:cs="Times New Roman"/>
          <w:sz w:val="20"/>
          <w:szCs w:val="20"/>
        </w:rPr>
      </w:pPr>
    </w:p>
    <w:p w:rsidR="00D15EA3" w:rsidRDefault="003E248E" w:rsidP="00D15EA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a conduta justa ou injusta se mede de acordo com o critério social, ou seja, a ação pode ser justa ou injusta a partir dos parâmetros da sociedade em que está presente o autor da conduta. Isso pressupõe, conforme Bittar (2005, p. 224), que “a justiça de uma ação eleva esta à condição de virtude, ação louvável socialmente, podendo-se a esta se denominar virtude da justiça (</w:t>
      </w:r>
      <w:r w:rsidRPr="003E248E">
        <w:rPr>
          <w:rFonts w:ascii="Times New Roman" w:hAnsi="Times New Roman" w:cs="Times New Roman"/>
          <w:i/>
          <w:sz w:val="24"/>
          <w:szCs w:val="24"/>
        </w:rPr>
        <w:t>dikaosýne</w:t>
      </w:r>
      <w:r>
        <w:rPr>
          <w:rFonts w:ascii="Times New Roman" w:hAnsi="Times New Roman" w:cs="Times New Roman"/>
          <w:sz w:val="24"/>
          <w:szCs w:val="24"/>
        </w:rPr>
        <w:t>)”.</w:t>
      </w:r>
    </w:p>
    <w:p w:rsidR="003E248E" w:rsidRDefault="003E248E" w:rsidP="00D15EA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Pode-se entender com isso, que a justiça é uma virtude maleável a depender da sociedade que a conceba, porém, é dotada das acepções das demais virtudes, como a sabedoria, a prudência, a moderação, enfim, de verdadeiras virtudes voltadas para a conduta ideal do homem em sociedade. Sem essas virtudes, a justiça torna-se descaracterizada e deixa de ser justiça. Isso significa que o único vício que </w:t>
      </w:r>
      <w:r w:rsidR="00986968">
        <w:rPr>
          <w:rFonts w:ascii="Times New Roman" w:hAnsi="Times New Roman" w:cs="Times New Roman"/>
          <w:sz w:val="24"/>
          <w:szCs w:val="24"/>
        </w:rPr>
        <w:t xml:space="preserve">pode se opor à justiça, </w:t>
      </w:r>
      <w:r>
        <w:rPr>
          <w:rFonts w:ascii="Times New Roman" w:hAnsi="Times New Roman" w:cs="Times New Roman"/>
          <w:sz w:val="24"/>
          <w:szCs w:val="24"/>
        </w:rPr>
        <w:t xml:space="preserve">é a injustiça. </w:t>
      </w:r>
      <w:r w:rsidR="009110B6">
        <w:rPr>
          <w:rFonts w:ascii="Times New Roman" w:hAnsi="Times New Roman" w:cs="Times New Roman"/>
          <w:sz w:val="24"/>
          <w:szCs w:val="24"/>
        </w:rPr>
        <w:t>(BITTAR, 2005, p. 224).</w:t>
      </w:r>
    </w:p>
    <w:p w:rsidR="00120005" w:rsidRDefault="009110B6" w:rsidP="0012000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segundo Bittar (2005, p. 225), para Aristóteles a felicidade que se deve buscar não é a individual, comparável à vida animal. A felicidade almejada é a coletiva, tendo em vista que o homem é um ser social. Por esse motivo, o estudo da ética aristotélica está </w:t>
      </w:r>
      <w:r>
        <w:rPr>
          <w:rFonts w:ascii="Times New Roman" w:hAnsi="Times New Roman" w:cs="Times New Roman"/>
          <w:sz w:val="24"/>
          <w:szCs w:val="24"/>
        </w:rPr>
        <w:lastRenderedPageBreak/>
        <w:t>intimamente ligado ao estudo político. É necessário que os indivíduos voltados à vida social política levem em conta a criação de leis éticas, justas, a fim de construir e fortalecer as condutas sociais.</w:t>
      </w:r>
      <w:r w:rsidR="00120005">
        <w:rPr>
          <w:rFonts w:ascii="Times New Roman" w:hAnsi="Times New Roman" w:cs="Times New Roman"/>
          <w:sz w:val="24"/>
          <w:szCs w:val="24"/>
        </w:rPr>
        <w:t xml:space="preserve"> </w:t>
      </w:r>
    </w:p>
    <w:p w:rsidR="00120005" w:rsidRPr="007D0D98" w:rsidRDefault="00120005" w:rsidP="00120005">
      <w:pPr>
        <w:spacing w:after="0" w:line="360" w:lineRule="auto"/>
        <w:ind w:firstLine="1134"/>
        <w:jc w:val="both"/>
        <w:rPr>
          <w:rFonts w:ascii="Times New Roman" w:hAnsi="Times New Roman" w:cs="Times New Roman"/>
          <w:sz w:val="24"/>
          <w:szCs w:val="24"/>
        </w:rPr>
      </w:pPr>
      <w:r w:rsidRPr="007D0D98">
        <w:rPr>
          <w:rFonts w:ascii="Times New Roman" w:hAnsi="Times New Roman" w:cs="Times New Roman"/>
          <w:sz w:val="24"/>
          <w:szCs w:val="24"/>
        </w:rPr>
        <w:t>No livro V de Ética a Nicômaco, Aristóteles delimita um conceito acerca da justiça e da injustiça. Em suas palavras,</w:t>
      </w:r>
    </w:p>
    <w:p w:rsidR="00120005" w:rsidRPr="007D0D98" w:rsidRDefault="00120005" w:rsidP="00120005">
      <w:pPr>
        <w:spacing w:after="0" w:line="240" w:lineRule="auto"/>
        <w:ind w:left="2268"/>
        <w:jc w:val="both"/>
        <w:rPr>
          <w:rFonts w:ascii="Times New Roman" w:hAnsi="Times New Roman" w:cs="Times New Roman"/>
          <w:sz w:val="20"/>
          <w:szCs w:val="20"/>
        </w:rPr>
      </w:pPr>
      <w:r w:rsidRPr="007D0D98">
        <w:rPr>
          <w:rFonts w:ascii="Times New Roman" w:hAnsi="Times New Roman" w:cs="Times New Roman"/>
          <w:sz w:val="20"/>
          <w:szCs w:val="20"/>
        </w:rPr>
        <w:t>Assim, definimos o justo e o injusto. É evidente que, feita a diferenciação um do outro, a ação justa é intermediária entre o agir injustamente ser tratado injustamente, pois um deles é ter demais e o outro é ter muito pouco. A justiça é uma espécie de meio-termo, mas não no mesmo sentido que as outras virtudes, e sim porque ela se relaciona com uma quantia ou quantidade intermediária, ao passo que a injustiça se relaciona com os extremos. E justiça é aquilo em razão do que se diz que o homem justo pratica, por escolha própria, o que é justo, e que quando se trata de distribuir, quer entre si mesmo e outra pessoa, quer entre duas ou outras pessoas, não dá mais do que convém a si mesmo e menos do que convém ao seu próximo. (ARISTÓTELES, 2013, p. 106).</w:t>
      </w:r>
    </w:p>
    <w:p w:rsidR="00120005" w:rsidRPr="007D0D98" w:rsidRDefault="00120005" w:rsidP="00120005">
      <w:pPr>
        <w:spacing w:after="0" w:line="240" w:lineRule="auto"/>
        <w:ind w:left="2268"/>
        <w:jc w:val="both"/>
        <w:rPr>
          <w:rFonts w:ascii="Times New Roman" w:hAnsi="Times New Roman" w:cs="Times New Roman"/>
          <w:sz w:val="20"/>
          <w:szCs w:val="20"/>
        </w:rPr>
      </w:pPr>
    </w:p>
    <w:p w:rsidR="00120005" w:rsidRPr="007D0D98" w:rsidRDefault="00120005" w:rsidP="00120005">
      <w:pPr>
        <w:spacing w:after="0" w:line="360" w:lineRule="auto"/>
        <w:ind w:firstLine="1134"/>
        <w:jc w:val="both"/>
        <w:rPr>
          <w:rFonts w:ascii="Times New Roman" w:hAnsi="Times New Roman" w:cs="Times New Roman"/>
          <w:sz w:val="24"/>
          <w:szCs w:val="24"/>
        </w:rPr>
      </w:pPr>
      <w:r w:rsidRPr="007D0D98">
        <w:rPr>
          <w:rFonts w:ascii="Times New Roman" w:hAnsi="Times New Roman" w:cs="Times New Roman"/>
          <w:sz w:val="24"/>
          <w:szCs w:val="24"/>
        </w:rPr>
        <w:t>Dessa forma, entende-se que a justiça é caracterizada pela prudência e razoabilidade, tendo em vista que se trata de um conjunto de virtudes que fazem do agir, uma postura justa, ou seja, nem de mais, nem de menos, mas proporcional.</w:t>
      </w:r>
    </w:p>
    <w:p w:rsidR="008477BC" w:rsidRPr="009A2B70" w:rsidRDefault="008477BC" w:rsidP="008477BC">
      <w:pPr>
        <w:spacing w:after="0" w:line="240" w:lineRule="auto"/>
        <w:jc w:val="both"/>
        <w:rPr>
          <w:rFonts w:ascii="Times New Roman" w:hAnsi="Times New Roman" w:cs="Times New Roman"/>
          <w:b/>
          <w:bCs/>
          <w:sz w:val="24"/>
          <w:szCs w:val="24"/>
        </w:rPr>
      </w:pPr>
    </w:p>
    <w:p w:rsidR="009A2B70" w:rsidRDefault="009A2B70" w:rsidP="009A2B70">
      <w:pPr>
        <w:spacing w:after="0" w:line="360" w:lineRule="auto"/>
        <w:jc w:val="both"/>
        <w:rPr>
          <w:rFonts w:ascii="Times New Roman" w:hAnsi="Times New Roman" w:cs="Times New Roman"/>
          <w:b/>
          <w:bCs/>
          <w:sz w:val="24"/>
          <w:szCs w:val="24"/>
        </w:rPr>
      </w:pPr>
      <w:proofErr w:type="gramStart"/>
      <w:r w:rsidRPr="009A2B70">
        <w:rPr>
          <w:rFonts w:ascii="Times New Roman" w:hAnsi="Times New Roman" w:cs="Times New Roman"/>
          <w:b/>
          <w:bCs/>
          <w:sz w:val="24"/>
          <w:szCs w:val="24"/>
        </w:rPr>
        <w:t>3</w:t>
      </w:r>
      <w:proofErr w:type="gramEnd"/>
      <w:r w:rsidRPr="009A2B70">
        <w:rPr>
          <w:rFonts w:ascii="Times New Roman" w:hAnsi="Times New Roman" w:cs="Times New Roman"/>
          <w:b/>
          <w:bCs/>
          <w:sz w:val="24"/>
          <w:szCs w:val="24"/>
        </w:rPr>
        <w:t xml:space="preserve"> A JUSTIÇA COMO VALOR JURÍDICO</w:t>
      </w:r>
    </w:p>
    <w:p w:rsidR="008477BC" w:rsidRDefault="008477BC" w:rsidP="008477BC">
      <w:pPr>
        <w:spacing w:after="0" w:line="240" w:lineRule="auto"/>
        <w:jc w:val="both"/>
        <w:rPr>
          <w:rFonts w:ascii="Times New Roman" w:hAnsi="Times New Roman" w:cs="Times New Roman"/>
          <w:b/>
          <w:bCs/>
          <w:sz w:val="24"/>
          <w:szCs w:val="24"/>
        </w:rPr>
      </w:pPr>
    </w:p>
    <w:p w:rsidR="008477BC" w:rsidRDefault="008477BC" w:rsidP="008477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Adeodato (2002, p. 142), afirma que, “a justiça é a virtude moral que rege o ser espiritual no combate ao egoísmo biológico, orgânico, herdado pelo indivíduo enquanto animal, para a luta pela vida. Seu caráter mais evidente é a </w:t>
      </w:r>
      <w:r>
        <w:rPr>
          <w:rFonts w:ascii="Times New Roman" w:hAnsi="Times New Roman" w:cs="Times New Roman"/>
          <w:b/>
          <w:sz w:val="24"/>
          <w:szCs w:val="24"/>
        </w:rPr>
        <w:t>igualdade</w:t>
      </w:r>
      <w:r>
        <w:rPr>
          <w:rFonts w:ascii="Times New Roman" w:hAnsi="Times New Roman" w:cs="Times New Roman"/>
          <w:sz w:val="24"/>
          <w:szCs w:val="24"/>
        </w:rPr>
        <w:t>, a igualdade de direitos e deveres que possibilitam a vida comum”. (Grifo do autor).</w:t>
      </w:r>
    </w:p>
    <w:p w:rsidR="008477BC" w:rsidRDefault="008477BC" w:rsidP="008477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esse autor, a problemática reside em relacionar justiça com direito, levando em conta que o conceito de justiça se refere mais a valores morais do indivíduo, do que valores sociais, ou seja, jurídicos. (Adeodato, 2002, p. 143).</w:t>
      </w:r>
    </w:p>
    <w:p w:rsidR="009110B6" w:rsidRDefault="00BF7886" w:rsidP="00BF7886">
      <w:pPr>
        <w:spacing w:after="0" w:line="240" w:lineRule="auto"/>
        <w:ind w:left="2268"/>
        <w:jc w:val="both"/>
        <w:rPr>
          <w:rFonts w:ascii="Times New Roman" w:hAnsi="Times New Roman" w:cs="Times New Roman"/>
          <w:sz w:val="20"/>
          <w:szCs w:val="20"/>
        </w:rPr>
      </w:pPr>
      <w:r w:rsidRPr="00BF7886">
        <w:rPr>
          <w:rFonts w:ascii="Times New Roman" w:hAnsi="Times New Roman" w:cs="Times New Roman"/>
          <w:sz w:val="20"/>
          <w:szCs w:val="20"/>
        </w:rPr>
        <w:t>O conceito de justiça refere-se a uma situação ideal em que os valores são percebidos independentemente do problema de sua realizabilidade, de condicionamentos sociais ou quaisquer outros. Aqui a justiça não representa um valor específico, mas sim todo um conjunto de valores.</w:t>
      </w:r>
      <w:r>
        <w:rPr>
          <w:rFonts w:ascii="Times New Roman" w:hAnsi="Times New Roman" w:cs="Times New Roman"/>
          <w:sz w:val="20"/>
          <w:szCs w:val="20"/>
        </w:rPr>
        <w:t xml:space="preserve"> (ADEODATO, 2002, p. 144).</w:t>
      </w:r>
    </w:p>
    <w:p w:rsidR="00BF7886" w:rsidRDefault="00BF7886" w:rsidP="00BF7886">
      <w:pPr>
        <w:spacing w:after="0" w:line="240" w:lineRule="auto"/>
        <w:ind w:left="2268"/>
        <w:jc w:val="both"/>
        <w:rPr>
          <w:rFonts w:ascii="Times New Roman" w:hAnsi="Times New Roman" w:cs="Times New Roman"/>
          <w:sz w:val="20"/>
          <w:szCs w:val="20"/>
        </w:rPr>
      </w:pPr>
    </w:p>
    <w:p w:rsidR="00BF7886" w:rsidRDefault="00BF7886" w:rsidP="00BF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conforme a leitura de Adeodato (2002, p. 145), percebe-se que a justiça moral relaciona-se ao indivíduo particularmente, enquanto que a justiça social refere-se ao bem jurídico defendido e positivado nas leis. Por esse motivo, a justiça social é menos abrangente que a justiça moral. Enquanto o indivíduo pode se ver diante de inúmeros dilemas na sua vida, a justiça moral é limitada, dada a previsão limitada de hipóteses trazidas pelas legislações.</w:t>
      </w:r>
    </w:p>
    <w:p w:rsidR="00BF7886" w:rsidRDefault="00BF7886" w:rsidP="00BF78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Isso pressupõe que “todo direito positivo tende na direção de um direito ideal, produto da consciência valorativa do homem, sobre a qual se irradiam os valores, que ali estão independentemente de qualquer percepção”. (ADEODATO, 2002, p. 147).</w:t>
      </w:r>
      <w:r w:rsidR="00120005">
        <w:rPr>
          <w:rFonts w:ascii="Times New Roman" w:hAnsi="Times New Roman" w:cs="Times New Roman"/>
          <w:sz w:val="24"/>
          <w:szCs w:val="24"/>
        </w:rPr>
        <w:t xml:space="preserve"> </w:t>
      </w:r>
    </w:p>
    <w:p w:rsidR="00120005" w:rsidRPr="007D0D98" w:rsidRDefault="00120005" w:rsidP="00BF7886">
      <w:pPr>
        <w:spacing w:after="0" w:line="360" w:lineRule="auto"/>
        <w:ind w:firstLine="1134"/>
        <w:jc w:val="both"/>
        <w:rPr>
          <w:rFonts w:ascii="Times New Roman" w:hAnsi="Times New Roman" w:cs="Times New Roman"/>
          <w:sz w:val="24"/>
          <w:szCs w:val="24"/>
        </w:rPr>
      </w:pPr>
      <w:r w:rsidRPr="007D0D98">
        <w:rPr>
          <w:rFonts w:ascii="Times New Roman" w:hAnsi="Times New Roman" w:cs="Times New Roman"/>
          <w:sz w:val="24"/>
          <w:szCs w:val="24"/>
        </w:rPr>
        <w:t xml:space="preserve">Para o autor, existe certa dificuldade em relacionar o direito e a justiça. </w:t>
      </w:r>
      <w:r w:rsidR="003420B1" w:rsidRPr="007D0D98">
        <w:rPr>
          <w:rFonts w:ascii="Times New Roman" w:hAnsi="Times New Roman" w:cs="Times New Roman"/>
          <w:sz w:val="24"/>
          <w:szCs w:val="24"/>
        </w:rPr>
        <w:t>Isso remete aos primórdios da humanidade, quando os costumes ditavam as normas do conjunto social. Nesse período, onde as relações sociais eram pequenas e limitadas, fazendo-se prevalecer o entendimento dos mais velhos, que elegiam por tradição, o que era “justo”.</w:t>
      </w:r>
    </w:p>
    <w:p w:rsidR="009110B6" w:rsidRPr="007D0D98" w:rsidRDefault="003420B1" w:rsidP="003420B1">
      <w:pPr>
        <w:spacing w:after="0" w:line="360" w:lineRule="auto"/>
        <w:ind w:firstLine="1134"/>
        <w:jc w:val="both"/>
        <w:rPr>
          <w:rFonts w:ascii="Times New Roman" w:hAnsi="Times New Roman" w:cs="Times New Roman"/>
          <w:sz w:val="24"/>
          <w:szCs w:val="24"/>
        </w:rPr>
      </w:pPr>
      <w:r w:rsidRPr="007D0D98">
        <w:rPr>
          <w:rFonts w:ascii="Times New Roman" w:hAnsi="Times New Roman" w:cs="Times New Roman"/>
          <w:sz w:val="24"/>
          <w:szCs w:val="24"/>
        </w:rPr>
        <w:t>Essa noção de justiça começou a ser aprimorada pelos pensadores, que assim como Aristóteles, passaram a conceber opiniões próprias acerca do que era justo ou injusto. Aristóteles, assim, passou a refletir acerca das ações humanas e a partir delas, verificar a qualidade das condutas acerca do sentimento de bem, do que é correto, e consequentemente, do que é justo.</w:t>
      </w:r>
    </w:p>
    <w:p w:rsidR="003420B1" w:rsidRPr="003420B1" w:rsidRDefault="003420B1" w:rsidP="003420B1">
      <w:pPr>
        <w:spacing w:after="0" w:line="240" w:lineRule="auto"/>
        <w:ind w:firstLine="1134"/>
        <w:jc w:val="both"/>
        <w:rPr>
          <w:rFonts w:ascii="Times New Roman" w:hAnsi="Times New Roman" w:cs="Times New Roman"/>
          <w:color w:val="FF0000"/>
          <w:sz w:val="24"/>
          <w:szCs w:val="24"/>
        </w:rPr>
      </w:pPr>
    </w:p>
    <w:p w:rsidR="009A2B70" w:rsidRDefault="009A2B70" w:rsidP="009A2B70">
      <w:pPr>
        <w:spacing w:after="0" w:line="360" w:lineRule="auto"/>
        <w:jc w:val="both"/>
        <w:rPr>
          <w:rFonts w:ascii="Times New Roman" w:hAnsi="Times New Roman" w:cs="Times New Roman"/>
          <w:b/>
          <w:bCs/>
          <w:sz w:val="24"/>
          <w:szCs w:val="24"/>
        </w:rPr>
      </w:pPr>
      <w:proofErr w:type="gramStart"/>
      <w:r w:rsidRPr="009A2B70">
        <w:rPr>
          <w:rFonts w:ascii="Times New Roman" w:hAnsi="Times New Roman" w:cs="Times New Roman"/>
          <w:b/>
          <w:bCs/>
          <w:sz w:val="24"/>
          <w:szCs w:val="24"/>
        </w:rPr>
        <w:t>4</w:t>
      </w:r>
      <w:proofErr w:type="gramEnd"/>
      <w:r w:rsidRPr="009A2B70">
        <w:rPr>
          <w:rFonts w:ascii="Times New Roman" w:hAnsi="Times New Roman" w:cs="Times New Roman"/>
          <w:b/>
          <w:bCs/>
          <w:sz w:val="24"/>
          <w:szCs w:val="24"/>
        </w:rPr>
        <w:t xml:space="preserve"> A UNIÃO HOMOAFETIVA E O PRINCÍPIO DA IGUALDADE</w:t>
      </w:r>
    </w:p>
    <w:p w:rsidR="008477BC" w:rsidRDefault="008477BC" w:rsidP="008477BC">
      <w:pPr>
        <w:spacing w:after="0" w:line="240" w:lineRule="auto"/>
        <w:jc w:val="both"/>
        <w:rPr>
          <w:rFonts w:ascii="Times New Roman" w:hAnsi="Times New Roman" w:cs="Times New Roman"/>
          <w:b/>
          <w:bCs/>
          <w:sz w:val="24"/>
          <w:szCs w:val="24"/>
        </w:rPr>
      </w:pPr>
    </w:p>
    <w:p w:rsidR="00570DD4" w:rsidRPr="007D0D98" w:rsidRDefault="00570DD4" w:rsidP="008477BC">
      <w:pPr>
        <w:spacing w:after="0" w:line="360" w:lineRule="auto"/>
        <w:ind w:firstLine="1134"/>
        <w:jc w:val="both"/>
        <w:rPr>
          <w:rFonts w:ascii="Times New Roman" w:hAnsi="Times New Roman" w:cs="Times New Roman"/>
          <w:sz w:val="24"/>
          <w:szCs w:val="24"/>
        </w:rPr>
      </w:pPr>
      <w:r w:rsidRPr="007D0D98">
        <w:rPr>
          <w:rFonts w:ascii="Times New Roman" w:hAnsi="Times New Roman" w:cs="Times New Roman"/>
          <w:sz w:val="24"/>
          <w:szCs w:val="24"/>
        </w:rPr>
        <w:t>Sabe-se que o relacionamento entre pessoas do mesmo sexo sempre fez parte da história da humanidade. Apesar disso, constitui um comportamento que nem sempre foi socialmente aceito devido a um conjunto de ideologias impostas tanto pelas religiões, quanto pelo próprio Estado.</w:t>
      </w:r>
    </w:p>
    <w:p w:rsidR="00870912" w:rsidRPr="007D0D98" w:rsidRDefault="00570DD4" w:rsidP="008477BC">
      <w:pPr>
        <w:spacing w:after="0" w:line="360" w:lineRule="auto"/>
        <w:ind w:firstLine="1134"/>
        <w:jc w:val="both"/>
        <w:rPr>
          <w:rFonts w:ascii="Times New Roman" w:hAnsi="Times New Roman" w:cs="Times New Roman"/>
          <w:sz w:val="24"/>
          <w:szCs w:val="24"/>
        </w:rPr>
      </w:pPr>
      <w:r w:rsidRPr="007D0D98">
        <w:rPr>
          <w:rFonts w:ascii="Times New Roman" w:hAnsi="Times New Roman" w:cs="Times New Roman"/>
          <w:sz w:val="24"/>
          <w:szCs w:val="24"/>
        </w:rPr>
        <w:t>Entretanto, atualmente, vive-se uma era de liberalização dos costumes e esse comportamento passou a ser melhor aceito pela sociedade,</w:t>
      </w:r>
      <w:r w:rsidR="00870912" w:rsidRPr="007D0D98">
        <w:rPr>
          <w:rFonts w:ascii="Times New Roman" w:hAnsi="Times New Roman" w:cs="Times New Roman"/>
          <w:sz w:val="24"/>
          <w:szCs w:val="24"/>
        </w:rPr>
        <w:t xml:space="preserve"> inclusive com a formação de famílias de indivíduos do mesmo sexo. Essas famílias, assim como quaisquer outras, desejam e têm o direito de serem aceitas não somente pela sociedade, mas também pelo Estado. </w:t>
      </w:r>
    </w:p>
    <w:p w:rsidR="00870912" w:rsidRPr="007D0D98" w:rsidRDefault="00870912" w:rsidP="008477BC">
      <w:pPr>
        <w:spacing w:after="0" w:line="360" w:lineRule="auto"/>
        <w:ind w:firstLine="1134"/>
        <w:jc w:val="both"/>
        <w:rPr>
          <w:rFonts w:ascii="Times New Roman" w:hAnsi="Times New Roman" w:cs="Times New Roman"/>
          <w:sz w:val="24"/>
          <w:szCs w:val="24"/>
        </w:rPr>
      </w:pPr>
      <w:r w:rsidRPr="007D0D98">
        <w:rPr>
          <w:rFonts w:ascii="Times New Roman" w:hAnsi="Times New Roman" w:cs="Times New Roman"/>
          <w:sz w:val="24"/>
          <w:szCs w:val="24"/>
        </w:rPr>
        <w:t>Como a legislação vigente prevê uma limitação à formação da família, afirmando que o casamento se dá entre um homem e uma mulher, deseja-se que essa esse entendimento seja ampliando a fim de abarcar o reconhecimento de casamentos entre dois homens ou duas mulheres. O principal fundamento depois do Princípio da Dignidade Humana é o Princípio da Igualdade, contido na Constituição Federal de 1988.</w:t>
      </w:r>
    </w:p>
    <w:p w:rsidR="00FB7DB9" w:rsidRDefault="00D01F72" w:rsidP="008477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igualdade constitui um dos princípios basilares do Estado moderno e da democracia. É um dos princípios imprescindíveis a qualquer Constituição que preze pelo estabelecimento de um Estado de direito justo. Segundo Silva (2012, p. 211), </w:t>
      </w:r>
    </w:p>
    <w:p w:rsidR="00D01F72" w:rsidRDefault="00FB7DB9" w:rsidP="00FB7DB9">
      <w:pPr>
        <w:spacing w:after="0" w:line="240" w:lineRule="auto"/>
        <w:ind w:left="2268"/>
        <w:jc w:val="both"/>
        <w:rPr>
          <w:rFonts w:ascii="Times New Roman" w:hAnsi="Times New Roman" w:cs="Times New Roman"/>
          <w:sz w:val="20"/>
          <w:szCs w:val="20"/>
        </w:rPr>
      </w:pPr>
      <w:r w:rsidRPr="00FB7DB9">
        <w:rPr>
          <w:rFonts w:ascii="Times New Roman" w:hAnsi="Times New Roman" w:cs="Times New Roman"/>
          <w:sz w:val="20"/>
          <w:szCs w:val="20"/>
        </w:rPr>
        <w:t>A</w:t>
      </w:r>
      <w:r w:rsidR="00D01F72" w:rsidRPr="00FB7DB9">
        <w:rPr>
          <w:rFonts w:ascii="Times New Roman" w:hAnsi="Times New Roman" w:cs="Times New Roman"/>
          <w:sz w:val="20"/>
          <w:szCs w:val="20"/>
        </w:rPr>
        <w:t xml:space="preserve"> Constituição de 1988 abre o capítulo dos direitos individuais com princípio de qua todos são iguais perante a lei, sem distinção de qualquer natureza (art. 5º, caput). Reforça o princípio com muitas outras normas sobre a igualdade ou buscando a igualização dos desiguais pela outorga de direitos sociais substanciais. Assim é que, já no mesmo art. 5º, I, declara que homens e mulheres são iguais em direitos e obrigações.</w:t>
      </w:r>
      <w:r>
        <w:rPr>
          <w:rFonts w:ascii="Times New Roman" w:hAnsi="Times New Roman" w:cs="Times New Roman"/>
          <w:sz w:val="20"/>
          <w:szCs w:val="20"/>
        </w:rPr>
        <w:t xml:space="preserve"> (SILVA, 2012, p. 211).</w:t>
      </w:r>
    </w:p>
    <w:p w:rsidR="00FB7DB9" w:rsidRPr="00FB7DB9" w:rsidRDefault="00FB7DB9" w:rsidP="00FB7DB9">
      <w:pPr>
        <w:spacing w:after="0" w:line="240" w:lineRule="auto"/>
        <w:ind w:left="2268"/>
        <w:jc w:val="both"/>
        <w:rPr>
          <w:rFonts w:ascii="Times New Roman" w:hAnsi="Times New Roman" w:cs="Times New Roman"/>
          <w:sz w:val="20"/>
          <w:szCs w:val="20"/>
        </w:rPr>
      </w:pPr>
    </w:p>
    <w:p w:rsidR="00A46499" w:rsidRDefault="00A46499" w:rsidP="008477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Silva (2012, p. 213), a ideia de justiça desenvolvida por Aristóteles vincula-se à ideia de igualdade. No entanto, essa igualdade refere-se a dar a cada um o que lhe é devido. Esse tipo de igualdade, por conseguinte, torna-se impraticável sem uma legislação se volte a tratar de maneira igual os iguais e de maneira desigual os desiguais.</w:t>
      </w:r>
      <w:r w:rsidR="00AD1794">
        <w:rPr>
          <w:rFonts w:ascii="Times New Roman" w:hAnsi="Times New Roman" w:cs="Times New Roman"/>
          <w:sz w:val="24"/>
          <w:szCs w:val="24"/>
        </w:rPr>
        <w:t xml:space="preserve"> Levando-se em conta que desigualdades existem, e ao se buscar uma igualdade real, é a legislação que vem mitigar essas desigualdades.</w:t>
      </w:r>
    </w:p>
    <w:p w:rsidR="008477BC" w:rsidRDefault="00FB7DB9" w:rsidP="008477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o</w:t>
      </w:r>
      <w:r w:rsidR="008477BC">
        <w:rPr>
          <w:rFonts w:ascii="Times New Roman" w:hAnsi="Times New Roman" w:cs="Times New Roman"/>
          <w:sz w:val="24"/>
          <w:szCs w:val="24"/>
        </w:rPr>
        <w:t xml:space="preserve"> Princípio da Igualdade contido na Constituição Brasileira de 1988 apresenta-se nas mais variadas vertentes, dentre elas, a igualdade de gêneros, em seu artigo 5º, inciso I.</w:t>
      </w:r>
    </w:p>
    <w:p w:rsidR="008477BC" w:rsidRDefault="008477BC" w:rsidP="008477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partir da positivação desse princípio na lei mais importante do país, torna-se até desnecessária qualquer discussão acerca de igualdade entre sexos. A isonomia, por ser um princípio, é tão evidente e inerente ao homem, que a união homoafetiva deveria </w:t>
      </w:r>
      <w:proofErr w:type="gramStart"/>
      <w:r>
        <w:rPr>
          <w:rFonts w:ascii="Times New Roman" w:hAnsi="Times New Roman" w:cs="Times New Roman"/>
          <w:sz w:val="24"/>
          <w:szCs w:val="24"/>
        </w:rPr>
        <w:t>há</w:t>
      </w:r>
      <w:proofErr w:type="gramEnd"/>
      <w:r>
        <w:rPr>
          <w:rFonts w:ascii="Times New Roman" w:hAnsi="Times New Roman" w:cs="Times New Roman"/>
          <w:sz w:val="24"/>
          <w:szCs w:val="24"/>
        </w:rPr>
        <w:t xml:space="preserve"> muito ser um instituto reconhecido pela sociedade, independente de legislação. </w:t>
      </w:r>
    </w:p>
    <w:p w:rsidR="00870912" w:rsidRPr="007D0D98" w:rsidRDefault="00870912" w:rsidP="008477BC">
      <w:pPr>
        <w:spacing w:after="0" w:line="360" w:lineRule="auto"/>
        <w:ind w:firstLine="1134"/>
        <w:jc w:val="both"/>
        <w:rPr>
          <w:rFonts w:ascii="Times New Roman" w:hAnsi="Times New Roman" w:cs="Times New Roman"/>
          <w:sz w:val="24"/>
          <w:szCs w:val="24"/>
        </w:rPr>
      </w:pPr>
      <w:r w:rsidRPr="007D0D98">
        <w:rPr>
          <w:rFonts w:ascii="Times New Roman" w:hAnsi="Times New Roman" w:cs="Times New Roman"/>
          <w:sz w:val="24"/>
          <w:szCs w:val="24"/>
        </w:rPr>
        <w:t xml:space="preserve">Segundo Moraes (2013, p. 95), </w:t>
      </w:r>
    </w:p>
    <w:p w:rsidR="00870912" w:rsidRPr="007D0D98" w:rsidRDefault="00870912" w:rsidP="00870912">
      <w:pPr>
        <w:spacing w:after="0" w:line="240" w:lineRule="auto"/>
        <w:ind w:left="2268"/>
        <w:jc w:val="both"/>
        <w:rPr>
          <w:rFonts w:ascii="Times New Roman" w:hAnsi="Times New Roman" w:cs="Times New Roman"/>
          <w:sz w:val="20"/>
          <w:szCs w:val="20"/>
        </w:rPr>
      </w:pPr>
      <w:r w:rsidRPr="007D0D98">
        <w:rPr>
          <w:rFonts w:ascii="Times New Roman" w:hAnsi="Times New Roman" w:cs="Times New Roman"/>
          <w:sz w:val="20"/>
          <w:szCs w:val="20"/>
        </w:rPr>
        <w:t xml:space="preserve">O que se busca vedar são as diferenciações arbitrárias, as discriminações absurdas, pois o tratamento desigual dos casos desiguais, na medida em que se desigualam, é exigência do próprio conceito de Justiça, pois o que realmente protege </w:t>
      </w:r>
      <w:proofErr w:type="gramStart"/>
      <w:r w:rsidRPr="007D0D98">
        <w:rPr>
          <w:rFonts w:ascii="Times New Roman" w:hAnsi="Times New Roman" w:cs="Times New Roman"/>
          <w:sz w:val="20"/>
          <w:szCs w:val="20"/>
        </w:rPr>
        <w:t>são</w:t>
      </w:r>
      <w:proofErr w:type="gramEnd"/>
      <w:r w:rsidRPr="007D0D98">
        <w:rPr>
          <w:rFonts w:ascii="Times New Roman" w:hAnsi="Times New Roman" w:cs="Times New Roman"/>
          <w:sz w:val="20"/>
          <w:szCs w:val="20"/>
        </w:rPr>
        <w:t xml:space="preserve"> certas finalidades, somente se tendo por lesado o princípio constitucional quando o elemento discriminador não se encontra a serviço de uma finalidade acolhida pelo direito. </w:t>
      </w:r>
    </w:p>
    <w:p w:rsidR="00075F69" w:rsidRPr="007D0D98" w:rsidRDefault="00075F69" w:rsidP="00870912">
      <w:pPr>
        <w:spacing w:after="0" w:line="240" w:lineRule="auto"/>
        <w:ind w:left="2268"/>
        <w:jc w:val="both"/>
        <w:rPr>
          <w:rFonts w:ascii="Times New Roman" w:hAnsi="Times New Roman" w:cs="Times New Roman"/>
          <w:sz w:val="20"/>
          <w:szCs w:val="20"/>
        </w:rPr>
      </w:pPr>
    </w:p>
    <w:p w:rsidR="008477BC" w:rsidRPr="007D0D98" w:rsidRDefault="008477BC" w:rsidP="0055131C">
      <w:pPr>
        <w:spacing w:after="0" w:line="360" w:lineRule="auto"/>
        <w:ind w:firstLine="1134"/>
        <w:jc w:val="both"/>
        <w:rPr>
          <w:rFonts w:ascii="Times New Roman" w:hAnsi="Times New Roman" w:cs="Times New Roman"/>
          <w:sz w:val="24"/>
          <w:szCs w:val="24"/>
        </w:rPr>
      </w:pPr>
      <w:r w:rsidRPr="007D0D98">
        <w:rPr>
          <w:rFonts w:ascii="Times New Roman" w:hAnsi="Times New Roman" w:cs="Times New Roman"/>
          <w:sz w:val="24"/>
          <w:szCs w:val="24"/>
        </w:rPr>
        <w:t>Ou seja, independentemente de gênero, os indivíduos são livres para constituir suas famílias com quem quiserem sem necessitar de reconhecimento ou permissão do Estado.</w:t>
      </w:r>
      <w:r w:rsidR="0055131C" w:rsidRPr="007D0D98">
        <w:rPr>
          <w:rFonts w:ascii="Times New Roman" w:hAnsi="Times New Roman" w:cs="Times New Roman"/>
          <w:sz w:val="24"/>
          <w:szCs w:val="24"/>
        </w:rPr>
        <w:t xml:space="preserve"> </w:t>
      </w:r>
    </w:p>
    <w:p w:rsidR="0055131C" w:rsidRPr="007D0D98" w:rsidRDefault="0055131C" w:rsidP="0055131C">
      <w:pPr>
        <w:spacing w:after="0" w:line="360" w:lineRule="auto"/>
        <w:ind w:firstLine="1134"/>
        <w:jc w:val="both"/>
        <w:rPr>
          <w:rFonts w:ascii="Times New Roman" w:hAnsi="Times New Roman" w:cs="Times New Roman"/>
          <w:sz w:val="24"/>
          <w:szCs w:val="24"/>
        </w:rPr>
      </w:pPr>
      <w:r w:rsidRPr="007D0D98">
        <w:rPr>
          <w:rFonts w:ascii="Times New Roman" w:hAnsi="Times New Roman" w:cs="Times New Roman"/>
          <w:sz w:val="24"/>
          <w:szCs w:val="24"/>
        </w:rPr>
        <w:t xml:space="preserve">Dessa forma, defende-se que, para se constituir uma família, o que se precisa na verdade, é de afeto. Independente do sexo dos seus componentes, as relações de amor, carinho e respeito prevalecem mesmo sobre convenções sociais. </w:t>
      </w:r>
    </w:p>
    <w:p w:rsidR="0055131C" w:rsidRPr="007D0D98" w:rsidRDefault="0055131C" w:rsidP="0055131C">
      <w:pPr>
        <w:spacing w:after="0" w:line="360" w:lineRule="auto"/>
        <w:ind w:firstLine="1134"/>
        <w:jc w:val="both"/>
        <w:rPr>
          <w:rFonts w:ascii="Times New Roman" w:hAnsi="Times New Roman" w:cs="Times New Roman"/>
          <w:sz w:val="24"/>
          <w:szCs w:val="24"/>
        </w:rPr>
      </w:pPr>
      <w:r w:rsidRPr="007D0D98">
        <w:rPr>
          <w:rFonts w:ascii="Times New Roman" w:hAnsi="Times New Roman" w:cs="Times New Roman"/>
          <w:sz w:val="24"/>
          <w:szCs w:val="24"/>
        </w:rPr>
        <w:t>Esse modelo de pensamento, tão claro, tão justo deveria prevalecer na sociedade, antes mesmo da legislação. Entretanto, como esta prevê que para o casamento é necessário apenas duas pessoas de sexos opostos, não se pode levar em conta a afetividade.</w:t>
      </w:r>
    </w:p>
    <w:p w:rsidR="0055131C" w:rsidRPr="007D0D98" w:rsidRDefault="0055131C" w:rsidP="0055131C">
      <w:pPr>
        <w:spacing w:after="0" w:line="360" w:lineRule="auto"/>
        <w:ind w:firstLine="1134"/>
        <w:jc w:val="both"/>
        <w:rPr>
          <w:rFonts w:ascii="Times New Roman" w:hAnsi="Times New Roman" w:cs="Times New Roman"/>
          <w:sz w:val="24"/>
          <w:szCs w:val="24"/>
        </w:rPr>
      </w:pPr>
      <w:r w:rsidRPr="007D0D98">
        <w:rPr>
          <w:rFonts w:ascii="Times New Roman" w:hAnsi="Times New Roman" w:cs="Times New Roman"/>
          <w:sz w:val="24"/>
          <w:szCs w:val="24"/>
        </w:rPr>
        <w:t>Ora, esse raciocínio vai de encontro aos preceitos fundamentais básicos do ser humano, tão defendidos pela Constituição Federal de 1988.</w:t>
      </w:r>
    </w:p>
    <w:p w:rsidR="0055131C" w:rsidRPr="007D0D98" w:rsidRDefault="0055131C" w:rsidP="0055131C">
      <w:pPr>
        <w:spacing w:after="0" w:line="360" w:lineRule="auto"/>
        <w:ind w:firstLine="1134"/>
        <w:jc w:val="both"/>
        <w:rPr>
          <w:rFonts w:ascii="Times New Roman" w:hAnsi="Times New Roman" w:cs="Times New Roman"/>
          <w:b/>
          <w:bCs/>
          <w:sz w:val="24"/>
          <w:szCs w:val="24"/>
        </w:rPr>
      </w:pPr>
    </w:p>
    <w:p w:rsidR="009A2B70" w:rsidRDefault="009A2B70" w:rsidP="009A2B70">
      <w:pPr>
        <w:spacing w:after="0" w:line="360" w:lineRule="auto"/>
        <w:jc w:val="both"/>
        <w:rPr>
          <w:rFonts w:ascii="Times New Roman" w:hAnsi="Times New Roman" w:cs="Times New Roman"/>
          <w:b/>
          <w:bCs/>
          <w:sz w:val="24"/>
          <w:szCs w:val="24"/>
        </w:rPr>
      </w:pPr>
      <w:proofErr w:type="gramStart"/>
      <w:r w:rsidRPr="009A2B70">
        <w:rPr>
          <w:rFonts w:ascii="Times New Roman" w:hAnsi="Times New Roman" w:cs="Times New Roman"/>
          <w:b/>
          <w:bCs/>
          <w:sz w:val="24"/>
          <w:szCs w:val="24"/>
        </w:rPr>
        <w:t>5</w:t>
      </w:r>
      <w:proofErr w:type="gramEnd"/>
      <w:r w:rsidRPr="009A2B70">
        <w:rPr>
          <w:rFonts w:ascii="Times New Roman" w:hAnsi="Times New Roman" w:cs="Times New Roman"/>
          <w:b/>
          <w:bCs/>
          <w:sz w:val="24"/>
          <w:szCs w:val="24"/>
        </w:rPr>
        <w:t xml:space="preserve"> O ENTENDIMENTO DO STF ACERCA DA UNIÃO HOMOAFETIVA</w:t>
      </w:r>
    </w:p>
    <w:p w:rsidR="008477BC" w:rsidRDefault="008477BC" w:rsidP="008477BC">
      <w:pPr>
        <w:spacing w:after="0" w:line="240" w:lineRule="auto"/>
        <w:jc w:val="both"/>
        <w:rPr>
          <w:rFonts w:ascii="Times New Roman" w:hAnsi="Times New Roman" w:cs="Times New Roman"/>
          <w:b/>
          <w:bCs/>
          <w:sz w:val="24"/>
          <w:szCs w:val="24"/>
        </w:rPr>
      </w:pPr>
    </w:p>
    <w:p w:rsidR="00F7168A" w:rsidRPr="00F7168A" w:rsidRDefault="00F7168A" w:rsidP="00F7168A">
      <w:pPr>
        <w:spacing w:after="0" w:line="240" w:lineRule="auto"/>
        <w:ind w:left="2268"/>
        <w:jc w:val="both"/>
        <w:rPr>
          <w:rFonts w:ascii="Times New Roman" w:hAnsi="Times New Roman" w:cs="Times New Roman"/>
          <w:color w:val="FF0000"/>
          <w:sz w:val="20"/>
          <w:szCs w:val="20"/>
        </w:rPr>
      </w:pPr>
    </w:p>
    <w:p w:rsidR="008477BC" w:rsidRDefault="008477BC" w:rsidP="008477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Como o Estado brasileiro cria uma lei para fazer outra ser cumprida, foi necessário o entendimento do Supremo Tribunal Federal para mais uma vez positivar aquilo que já era previsto constitucionalmente, ou seja, a igualdade entre os sexos.</w:t>
      </w:r>
      <w:r w:rsidR="00727CAB">
        <w:rPr>
          <w:rFonts w:ascii="Times New Roman" w:hAnsi="Times New Roman" w:cs="Times New Roman"/>
          <w:sz w:val="24"/>
          <w:szCs w:val="24"/>
        </w:rPr>
        <w:t xml:space="preserve"> </w:t>
      </w:r>
    </w:p>
    <w:p w:rsidR="00A440DB" w:rsidRDefault="00727CAB" w:rsidP="008477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Tendo em vista que a união entre pessoas do mesmo sexo é algo bastante visível na sociedade brasileira, muitas pessoas têm tornado essa união duradoura e permanente, demandando uma previsão legislativa acerca do instituto do casamento entre pessoas do mesmo sexo. </w:t>
      </w:r>
    </w:p>
    <w:p w:rsidR="00727CAB" w:rsidRDefault="00A440DB" w:rsidP="008477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a Constituição Federal de 1988 prevê que o casamento só ocorre entre pessoas de sexos opostos, ou seja, apenas entre homem e mulher, a sociedade tem </w:t>
      </w:r>
      <w:r w:rsidR="007E2B6B">
        <w:rPr>
          <w:rFonts w:ascii="Times New Roman" w:hAnsi="Times New Roman" w:cs="Times New Roman"/>
          <w:sz w:val="24"/>
          <w:szCs w:val="24"/>
        </w:rPr>
        <w:t>necessitado de um entendimento jurídico acerca do assunto. Nesse caso, cabe ao Supremo Tribunal Federal pacificar as controvérsias existentes entre os entendimentos de vários tribunais distribuídos no país.</w:t>
      </w:r>
      <w:r w:rsidR="00727CAB">
        <w:rPr>
          <w:rFonts w:ascii="Times New Roman" w:hAnsi="Times New Roman" w:cs="Times New Roman"/>
          <w:sz w:val="24"/>
          <w:szCs w:val="24"/>
        </w:rPr>
        <w:t xml:space="preserve"> </w:t>
      </w:r>
    </w:p>
    <w:p w:rsidR="007D0D98" w:rsidRPr="007D0D98" w:rsidRDefault="00F7168A" w:rsidP="007D0D98">
      <w:pPr>
        <w:spacing w:after="0" w:line="360" w:lineRule="auto"/>
        <w:ind w:firstLine="1134"/>
        <w:jc w:val="both"/>
        <w:rPr>
          <w:rFonts w:ascii="Times New Roman" w:hAnsi="Times New Roman" w:cs="Times New Roman"/>
          <w:sz w:val="24"/>
          <w:szCs w:val="24"/>
        </w:rPr>
      </w:pPr>
      <w:r w:rsidRPr="007D0D98">
        <w:rPr>
          <w:rFonts w:ascii="Times New Roman" w:hAnsi="Times New Roman" w:cs="Times New Roman"/>
          <w:sz w:val="24"/>
          <w:szCs w:val="24"/>
        </w:rPr>
        <w:t>No ano de 2008, foi ajuizada a Arguição de Descumprimento de Preceito Fundamental (ADPF) n° 132 a qual requeria uma interpretação da Constituição Federal de 1988, acerca da não aceitação de uniões homoafetivas. (SILVA, 2013, p.?).</w:t>
      </w:r>
      <w:r w:rsidR="007D0D98" w:rsidRPr="007D0D98">
        <w:rPr>
          <w:rFonts w:ascii="Times New Roman" w:hAnsi="Times New Roman" w:cs="Times New Roman"/>
          <w:sz w:val="24"/>
          <w:szCs w:val="24"/>
        </w:rPr>
        <w:t xml:space="preserve"> </w:t>
      </w:r>
      <w:r w:rsidR="007D0D98" w:rsidRPr="007D0D98">
        <w:rPr>
          <w:rFonts w:ascii="Times New Roman" w:hAnsi="Times New Roman" w:cs="Times New Roman"/>
          <w:sz w:val="24"/>
          <w:szCs w:val="24"/>
        </w:rPr>
        <w:t>Como o Ministro Relator Ayres Brito definiu a demanda:</w:t>
      </w:r>
    </w:p>
    <w:p w:rsidR="007D0D98" w:rsidRPr="007D0D98" w:rsidRDefault="007D0D98" w:rsidP="007D0D98">
      <w:pPr>
        <w:spacing w:after="0" w:line="240" w:lineRule="auto"/>
        <w:ind w:left="2268"/>
        <w:jc w:val="both"/>
        <w:rPr>
          <w:rFonts w:ascii="Times New Roman" w:hAnsi="Times New Roman" w:cs="Times New Roman"/>
          <w:sz w:val="20"/>
          <w:szCs w:val="20"/>
        </w:rPr>
      </w:pPr>
      <w:r w:rsidRPr="007D0D98">
        <w:rPr>
          <w:rFonts w:ascii="Times New Roman" w:hAnsi="Times New Roman" w:cs="Times New Roman"/>
          <w:sz w:val="20"/>
          <w:szCs w:val="20"/>
        </w:rPr>
        <w:t>Com o que este Plenário terá bem mais abrangentes possibilidades de, pela primeira vez no curso de sua longa história, apreciar o mérito dessa tão recorrente quanto intrinsecamente relevante controvérsia em torno da união estável entre pessoas do mesmo sexo, com todos os seus consectários jurídicos. Em suma, estamos a lidar com um tipo de dissenso judicial que reflete o fato histórico de que nada incomoda mais as pessoas do que a preferência sexual alheia, quando tal preferência já não corresponde ao padrão social da heterossexualidade. É a velha postura de reação conservadora aos que, nos insondáveis domínios do afeto, soltam por inteiro as amarras desse navio chamado coração.</w:t>
      </w:r>
    </w:p>
    <w:p w:rsidR="00F7168A" w:rsidRPr="007D0D98" w:rsidRDefault="00F7168A" w:rsidP="007D0D98">
      <w:pPr>
        <w:spacing w:after="0" w:line="240" w:lineRule="auto"/>
        <w:ind w:firstLine="1134"/>
        <w:jc w:val="both"/>
        <w:rPr>
          <w:rFonts w:ascii="Times New Roman" w:hAnsi="Times New Roman" w:cs="Times New Roman"/>
          <w:sz w:val="24"/>
          <w:szCs w:val="24"/>
        </w:rPr>
      </w:pPr>
    </w:p>
    <w:p w:rsidR="00F7168A" w:rsidRPr="007D0D98" w:rsidRDefault="00F7168A" w:rsidP="007D0D98">
      <w:pPr>
        <w:spacing w:after="0" w:line="360" w:lineRule="auto"/>
        <w:ind w:firstLine="1134"/>
        <w:jc w:val="both"/>
        <w:rPr>
          <w:rFonts w:ascii="Times New Roman" w:hAnsi="Times New Roman" w:cs="Times New Roman"/>
          <w:sz w:val="20"/>
          <w:szCs w:val="20"/>
        </w:rPr>
      </w:pPr>
      <w:r w:rsidRPr="007D0D98">
        <w:rPr>
          <w:rFonts w:ascii="Times New Roman" w:hAnsi="Times New Roman" w:cs="Times New Roman"/>
          <w:sz w:val="24"/>
          <w:szCs w:val="24"/>
        </w:rPr>
        <w:t xml:space="preserve">Como afirma Silva (2013, p.?), apenas em 2011, o Supremo Tribunal Federal proferiu um julgado histórico, no qual reconheceu, de forma unânime, a união estável entre pessoas de mesmo sexo. </w:t>
      </w:r>
    </w:p>
    <w:p w:rsidR="00727CAB" w:rsidRDefault="00727CAB" w:rsidP="007D0D98">
      <w:pPr>
        <w:spacing w:after="0" w:line="240" w:lineRule="auto"/>
        <w:jc w:val="both"/>
        <w:rPr>
          <w:rFonts w:ascii="Times New Roman" w:hAnsi="Times New Roman" w:cs="Times New Roman"/>
          <w:sz w:val="24"/>
          <w:szCs w:val="24"/>
        </w:rPr>
      </w:pPr>
    </w:p>
    <w:p w:rsidR="00BE0CA3" w:rsidRDefault="009A2B70" w:rsidP="009A2B70">
      <w:pPr>
        <w:spacing w:after="0" w:line="360" w:lineRule="auto"/>
        <w:jc w:val="both"/>
        <w:rPr>
          <w:rFonts w:ascii="Times New Roman" w:hAnsi="Times New Roman" w:cs="Times New Roman"/>
          <w:b/>
          <w:bCs/>
          <w:sz w:val="24"/>
          <w:szCs w:val="24"/>
        </w:rPr>
      </w:pPr>
      <w:proofErr w:type="gramStart"/>
      <w:r w:rsidRPr="009A2B70">
        <w:rPr>
          <w:rFonts w:ascii="Times New Roman" w:hAnsi="Times New Roman" w:cs="Times New Roman"/>
          <w:b/>
          <w:bCs/>
          <w:sz w:val="24"/>
          <w:szCs w:val="24"/>
        </w:rPr>
        <w:t>6</w:t>
      </w:r>
      <w:proofErr w:type="gramEnd"/>
      <w:r w:rsidRPr="009A2B70">
        <w:rPr>
          <w:rFonts w:ascii="Times New Roman" w:hAnsi="Times New Roman" w:cs="Times New Roman"/>
          <w:b/>
          <w:bCs/>
          <w:sz w:val="24"/>
          <w:szCs w:val="24"/>
        </w:rPr>
        <w:t xml:space="preserve"> CONSIDERAÇÕES FINAIS </w:t>
      </w:r>
    </w:p>
    <w:p w:rsidR="00BE0CA3" w:rsidRDefault="00BE0CA3" w:rsidP="00BE0CA3">
      <w:pPr>
        <w:spacing w:after="0" w:line="240" w:lineRule="auto"/>
        <w:jc w:val="both"/>
        <w:rPr>
          <w:rFonts w:ascii="Times New Roman" w:hAnsi="Times New Roman" w:cs="Times New Roman"/>
          <w:b/>
          <w:bCs/>
          <w:sz w:val="24"/>
          <w:szCs w:val="24"/>
        </w:rPr>
      </w:pPr>
    </w:p>
    <w:p w:rsidR="00BE0CA3" w:rsidRPr="00BE0CA3" w:rsidRDefault="00BE0CA3" w:rsidP="00BE0CA3">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 união estável entre pessoas do mesmo sexo tem se tornado cada vez mais comum no Brasil e no mundo. Embora o comportamento homossexual sempre tenha estado presente na história</w:t>
      </w:r>
      <w:r w:rsidR="00443449">
        <w:rPr>
          <w:rFonts w:ascii="Times New Roman" w:hAnsi="Times New Roman" w:cs="Times New Roman"/>
          <w:bCs/>
          <w:sz w:val="24"/>
          <w:szCs w:val="24"/>
        </w:rPr>
        <w:t xml:space="preserve"> da humanidade</w:t>
      </w:r>
      <w:r>
        <w:rPr>
          <w:rFonts w:ascii="Times New Roman" w:hAnsi="Times New Roman" w:cs="Times New Roman"/>
          <w:bCs/>
          <w:sz w:val="24"/>
          <w:szCs w:val="24"/>
        </w:rPr>
        <w:t>, atualmente, com a liberalização dos costumes, tornou-se mais evidente a união homoafetiva. Esse tipo de mudança nos costumes sociais demanda</w:t>
      </w:r>
      <w:r w:rsidR="00443449">
        <w:rPr>
          <w:rFonts w:ascii="Times New Roman" w:hAnsi="Times New Roman" w:cs="Times New Roman"/>
          <w:bCs/>
          <w:sz w:val="24"/>
          <w:szCs w:val="24"/>
        </w:rPr>
        <w:t xml:space="preserve">, por conseguinte, </w:t>
      </w:r>
      <w:r>
        <w:rPr>
          <w:rFonts w:ascii="Times New Roman" w:hAnsi="Times New Roman" w:cs="Times New Roman"/>
          <w:bCs/>
          <w:sz w:val="24"/>
          <w:szCs w:val="24"/>
        </w:rPr>
        <w:t xml:space="preserve">uma modificação legislativa. </w:t>
      </w:r>
    </w:p>
    <w:p w:rsidR="00AD1794" w:rsidRDefault="00AD1794" w:rsidP="00AD1794">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O Supremo Tribunal Federal, por ser a instância máxima do Poder Judiciário no Brasil, emite pareceres acerca dos mais diversos assuntos objetos de controvérsias jurídicas. </w:t>
      </w:r>
      <w:r>
        <w:rPr>
          <w:rFonts w:ascii="Times New Roman" w:hAnsi="Times New Roman" w:cs="Times New Roman"/>
          <w:bCs/>
          <w:sz w:val="24"/>
          <w:szCs w:val="24"/>
        </w:rPr>
        <w:lastRenderedPageBreak/>
        <w:t xml:space="preserve">Esse é o caso da União Homoafetiva, que vem abrir espaço na legislação brasileira, tendo em vista que a Constituição Federal de 1988 </w:t>
      </w:r>
      <w:r w:rsidR="00443449">
        <w:rPr>
          <w:rFonts w:ascii="Times New Roman" w:hAnsi="Times New Roman" w:cs="Times New Roman"/>
          <w:bCs/>
          <w:sz w:val="24"/>
          <w:szCs w:val="24"/>
        </w:rPr>
        <w:t xml:space="preserve">ao mesmo tempo em que </w:t>
      </w:r>
      <w:r>
        <w:rPr>
          <w:rFonts w:ascii="Times New Roman" w:hAnsi="Times New Roman" w:cs="Times New Roman"/>
          <w:bCs/>
          <w:sz w:val="24"/>
          <w:szCs w:val="24"/>
        </w:rPr>
        <w:t>tem</w:t>
      </w:r>
      <w:r w:rsidR="00443449">
        <w:rPr>
          <w:rFonts w:ascii="Times New Roman" w:hAnsi="Times New Roman" w:cs="Times New Roman"/>
          <w:bCs/>
          <w:sz w:val="24"/>
          <w:szCs w:val="24"/>
        </w:rPr>
        <w:t xml:space="preserve"> a igualdade, </w:t>
      </w:r>
      <w:r>
        <w:rPr>
          <w:rFonts w:ascii="Times New Roman" w:hAnsi="Times New Roman" w:cs="Times New Roman"/>
          <w:bCs/>
          <w:sz w:val="24"/>
          <w:szCs w:val="24"/>
        </w:rPr>
        <w:t>um de seus princípio</w:t>
      </w:r>
      <w:r w:rsidR="00443449">
        <w:rPr>
          <w:rFonts w:ascii="Times New Roman" w:hAnsi="Times New Roman" w:cs="Times New Roman"/>
          <w:bCs/>
          <w:sz w:val="24"/>
          <w:szCs w:val="24"/>
        </w:rPr>
        <w:t>s basilares, prevê que o instituto do casamento só se dá entre homem e mulher.</w:t>
      </w:r>
    </w:p>
    <w:p w:rsidR="00A71636" w:rsidRPr="00AD1794" w:rsidRDefault="00443449" w:rsidP="00AD1794">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Essa contradição requer a compreensão da</w:t>
      </w:r>
      <w:r w:rsidR="00AD1794">
        <w:rPr>
          <w:rFonts w:ascii="Times New Roman" w:hAnsi="Times New Roman" w:cs="Times New Roman"/>
          <w:bCs/>
          <w:sz w:val="24"/>
          <w:szCs w:val="24"/>
        </w:rPr>
        <w:t xml:space="preserve"> justiça aristotélica como pano de fundo </w:t>
      </w:r>
      <w:r>
        <w:rPr>
          <w:rFonts w:ascii="Times New Roman" w:hAnsi="Times New Roman" w:cs="Times New Roman"/>
          <w:bCs/>
          <w:sz w:val="24"/>
          <w:szCs w:val="24"/>
        </w:rPr>
        <w:t xml:space="preserve">com a finalidade de uma melhor </w:t>
      </w:r>
      <w:r w:rsidR="00AD1794">
        <w:rPr>
          <w:rFonts w:ascii="Times New Roman" w:hAnsi="Times New Roman" w:cs="Times New Roman"/>
          <w:bCs/>
          <w:sz w:val="24"/>
          <w:szCs w:val="24"/>
        </w:rPr>
        <w:t xml:space="preserve">análise </w:t>
      </w:r>
      <w:r>
        <w:rPr>
          <w:rFonts w:ascii="Times New Roman" w:hAnsi="Times New Roman" w:cs="Times New Roman"/>
          <w:bCs/>
          <w:sz w:val="24"/>
          <w:szCs w:val="24"/>
        </w:rPr>
        <w:t xml:space="preserve">de </w:t>
      </w:r>
      <w:r w:rsidR="00AD1794">
        <w:rPr>
          <w:rFonts w:ascii="Times New Roman" w:hAnsi="Times New Roman" w:cs="Times New Roman"/>
          <w:bCs/>
          <w:sz w:val="24"/>
          <w:szCs w:val="24"/>
        </w:rPr>
        <w:t xml:space="preserve">nossa legislação. </w:t>
      </w:r>
      <w:r w:rsidR="00A71636">
        <w:rPr>
          <w:rFonts w:ascii="Times New Roman" w:hAnsi="Times New Roman" w:cs="Times New Roman"/>
          <w:bCs/>
          <w:sz w:val="24"/>
          <w:szCs w:val="24"/>
        </w:rPr>
        <w:t xml:space="preserve">Dessa forma, </w:t>
      </w:r>
      <w:r w:rsidR="00FA2D23">
        <w:rPr>
          <w:rFonts w:ascii="Times New Roman" w:hAnsi="Times New Roman" w:cs="Times New Roman"/>
          <w:bCs/>
          <w:sz w:val="24"/>
          <w:szCs w:val="24"/>
        </w:rPr>
        <w:t>a União Homoafetiva pode apresentar a como fundamento, o pensamento filosófico aristotélico em defesa da justiça, tendo em vista que Aristóteles relacionava a ideia de justiça à ideia de ética, o tratamento igualitário é uma forma de justiça social.</w:t>
      </w:r>
    </w:p>
    <w:p w:rsidR="008477BC" w:rsidRDefault="008477BC" w:rsidP="008477BC">
      <w:pPr>
        <w:jc w:val="center"/>
        <w:rPr>
          <w:rFonts w:ascii="Times New Roman" w:hAnsi="Times New Roman" w:cs="Times New Roman"/>
          <w:b/>
          <w:bCs/>
          <w:sz w:val="24"/>
          <w:szCs w:val="24"/>
        </w:rPr>
      </w:pPr>
    </w:p>
    <w:p w:rsidR="007E2B6B" w:rsidRDefault="007E2B6B" w:rsidP="008477BC">
      <w:pPr>
        <w:jc w:val="center"/>
        <w:rPr>
          <w:rFonts w:ascii="Times New Roman" w:hAnsi="Times New Roman" w:cs="Times New Roman"/>
          <w:sz w:val="24"/>
          <w:szCs w:val="24"/>
        </w:rPr>
      </w:pPr>
    </w:p>
    <w:p w:rsidR="007E2B6B" w:rsidRDefault="007E2B6B" w:rsidP="008477BC">
      <w:pPr>
        <w:jc w:val="center"/>
        <w:rPr>
          <w:rFonts w:ascii="Times New Roman" w:hAnsi="Times New Roman" w:cs="Times New Roman"/>
          <w:sz w:val="24"/>
          <w:szCs w:val="24"/>
        </w:rPr>
      </w:pPr>
    </w:p>
    <w:p w:rsidR="007E2B6B" w:rsidRDefault="007E2B6B" w:rsidP="008477BC">
      <w:pPr>
        <w:jc w:val="center"/>
        <w:rPr>
          <w:rFonts w:ascii="Times New Roman" w:hAnsi="Times New Roman" w:cs="Times New Roman"/>
          <w:sz w:val="24"/>
          <w:szCs w:val="24"/>
        </w:rPr>
      </w:pPr>
    </w:p>
    <w:p w:rsidR="007E2B6B" w:rsidRDefault="007E2B6B" w:rsidP="008477BC">
      <w:pPr>
        <w:jc w:val="center"/>
        <w:rPr>
          <w:rFonts w:ascii="Times New Roman" w:hAnsi="Times New Roman" w:cs="Times New Roman"/>
          <w:sz w:val="24"/>
          <w:szCs w:val="24"/>
        </w:rPr>
      </w:pPr>
    </w:p>
    <w:p w:rsidR="007E2B6B" w:rsidRDefault="007E2B6B" w:rsidP="008477BC">
      <w:pPr>
        <w:jc w:val="center"/>
        <w:rPr>
          <w:rFonts w:ascii="Times New Roman" w:hAnsi="Times New Roman" w:cs="Times New Roman"/>
          <w:sz w:val="24"/>
          <w:szCs w:val="24"/>
        </w:rPr>
      </w:pPr>
    </w:p>
    <w:p w:rsidR="007E2B6B" w:rsidRDefault="007E2B6B" w:rsidP="008477BC">
      <w:pPr>
        <w:jc w:val="center"/>
        <w:rPr>
          <w:rFonts w:ascii="Times New Roman" w:hAnsi="Times New Roman" w:cs="Times New Roman"/>
          <w:sz w:val="24"/>
          <w:szCs w:val="24"/>
        </w:rPr>
      </w:pPr>
    </w:p>
    <w:p w:rsidR="007E2B6B" w:rsidRDefault="007E2B6B" w:rsidP="008477BC">
      <w:pPr>
        <w:jc w:val="center"/>
        <w:rPr>
          <w:rFonts w:ascii="Times New Roman" w:hAnsi="Times New Roman" w:cs="Times New Roman"/>
          <w:sz w:val="24"/>
          <w:szCs w:val="24"/>
        </w:rPr>
      </w:pPr>
    </w:p>
    <w:p w:rsidR="007E2B6B" w:rsidRDefault="007E2B6B" w:rsidP="008477BC">
      <w:pPr>
        <w:jc w:val="center"/>
        <w:rPr>
          <w:rFonts w:ascii="Times New Roman" w:hAnsi="Times New Roman" w:cs="Times New Roman"/>
          <w:sz w:val="24"/>
          <w:szCs w:val="24"/>
        </w:rPr>
      </w:pPr>
    </w:p>
    <w:p w:rsidR="007E2B6B" w:rsidRDefault="007E2B6B" w:rsidP="008477BC">
      <w:pPr>
        <w:jc w:val="center"/>
        <w:rPr>
          <w:rFonts w:ascii="Times New Roman" w:hAnsi="Times New Roman" w:cs="Times New Roman"/>
          <w:sz w:val="24"/>
          <w:szCs w:val="24"/>
        </w:rPr>
      </w:pPr>
    </w:p>
    <w:p w:rsidR="007E2B6B" w:rsidRDefault="007E2B6B" w:rsidP="008477BC">
      <w:pPr>
        <w:jc w:val="center"/>
        <w:rPr>
          <w:rFonts w:ascii="Times New Roman" w:hAnsi="Times New Roman" w:cs="Times New Roman"/>
          <w:sz w:val="24"/>
          <w:szCs w:val="24"/>
        </w:rPr>
      </w:pPr>
    </w:p>
    <w:p w:rsidR="00870912" w:rsidRDefault="00870912" w:rsidP="008477BC">
      <w:pPr>
        <w:jc w:val="center"/>
        <w:rPr>
          <w:rFonts w:ascii="Times New Roman" w:hAnsi="Times New Roman" w:cs="Times New Roman"/>
          <w:sz w:val="24"/>
          <w:szCs w:val="24"/>
        </w:rPr>
      </w:pPr>
    </w:p>
    <w:p w:rsidR="00F7168A" w:rsidRDefault="00F7168A" w:rsidP="008477BC">
      <w:pPr>
        <w:jc w:val="center"/>
        <w:rPr>
          <w:rFonts w:ascii="Times New Roman" w:hAnsi="Times New Roman" w:cs="Times New Roman"/>
          <w:sz w:val="24"/>
          <w:szCs w:val="24"/>
        </w:rPr>
      </w:pPr>
    </w:p>
    <w:p w:rsidR="00F7168A" w:rsidRDefault="00F7168A" w:rsidP="008477BC">
      <w:pPr>
        <w:jc w:val="center"/>
        <w:rPr>
          <w:rFonts w:ascii="Times New Roman" w:hAnsi="Times New Roman" w:cs="Times New Roman"/>
          <w:sz w:val="24"/>
          <w:szCs w:val="24"/>
        </w:rPr>
      </w:pPr>
    </w:p>
    <w:p w:rsidR="00F7168A" w:rsidRDefault="00F7168A" w:rsidP="008477BC">
      <w:pPr>
        <w:jc w:val="center"/>
        <w:rPr>
          <w:rFonts w:ascii="Times New Roman" w:hAnsi="Times New Roman" w:cs="Times New Roman"/>
          <w:sz w:val="24"/>
          <w:szCs w:val="24"/>
        </w:rPr>
      </w:pPr>
    </w:p>
    <w:p w:rsidR="00F7168A" w:rsidRDefault="00F7168A" w:rsidP="008477BC">
      <w:pPr>
        <w:jc w:val="center"/>
        <w:rPr>
          <w:rFonts w:ascii="Times New Roman" w:hAnsi="Times New Roman" w:cs="Times New Roman"/>
          <w:sz w:val="24"/>
          <w:szCs w:val="24"/>
        </w:rPr>
      </w:pPr>
    </w:p>
    <w:p w:rsidR="00F7168A" w:rsidRDefault="00F7168A" w:rsidP="008477BC">
      <w:pPr>
        <w:jc w:val="center"/>
        <w:rPr>
          <w:rFonts w:ascii="Times New Roman" w:hAnsi="Times New Roman" w:cs="Times New Roman"/>
          <w:sz w:val="24"/>
          <w:szCs w:val="24"/>
        </w:rPr>
      </w:pPr>
    </w:p>
    <w:p w:rsidR="00F7168A" w:rsidRDefault="00F7168A" w:rsidP="008477BC">
      <w:pPr>
        <w:jc w:val="center"/>
        <w:rPr>
          <w:rFonts w:ascii="Times New Roman" w:hAnsi="Times New Roman" w:cs="Times New Roman"/>
          <w:sz w:val="24"/>
          <w:szCs w:val="24"/>
        </w:rPr>
      </w:pPr>
    </w:p>
    <w:p w:rsidR="00F7168A" w:rsidRDefault="00F7168A" w:rsidP="008477BC">
      <w:pPr>
        <w:jc w:val="center"/>
        <w:rPr>
          <w:rFonts w:ascii="Times New Roman" w:hAnsi="Times New Roman" w:cs="Times New Roman"/>
          <w:sz w:val="24"/>
          <w:szCs w:val="24"/>
        </w:rPr>
      </w:pPr>
    </w:p>
    <w:p w:rsidR="00870912" w:rsidRDefault="00870912" w:rsidP="007D0D98">
      <w:pPr>
        <w:rPr>
          <w:rFonts w:ascii="Times New Roman" w:hAnsi="Times New Roman" w:cs="Times New Roman"/>
          <w:sz w:val="24"/>
          <w:szCs w:val="24"/>
        </w:rPr>
      </w:pPr>
    </w:p>
    <w:p w:rsidR="007D0D98" w:rsidRDefault="007D0D98" w:rsidP="007D0D98">
      <w:pPr>
        <w:rPr>
          <w:rFonts w:ascii="Times New Roman" w:hAnsi="Times New Roman" w:cs="Times New Roman"/>
          <w:sz w:val="24"/>
          <w:szCs w:val="24"/>
        </w:rPr>
      </w:pPr>
    </w:p>
    <w:p w:rsidR="008477BC" w:rsidRDefault="008477BC" w:rsidP="008477BC">
      <w:pPr>
        <w:jc w:val="center"/>
        <w:rPr>
          <w:rFonts w:ascii="Times New Roman" w:hAnsi="Times New Roman" w:cs="Times New Roman"/>
          <w:sz w:val="24"/>
          <w:szCs w:val="24"/>
        </w:rPr>
      </w:pPr>
      <w:r>
        <w:rPr>
          <w:rFonts w:ascii="Times New Roman" w:hAnsi="Times New Roman" w:cs="Times New Roman"/>
          <w:sz w:val="24"/>
          <w:szCs w:val="24"/>
        </w:rPr>
        <w:lastRenderedPageBreak/>
        <w:t>REFERÊNCIAS</w:t>
      </w:r>
    </w:p>
    <w:p w:rsidR="008477BC" w:rsidRDefault="008477BC" w:rsidP="00D01F72">
      <w:pPr>
        <w:spacing w:after="0" w:line="240" w:lineRule="auto"/>
        <w:jc w:val="center"/>
        <w:rPr>
          <w:rFonts w:ascii="Times New Roman" w:hAnsi="Times New Roman" w:cs="Times New Roman"/>
          <w:sz w:val="24"/>
          <w:szCs w:val="24"/>
        </w:rPr>
      </w:pPr>
    </w:p>
    <w:p w:rsidR="008477BC" w:rsidRDefault="008477BC" w:rsidP="00D01F7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ADEODATO, João Maurício. </w:t>
      </w:r>
      <w:r>
        <w:rPr>
          <w:rFonts w:ascii="Times New Roman" w:hAnsi="Times New Roman" w:cs="Times New Roman"/>
          <w:b/>
          <w:sz w:val="24"/>
          <w:szCs w:val="24"/>
        </w:rPr>
        <w:t>Filosofia do direito</w:t>
      </w:r>
      <w:r>
        <w:rPr>
          <w:rFonts w:ascii="Times New Roman" w:hAnsi="Times New Roman" w:cs="Times New Roman"/>
          <w:sz w:val="24"/>
          <w:szCs w:val="24"/>
        </w:rPr>
        <w:t xml:space="preserve">: uma crítica à verdade na ética e na ciência. – 2.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rev. e ampl. –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2002.</w:t>
      </w:r>
    </w:p>
    <w:p w:rsidR="00A879DD" w:rsidRDefault="00A879DD" w:rsidP="00A879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ARISTÓTELES. </w:t>
      </w:r>
      <w:r w:rsidRPr="0093238E">
        <w:rPr>
          <w:rFonts w:ascii="Times New Roman" w:hAnsi="Times New Roman" w:cs="Times New Roman"/>
          <w:b/>
          <w:sz w:val="24"/>
          <w:szCs w:val="24"/>
        </w:rPr>
        <w:t>Ética a Nicômaco</w:t>
      </w:r>
      <w:r>
        <w:rPr>
          <w:rFonts w:ascii="Times New Roman" w:hAnsi="Times New Roman" w:cs="Times New Roman"/>
          <w:sz w:val="24"/>
          <w:szCs w:val="24"/>
        </w:rPr>
        <w:t xml:space="preserve">. – 6.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 São Paulo: Editora Martin Claret, 2013.</w:t>
      </w:r>
    </w:p>
    <w:p w:rsidR="008477BC" w:rsidRDefault="008477BC" w:rsidP="00D01F72">
      <w:pPr>
        <w:spacing w:line="240" w:lineRule="auto"/>
        <w:rPr>
          <w:rFonts w:ascii="Times New Roman" w:hAnsi="Times New Roman" w:cs="Times New Roman"/>
          <w:sz w:val="24"/>
          <w:szCs w:val="24"/>
        </w:rPr>
      </w:pPr>
      <w:r>
        <w:rPr>
          <w:rFonts w:ascii="Times New Roman" w:hAnsi="Times New Roman" w:cs="Times New Roman"/>
          <w:sz w:val="24"/>
          <w:szCs w:val="24"/>
        </w:rPr>
        <w:t xml:space="preserve">BITTAR, Eduardo C. B. </w:t>
      </w:r>
      <w:r>
        <w:rPr>
          <w:rFonts w:ascii="Times New Roman" w:hAnsi="Times New Roman" w:cs="Times New Roman"/>
          <w:b/>
          <w:sz w:val="24"/>
          <w:szCs w:val="24"/>
        </w:rPr>
        <w:t>Curso de ética jurídica</w:t>
      </w:r>
      <w:r>
        <w:rPr>
          <w:rFonts w:ascii="Times New Roman" w:hAnsi="Times New Roman" w:cs="Times New Roman"/>
          <w:sz w:val="24"/>
          <w:szCs w:val="24"/>
        </w:rPr>
        <w:t xml:space="preserve">: ética geral e profissional. – 3.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rev. – São Paulo: Saraiva, 2005.</w:t>
      </w:r>
    </w:p>
    <w:p w:rsidR="00870912" w:rsidRDefault="00870912" w:rsidP="00D01F72">
      <w:pPr>
        <w:spacing w:line="240" w:lineRule="auto"/>
        <w:rPr>
          <w:rFonts w:ascii="Times New Roman" w:hAnsi="Times New Roman" w:cs="Times New Roman"/>
          <w:sz w:val="24"/>
          <w:szCs w:val="24"/>
        </w:rPr>
      </w:pPr>
      <w:r w:rsidRPr="00870912">
        <w:rPr>
          <w:rFonts w:ascii="Times New Roman" w:hAnsi="Times New Roman" w:cs="Times New Roman"/>
          <w:sz w:val="24"/>
          <w:szCs w:val="24"/>
        </w:rPr>
        <w:t xml:space="preserve">MORAES, Alexandre de. </w:t>
      </w:r>
      <w:r w:rsidRPr="00870912">
        <w:rPr>
          <w:rFonts w:ascii="Times New Roman" w:hAnsi="Times New Roman" w:cs="Times New Roman"/>
          <w:b/>
          <w:sz w:val="24"/>
          <w:szCs w:val="24"/>
        </w:rPr>
        <w:t>Direitos humanos fundamentais</w:t>
      </w:r>
      <w:r w:rsidRPr="00870912">
        <w:rPr>
          <w:rFonts w:ascii="Times New Roman" w:hAnsi="Times New Roman" w:cs="Times New Roman"/>
          <w:sz w:val="24"/>
          <w:szCs w:val="24"/>
        </w:rPr>
        <w:t xml:space="preserve">: teoria geral, comentários aos arts. 1º a 5º da Constituição da República Federativa do Brasil, doutrina e jurisprudência. – 10. </w:t>
      </w:r>
      <w:proofErr w:type="gramStart"/>
      <w:r w:rsidRPr="00870912">
        <w:rPr>
          <w:rFonts w:ascii="Times New Roman" w:hAnsi="Times New Roman" w:cs="Times New Roman"/>
          <w:sz w:val="24"/>
          <w:szCs w:val="24"/>
        </w:rPr>
        <w:t>ed.</w:t>
      </w:r>
      <w:proofErr w:type="gramEnd"/>
      <w:r w:rsidRPr="00870912">
        <w:rPr>
          <w:rFonts w:ascii="Times New Roman" w:hAnsi="Times New Roman" w:cs="Times New Roman"/>
          <w:sz w:val="24"/>
          <w:szCs w:val="24"/>
        </w:rPr>
        <w:t xml:space="preserve"> – São Paulo: Atlas, 2013. </w:t>
      </w:r>
    </w:p>
    <w:p w:rsidR="00507B46" w:rsidRPr="00507B46" w:rsidRDefault="00507B46" w:rsidP="00507B46">
      <w:pPr>
        <w:spacing w:line="240" w:lineRule="auto"/>
        <w:rPr>
          <w:rFonts w:ascii="Times New Roman" w:hAnsi="Times New Roman" w:cs="Times New Roman"/>
          <w:sz w:val="24"/>
          <w:szCs w:val="24"/>
        </w:rPr>
      </w:pPr>
      <w:r w:rsidRPr="00507B46">
        <w:rPr>
          <w:rFonts w:ascii="Times New Roman" w:hAnsi="Times New Roman" w:cs="Times New Roman"/>
          <w:sz w:val="24"/>
          <w:szCs w:val="24"/>
        </w:rPr>
        <w:t xml:space="preserve">SILVA, Liliane Coelho </w:t>
      </w:r>
      <w:proofErr w:type="gramStart"/>
      <w:r w:rsidRPr="00507B46">
        <w:rPr>
          <w:rFonts w:ascii="Times New Roman" w:hAnsi="Times New Roman" w:cs="Times New Roman"/>
          <w:sz w:val="24"/>
          <w:szCs w:val="24"/>
        </w:rPr>
        <w:t>da.</w:t>
      </w:r>
      <w:proofErr w:type="gramEnd"/>
      <w:r w:rsidRPr="00507B46">
        <w:rPr>
          <w:rFonts w:ascii="Times New Roman" w:hAnsi="Times New Roman" w:cs="Times New Roman"/>
          <w:sz w:val="24"/>
          <w:szCs w:val="24"/>
        </w:rPr>
        <w:t xml:space="preserve"> </w:t>
      </w:r>
      <w:r w:rsidRPr="00507B46">
        <w:rPr>
          <w:rFonts w:ascii="Times New Roman" w:hAnsi="Times New Roman" w:cs="Times New Roman"/>
          <w:b/>
          <w:sz w:val="24"/>
          <w:szCs w:val="24"/>
        </w:rPr>
        <w:t>Reconhecimento das uniões estáveis homoafetivas/homossexuais</w:t>
      </w:r>
      <w:r w:rsidRPr="00507B46">
        <w:rPr>
          <w:rFonts w:ascii="Times New Roman" w:hAnsi="Times New Roman" w:cs="Times New Roman"/>
          <w:sz w:val="24"/>
          <w:szCs w:val="24"/>
        </w:rPr>
        <w:t xml:space="preserve">: os três pilares principais do julgado do STF. 2013. </w:t>
      </w:r>
      <w:r>
        <w:rPr>
          <w:rFonts w:ascii="Times New Roman" w:hAnsi="Times New Roman" w:cs="Times New Roman"/>
          <w:sz w:val="24"/>
          <w:szCs w:val="24"/>
        </w:rPr>
        <w:t xml:space="preserve">Acesso em: Out 2015. </w:t>
      </w:r>
      <w:r w:rsidRPr="00507B46">
        <w:rPr>
          <w:rFonts w:ascii="Times New Roman" w:hAnsi="Times New Roman" w:cs="Times New Roman"/>
          <w:sz w:val="24"/>
          <w:szCs w:val="24"/>
        </w:rPr>
        <w:t xml:space="preserve">Disponível em: </w:t>
      </w:r>
      <w:hyperlink r:id="rId8" w:anchor="ixzz3pgNGvjFb" w:history="1">
        <w:r w:rsidRPr="00507B46">
          <w:rPr>
            <w:rStyle w:val="Hyperlink"/>
            <w:rFonts w:ascii="Times New Roman" w:hAnsi="Times New Roman" w:cs="Times New Roman"/>
            <w:color w:val="auto"/>
            <w:sz w:val="24"/>
            <w:szCs w:val="24"/>
          </w:rPr>
          <w:t>http://jus.com.br/artigos/26131/reconhecimento-das-unioes-estaveis-homoafetivas-homossexuais#ixzz3pgNGvjFb</w:t>
        </w:r>
      </w:hyperlink>
    </w:p>
    <w:p w:rsidR="00D01F72" w:rsidRDefault="00D01F72" w:rsidP="00D01F72">
      <w:pPr>
        <w:spacing w:line="240" w:lineRule="auto"/>
        <w:jc w:val="both"/>
        <w:rPr>
          <w:rFonts w:ascii="Times New Roman" w:hAnsi="Times New Roman" w:cs="Times New Roman"/>
          <w:sz w:val="24"/>
          <w:szCs w:val="24"/>
        </w:rPr>
      </w:pPr>
      <w:r w:rsidRPr="0093238E">
        <w:rPr>
          <w:rFonts w:ascii="Times New Roman" w:hAnsi="Times New Roman" w:cs="Times New Roman"/>
          <w:sz w:val="24"/>
          <w:szCs w:val="24"/>
        </w:rPr>
        <w:t xml:space="preserve">SILVA, José Afonso </w:t>
      </w:r>
      <w:proofErr w:type="gramStart"/>
      <w:r w:rsidRPr="0093238E">
        <w:rPr>
          <w:rFonts w:ascii="Times New Roman" w:hAnsi="Times New Roman" w:cs="Times New Roman"/>
          <w:sz w:val="24"/>
          <w:szCs w:val="24"/>
        </w:rPr>
        <w:t>da.</w:t>
      </w:r>
      <w:proofErr w:type="gramEnd"/>
      <w:r w:rsidRPr="0093238E">
        <w:rPr>
          <w:rFonts w:ascii="Times New Roman" w:hAnsi="Times New Roman" w:cs="Times New Roman"/>
          <w:sz w:val="24"/>
          <w:szCs w:val="24"/>
        </w:rPr>
        <w:t xml:space="preserve"> </w:t>
      </w:r>
      <w:r w:rsidRPr="0093238E">
        <w:rPr>
          <w:rFonts w:ascii="Times New Roman" w:hAnsi="Times New Roman" w:cs="Times New Roman"/>
          <w:b/>
          <w:sz w:val="24"/>
          <w:szCs w:val="24"/>
        </w:rPr>
        <w:t>Curso de Direito Constitucional Positivo</w:t>
      </w:r>
      <w:r w:rsidRPr="0093238E">
        <w:rPr>
          <w:rFonts w:ascii="Times New Roman" w:hAnsi="Times New Roman" w:cs="Times New Roman"/>
          <w:sz w:val="24"/>
          <w:szCs w:val="24"/>
        </w:rPr>
        <w:t>. 35ª ed. rev. e atual. – São Paulo: Malheiros Editores, 2012.</w:t>
      </w:r>
    </w:p>
    <w:p w:rsidR="009A2B70" w:rsidRDefault="009A2B70" w:rsidP="009A2B70">
      <w:pPr>
        <w:spacing w:after="0" w:line="240" w:lineRule="auto"/>
        <w:jc w:val="both"/>
        <w:rPr>
          <w:rFonts w:ascii="Times New Roman" w:hAnsi="Times New Roman" w:cs="Times New Roman"/>
          <w:sz w:val="24"/>
          <w:szCs w:val="24"/>
        </w:rPr>
      </w:pPr>
    </w:p>
    <w:sectPr w:rsidR="009A2B70" w:rsidSect="00437397">
      <w:headerReference w:type="default" r:id="rId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156" w:rsidRDefault="00955156" w:rsidP="001B7799">
      <w:pPr>
        <w:spacing w:after="0" w:line="240" w:lineRule="auto"/>
      </w:pPr>
      <w:r>
        <w:separator/>
      </w:r>
    </w:p>
  </w:endnote>
  <w:endnote w:type="continuationSeparator" w:id="0">
    <w:p w:rsidR="00955156" w:rsidRDefault="00955156" w:rsidP="001B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156" w:rsidRDefault="00955156" w:rsidP="001B7799">
      <w:pPr>
        <w:spacing w:after="0" w:line="240" w:lineRule="auto"/>
      </w:pPr>
      <w:r>
        <w:separator/>
      </w:r>
    </w:p>
  </w:footnote>
  <w:footnote w:type="continuationSeparator" w:id="0">
    <w:p w:rsidR="00955156" w:rsidRDefault="00955156" w:rsidP="001B7799">
      <w:pPr>
        <w:spacing w:after="0" w:line="240" w:lineRule="auto"/>
      </w:pPr>
      <w:r>
        <w:continuationSeparator/>
      </w:r>
    </w:p>
  </w:footnote>
  <w:footnote w:id="1">
    <w:p w:rsidR="009A2B70" w:rsidRDefault="009A2B70" w:rsidP="009A2B70">
      <w:pPr>
        <w:pStyle w:val="Textodenotaderodap"/>
        <w:rPr>
          <w:rFonts w:ascii="Times New Roman" w:hAnsi="Times New Roman" w:cs="Times New Roman"/>
        </w:rPr>
      </w:pPr>
      <w:r>
        <w:rPr>
          <w:rStyle w:val="Refdenotaderodap"/>
        </w:rPr>
        <w:footnoteRef/>
      </w:r>
      <w:r>
        <w:rPr>
          <w:rFonts w:ascii="Times New Roman" w:hAnsi="Times New Roman" w:cs="Times New Roman"/>
          <w:i/>
        </w:rPr>
        <w:t xml:space="preserve"> Paper</w:t>
      </w:r>
      <w:r>
        <w:rPr>
          <w:rFonts w:ascii="Times New Roman" w:hAnsi="Times New Roman" w:cs="Times New Roman"/>
        </w:rPr>
        <w:t xml:space="preserve"> apresentado à disciplina Filosofia do Direito I, da Unidade de Ensino Superior Dom Bosco - UNDB.</w:t>
      </w:r>
    </w:p>
  </w:footnote>
  <w:footnote w:id="2">
    <w:p w:rsidR="009A2B70" w:rsidRDefault="009A2B70" w:rsidP="009A2B70">
      <w:pPr>
        <w:pStyle w:val="Textodenotaderodap"/>
      </w:pPr>
      <w:r>
        <w:rPr>
          <w:rStyle w:val="Refdenotaderodap"/>
        </w:rPr>
        <w:footnoteRef/>
      </w:r>
      <w:r>
        <w:t xml:space="preserve"> </w:t>
      </w:r>
      <w:r>
        <w:rPr>
          <w:rFonts w:ascii="Times New Roman" w:hAnsi="Times New Roman" w:cs="Times New Roman"/>
        </w:rPr>
        <w:t>Aluna do 2º período Noturno do Curso de Direito da UNDB.</w:t>
      </w:r>
    </w:p>
  </w:footnote>
  <w:footnote w:id="3">
    <w:p w:rsidR="009A2B70" w:rsidRDefault="009A2B70" w:rsidP="009A2B70">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Aluno do 2º período Noturno do Curso de Direito da UNDB.</w:t>
      </w:r>
    </w:p>
  </w:footnote>
  <w:footnote w:id="4">
    <w:p w:rsidR="009A2B70" w:rsidRDefault="009A2B70" w:rsidP="009A2B70">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Professor Especialista,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15961"/>
      <w:docPartObj>
        <w:docPartGallery w:val="Page Numbers (Top of Page)"/>
        <w:docPartUnique/>
      </w:docPartObj>
    </w:sdtPr>
    <w:sdtEndPr/>
    <w:sdtContent>
      <w:p w:rsidR="00437397" w:rsidRDefault="00437397">
        <w:pPr>
          <w:pStyle w:val="Cabealho"/>
          <w:jc w:val="right"/>
        </w:pPr>
        <w:r>
          <w:fldChar w:fldCharType="begin"/>
        </w:r>
        <w:r>
          <w:instrText>PAGE   \* MERGEFORMAT</w:instrText>
        </w:r>
        <w:r>
          <w:fldChar w:fldCharType="separate"/>
        </w:r>
        <w:r w:rsidR="007D0D98">
          <w:rPr>
            <w:noProof/>
          </w:rPr>
          <w:t>2</w:t>
        </w:r>
        <w:r>
          <w:fldChar w:fldCharType="end"/>
        </w:r>
      </w:p>
    </w:sdtContent>
  </w:sdt>
  <w:p w:rsidR="00437397" w:rsidRDefault="004373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72757"/>
    <w:multiLevelType w:val="multilevel"/>
    <w:tmpl w:val="89060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99"/>
    <w:rsid w:val="000251E7"/>
    <w:rsid w:val="00036A68"/>
    <w:rsid w:val="00075F69"/>
    <w:rsid w:val="00103553"/>
    <w:rsid w:val="00120005"/>
    <w:rsid w:val="001B7799"/>
    <w:rsid w:val="002D0D50"/>
    <w:rsid w:val="0033547E"/>
    <w:rsid w:val="003420B1"/>
    <w:rsid w:val="00345017"/>
    <w:rsid w:val="003D7DCB"/>
    <w:rsid w:val="003E248E"/>
    <w:rsid w:val="00437397"/>
    <w:rsid w:val="00443449"/>
    <w:rsid w:val="0046652F"/>
    <w:rsid w:val="004C15FC"/>
    <w:rsid w:val="00507B46"/>
    <w:rsid w:val="0055131C"/>
    <w:rsid w:val="00570DD4"/>
    <w:rsid w:val="006C4736"/>
    <w:rsid w:val="00727CAB"/>
    <w:rsid w:val="007A57D7"/>
    <w:rsid w:val="007D0D98"/>
    <w:rsid w:val="007E2B6B"/>
    <w:rsid w:val="007E4AEE"/>
    <w:rsid w:val="008477BC"/>
    <w:rsid w:val="00870912"/>
    <w:rsid w:val="008F38E7"/>
    <w:rsid w:val="009110B6"/>
    <w:rsid w:val="00955156"/>
    <w:rsid w:val="00986968"/>
    <w:rsid w:val="009A2B70"/>
    <w:rsid w:val="00A440DB"/>
    <w:rsid w:val="00A46499"/>
    <w:rsid w:val="00A71636"/>
    <w:rsid w:val="00A879DD"/>
    <w:rsid w:val="00AC6D02"/>
    <w:rsid w:val="00AD1794"/>
    <w:rsid w:val="00BE0CA3"/>
    <w:rsid w:val="00BF7886"/>
    <w:rsid w:val="00C008CF"/>
    <w:rsid w:val="00CD16E1"/>
    <w:rsid w:val="00D01F72"/>
    <w:rsid w:val="00D03222"/>
    <w:rsid w:val="00D15EA3"/>
    <w:rsid w:val="00D337C0"/>
    <w:rsid w:val="00D8028E"/>
    <w:rsid w:val="00DD6D90"/>
    <w:rsid w:val="00E35D3A"/>
    <w:rsid w:val="00F7168A"/>
    <w:rsid w:val="00FA2D23"/>
    <w:rsid w:val="00FB7DB9"/>
    <w:rsid w:val="00FC76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B70"/>
  </w:style>
  <w:style w:type="paragraph" w:styleId="Ttulo1">
    <w:name w:val="heading 1"/>
    <w:basedOn w:val="Normal"/>
    <w:next w:val="Normal"/>
    <w:link w:val="Ttulo1Char"/>
    <w:uiPriority w:val="9"/>
    <w:qFormat/>
    <w:rsid w:val="00507B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B779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7799"/>
    <w:rPr>
      <w:sz w:val="20"/>
      <w:szCs w:val="20"/>
    </w:rPr>
  </w:style>
  <w:style w:type="character" w:styleId="Refdenotaderodap">
    <w:name w:val="footnote reference"/>
    <w:basedOn w:val="Fontepargpadro"/>
    <w:uiPriority w:val="99"/>
    <w:semiHidden/>
    <w:unhideWhenUsed/>
    <w:rsid w:val="001B7799"/>
    <w:rPr>
      <w:vertAlign w:val="superscript"/>
    </w:rPr>
  </w:style>
  <w:style w:type="paragraph" w:styleId="PargrafodaLista">
    <w:name w:val="List Paragraph"/>
    <w:basedOn w:val="Normal"/>
    <w:uiPriority w:val="34"/>
    <w:qFormat/>
    <w:rsid w:val="001B7799"/>
    <w:pPr>
      <w:ind w:left="720"/>
      <w:contextualSpacing/>
    </w:pPr>
  </w:style>
  <w:style w:type="paragraph" w:styleId="Cabealho">
    <w:name w:val="header"/>
    <w:basedOn w:val="Normal"/>
    <w:link w:val="CabealhoChar"/>
    <w:uiPriority w:val="99"/>
    <w:unhideWhenUsed/>
    <w:rsid w:val="009A2B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2B70"/>
  </w:style>
  <w:style w:type="paragraph" w:styleId="Rodap">
    <w:name w:val="footer"/>
    <w:basedOn w:val="Normal"/>
    <w:link w:val="RodapChar"/>
    <w:uiPriority w:val="99"/>
    <w:unhideWhenUsed/>
    <w:rsid w:val="009A2B70"/>
    <w:pPr>
      <w:tabs>
        <w:tab w:val="center" w:pos="4252"/>
        <w:tab w:val="right" w:pos="8504"/>
      </w:tabs>
      <w:spacing w:after="0" w:line="240" w:lineRule="auto"/>
    </w:pPr>
  </w:style>
  <w:style w:type="character" w:customStyle="1" w:styleId="RodapChar">
    <w:name w:val="Rodapé Char"/>
    <w:basedOn w:val="Fontepargpadro"/>
    <w:link w:val="Rodap"/>
    <w:uiPriority w:val="99"/>
    <w:rsid w:val="009A2B70"/>
  </w:style>
  <w:style w:type="character" w:styleId="Hyperlink">
    <w:name w:val="Hyperlink"/>
    <w:basedOn w:val="Fontepargpadro"/>
    <w:uiPriority w:val="99"/>
    <w:unhideWhenUsed/>
    <w:rsid w:val="00507B46"/>
    <w:rPr>
      <w:strike w:val="0"/>
      <w:dstrike w:val="0"/>
      <w:color w:val="0746A8"/>
      <w:u w:val="none"/>
      <w:effect w:val="none"/>
      <w:shd w:val="clear" w:color="auto" w:fill="auto"/>
    </w:rPr>
  </w:style>
  <w:style w:type="character" w:customStyle="1" w:styleId="Ttulo1Char">
    <w:name w:val="Título 1 Char"/>
    <w:basedOn w:val="Fontepargpadro"/>
    <w:link w:val="Ttulo1"/>
    <w:uiPriority w:val="9"/>
    <w:rsid w:val="00507B4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B70"/>
  </w:style>
  <w:style w:type="paragraph" w:styleId="Ttulo1">
    <w:name w:val="heading 1"/>
    <w:basedOn w:val="Normal"/>
    <w:next w:val="Normal"/>
    <w:link w:val="Ttulo1Char"/>
    <w:uiPriority w:val="9"/>
    <w:qFormat/>
    <w:rsid w:val="00507B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B779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7799"/>
    <w:rPr>
      <w:sz w:val="20"/>
      <w:szCs w:val="20"/>
    </w:rPr>
  </w:style>
  <w:style w:type="character" w:styleId="Refdenotaderodap">
    <w:name w:val="footnote reference"/>
    <w:basedOn w:val="Fontepargpadro"/>
    <w:uiPriority w:val="99"/>
    <w:semiHidden/>
    <w:unhideWhenUsed/>
    <w:rsid w:val="001B7799"/>
    <w:rPr>
      <w:vertAlign w:val="superscript"/>
    </w:rPr>
  </w:style>
  <w:style w:type="paragraph" w:styleId="PargrafodaLista">
    <w:name w:val="List Paragraph"/>
    <w:basedOn w:val="Normal"/>
    <w:uiPriority w:val="34"/>
    <w:qFormat/>
    <w:rsid w:val="001B7799"/>
    <w:pPr>
      <w:ind w:left="720"/>
      <w:contextualSpacing/>
    </w:pPr>
  </w:style>
  <w:style w:type="paragraph" w:styleId="Cabealho">
    <w:name w:val="header"/>
    <w:basedOn w:val="Normal"/>
    <w:link w:val="CabealhoChar"/>
    <w:uiPriority w:val="99"/>
    <w:unhideWhenUsed/>
    <w:rsid w:val="009A2B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2B70"/>
  </w:style>
  <w:style w:type="paragraph" w:styleId="Rodap">
    <w:name w:val="footer"/>
    <w:basedOn w:val="Normal"/>
    <w:link w:val="RodapChar"/>
    <w:uiPriority w:val="99"/>
    <w:unhideWhenUsed/>
    <w:rsid w:val="009A2B70"/>
    <w:pPr>
      <w:tabs>
        <w:tab w:val="center" w:pos="4252"/>
        <w:tab w:val="right" w:pos="8504"/>
      </w:tabs>
      <w:spacing w:after="0" w:line="240" w:lineRule="auto"/>
    </w:pPr>
  </w:style>
  <w:style w:type="character" w:customStyle="1" w:styleId="RodapChar">
    <w:name w:val="Rodapé Char"/>
    <w:basedOn w:val="Fontepargpadro"/>
    <w:link w:val="Rodap"/>
    <w:uiPriority w:val="99"/>
    <w:rsid w:val="009A2B70"/>
  </w:style>
  <w:style w:type="character" w:styleId="Hyperlink">
    <w:name w:val="Hyperlink"/>
    <w:basedOn w:val="Fontepargpadro"/>
    <w:uiPriority w:val="99"/>
    <w:unhideWhenUsed/>
    <w:rsid w:val="00507B46"/>
    <w:rPr>
      <w:strike w:val="0"/>
      <w:dstrike w:val="0"/>
      <w:color w:val="0746A8"/>
      <w:u w:val="none"/>
      <w:effect w:val="none"/>
      <w:shd w:val="clear" w:color="auto" w:fill="auto"/>
    </w:rPr>
  </w:style>
  <w:style w:type="character" w:customStyle="1" w:styleId="Ttulo1Char">
    <w:name w:val="Título 1 Char"/>
    <w:basedOn w:val="Fontepargpadro"/>
    <w:link w:val="Ttulo1"/>
    <w:uiPriority w:val="9"/>
    <w:rsid w:val="00507B4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82247">
      <w:bodyDiv w:val="1"/>
      <w:marLeft w:val="0"/>
      <w:marRight w:val="0"/>
      <w:marTop w:val="0"/>
      <w:marBottom w:val="0"/>
      <w:divBdr>
        <w:top w:val="none" w:sz="0" w:space="0" w:color="auto"/>
        <w:left w:val="none" w:sz="0" w:space="0" w:color="auto"/>
        <w:bottom w:val="none" w:sz="0" w:space="0" w:color="auto"/>
        <w:right w:val="none" w:sz="0" w:space="0" w:color="auto"/>
      </w:divBdr>
    </w:div>
    <w:div w:id="866213321">
      <w:bodyDiv w:val="1"/>
      <w:marLeft w:val="0"/>
      <w:marRight w:val="0"/>
      <w:marTop w:val="0"/>
      <w:marBottom w:val="0"/>
      <w:divBdr>
        <w:top w:val="none" w:sz="0" w:space="0" w:color="auto"/>
        <w:left w:val="none" w:sz="0" w:space="0" w:color="auto"/>
        <w:bottom w:val="none" w:sz="0" w:space="0" w:color="auto"/>
        <w:right w:val="none" w:sz="0" w:space="0" w:color="auto"/>
      </w:divBdr>
    </w:div>
    <w:div w:id="1089739597">
      <w:bodyDiv w:val="1"/>
      <w:marLeft w:val="0"/>
      <w:marRight w:val="0"/>
      <w:marTop w:val="0"/>
      <w:marBottom w:val="0"/>
      <w:divBdr>
        <w:top w:val="none" w:sz="0" w:space="0" w:color="auto"/>
        <w:left w:val="none" w:sz="0" w:space="0" w:color="auto"/>
        <w:bottom w:val="none" w:sz="0" w:space="0" w:color="auto"/>
        <w:right w:val="none" w:sz="0" w:space="0" w:color="auto"/>
      </w:divBdr>
    </w:div>
    <w:div w:id="1289051661">
      <w:bodyDiv w:val="1"/>
      <w:marLeft w:val="0"/>
      <w:marRight w:val="0"/>
      <w:marTop w:val="0"/>
      <w:marBottom w:val="0"/>
      <w:divBdr>
        <w:top w:val="none" w:sz="0" w:space="0" w:color="auto"/>
        <w:left w:val="none" w:sz="0" w:space="0" w:color="auto"/>
        <w:bottom w:val="none" w:sz="0" w:space="0" w:color="auto"/>
        <w:right w:val="none" w:sz="0" w:space="0" w:color="auto"/>
      </w:divBdr>
    </w:div>
    <w:div w:id="1581674976">
      <w:bodyDiv w:val="1"/>
      <w:marLeft w:val="0"/>
      <w:marRight w:val="0"/>
      <w:marTop w:val="0"/>
      <w:marBottom w:val="0"/>
      <w:divBdr>
        <w:top w:val="none" w:sz="0" w:space="0" w:color="auto"/>
        <w:left w:val="none" w:sz="0" w:space="0" w:color="auto"/>
        <w:bottom w:val="none" w:sz="0" w:space="0" w:color="auto"/>
        <w:right w:val="none" w:sz="0" w:space="0" w:color="auto"/>
      </w:divBdr>
    </w:div>
    <w:div w:id="1871146473">
      <w:bodyDiv w:val="1"/>
      <w:marLeft w:val="0"/>
      <w:marRight w:val="0"/>
      <w:marTop w:val="0"/>
      <w:marBottom w:val="0"/>
      <w:divBdr>
        <w:top w:val="none" w:sz="0" w:space="0" w:color="auto"/>
        <w:left w:val="none" w:sz="0" w:space="0" w:color="auto"/>
        <w:bottom w:val="none" w:sz="0" w:space="0" w:color="auto"/>
        <w:right w:val="none" w:sz="0" w:space="0" w:color="auto"/>
      </w:divBdr>
      <w:divsChild>
        <w:div w:id="204760194">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194283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artigos/26131/reconhecimento-das-unioes-estaveis-homoafetivas-homossexuai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10</Pages>
  <Words>3509</Words>
  <Characters>18950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Armando</cp:lastModifiedBy>
  <cp:revision>29</cp:revision>
  <dcterms:created xsi:type="dcterms:W3CDTF">2015-10-20T20:28:00Z</dcterms:created>
  <dcterms:modified xsi:type="dcterms:W3CDTF">2015-11-24T00:19:00Z</dcterms:modified>
</cp:coreProperties>
</file>