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28" w:rsidRDefault="00F35B92" w:rsidP="005A3F2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CASE DE DIREITO ECONÔMICO: </w:t>
      </w:r>
      <w:r w:rsidRPr="00F35B92">
        <w:rPr>
          <w:rFonts w:ascii="Times New Roman" w:hAnsi="Times New Roman" w:cs="Times New Roman"/>
          <w:sz w:val="24"/>
        </w:rPr>
        <w:t>Nestlé-Garoto</w:t>
      </w:r>
      <w:r w:rsidR="005A3F28" w:rsidRPr="002F02A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:rsidR="008A4065" w:rsidRPr="00241CA4" w:rsidRDefault="008A4065" w:rsidP="005A3F2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5A3F28" w:rsidRPr="00241CA4" w:rsidRDefault="00F35B92" w:rsidP="008A4065">
      <w:pPr>
        <w:pStyle w:val="ecxmsonormal"/>
        <w:shd w:val="clear" w:color="auto" w:fill="FFFFFF"/>
        <w:spacing w:before="0" w:beforeAutospacing="0" w:after="0" w:afterAutospacing="0"/>
        <w:jc w:val="right"/>
      </w:pPr>
      <w:r>
        <w:t>Renata Cristina de Oliveira Lima</w:t>
      </w:r>
      <w:r w:rsidR="005A3F28" w:rsidRPr="00241CA4">
        <w:rPr>
          <w:rStyle w:val="Refdenotaderodap"/>
        </w:rPr>
        <w:footnoteReference w:id="2"/>
      </w:r>
    </w:p>
    <w:p w:rsidR="005A3F28" w:rsidRPr="00241CA4" w:rsidRDefault="00F35B92" w:rsidP="005A3F2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</w:rPr>
      </w:pPr>
      <w:r>
        <w:rPr>
          <w:rFonts w:eastAsia="Arial Unicode MS"/>
        </w:rPr>
        <w:t xml:space="preserve">Alexsandro </w:t>
      </w:r>
      <w:proofErr w:type="spellStart"/>
      <w:r>
        <w:rPr>
          <w:rFonts w:eastAsia="Arial Unicode MS"/>
        </w:rPr>
        <w:t>Rahbani</w:t>
      </w:r>
      <w:proofErr w:type="spellEnd"/>
      <w:r>
        <w:rPr>
          <w:rFonts w:eastAsia="Arial Unicode MS"/>
        </w:rPr>
        <w:t xml:space="preserve"> Aragão Feijó</w:t>
      </w:r>
      <w:r w:rsidR="005A3F28" w:rsidRPr="00241CA4">
        <w:rPr>
          <w:rStyle w:val="Refdenotaderodap"/>
        </w:rPr>
        <w:footnoteReference w:id="3"/>
      </w:r>
    </w:p>
    <w:p w:rsidR="008A4065" w:rsidRDefault="008A4065" w:rsidP="005A3F2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A3F28" w:rsidRDefault="005A3F28" w:rsidP="005A3F2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241CA4">
        <w:rPr>
          <w:rFonts w:ascii="Times New Roman" w:eastAsia="Calibri" w:hAnsi="Times New Roman" w:cs="Times New Roman"/>
          <w:b/>
          <w:sz w:val="24"/>
        </w:rPr>
        <w:t>RELATÓRIO PARCIAL</w:t>
      </w:r>
    </w:p>
    <w:p w:rsidR="00F35B92" w:rsidRPr="00241CA4" w:rsidRDefault="00F35B92" w:rsidP="005A3F2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5A3F28" w:rsidRPr="00241CA4" w:rsidRDefault="005A3F28" w:rsidP="005A3F28">
      <w:pPr>
        <w:pStyle w:val="PargrafodaLista"/>
        <w:numPr>
          <w:ilvl w:val="0"/>
          <w:numId w:val="1"/>
        </w:numPr>
        <w:spacing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241CA4">
        <w:rPr>
          <w:rFonts w:ascii="Times New Roman" w:eastAsia="Calibri" w:hAnsi="Times New Roman" w:cs="Times New Roman"/>
          <w:b/>
          <w:sz w:val="24"/>
          <w:szCs w:val="24"/>
        </w:rPr>
        <w:t>DESCRIÇÃO DO CASO</w:t>
      </w:r>
    </w:p>
    <w:p w:rsidR="005A3F28" w:rsidRDefault="008A4065" w:rsidP="0063737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empresa Nestlé Brasil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dia 15/03/2002 apresentou a Secretaria de Direito Econômico do Ministério da Justiça (SDE), à Secretaria de Acompanhamento Econômico do Ministério da Fazenda (SEAE) e ao Conselho Administrativo de Defesa Econômica (CADE) uma operação assinada em 22/02/2002 junto com a empresa Chocolate Garoto S/A, onde a Nestlé subscreveu um aumento de capital na empresa Chocolates Garoto S/A, com posterior resgate de ações. Essa submissão recebeu a numeração pela Secretaria de Direito de Ato de concentração, nº 08012.001697/2002-89. </w:t>
      </w:r>
    </w:p>
    <w:p w:rsidR="008A4065" w:rsidRDefault="008A4065" w:rsidP="0063737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Secretaria de Acompanhamento Econômico é a primeira instância do governo </w:t>
      </w:r>
      <w:r w:rsidR="00C17D2E">
        <w:rPr>
          <w:rFonts w:ascii="Times New Roman" w:hAnsi="Times New Roman" w:cs="Times New Roman"/>
          <w:sz w:val="24"/>
          <w:szCs w:val="24"/>
        </w:rPr>
        <w:t xml:space="preserve">brasileiro que deverá exercer seu papel de avaliar e verificar casos de grandes fusões e possíveis consequências ao mercado. Após essa análise, é necessário que essa Secretaria venha a elaborar um parecer sobre a proposta analisada e encaminhe ao Conselho Administrativo de Defesa Econômica, do Ministério da Justiça, o CADE analisará também toda a proposta. </w:t>
      </w:r>
    </w:p>
    <w:p w:rsidR="00C17D2E" w:rsidRDefault="00C17D2E" w:rsidP="00C17D2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presente trabalho analisará a incorporação da Garoto pela Nestlé e as consequências ao mercado econômico.</w:t>
      </w:r>
    </w:p>
    <w:p w:rsidR="00EF6033" w:rsidRDefault="00F35B92" w:rsidP="0063737D">
      <w:pPr>
        <w:pStyle w:val="PargrafodaLista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PERSONAGENS RELEVANTES </w:t>
      </w:r>
    </w:p>
    <w:p w:rsidR="00542CE2" w:rsidRDefault="00B25CB2" w:rsidP="005A1734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5CB2">
        <w:rPr>
          <w:rFonts w:ascii="Times New Roman" w:hAnsi="Times New Roman" w:cs="Times New Roman"/>
          <w:b/>
          <w:sz w:val="24"/>
          <w:szCs w:val="24"/>
        </w:rPr>
        <w:t xml:space="preserve">Nestlé Brasil </w:t>
      </w:r>
      <w:proofErr w:type="spellStart"/>
      <w:r w:rsidRPr="00B25CB2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>: Empresa que realizaria a compra da empresa Garoto</w:t>
      </w:r>
    </w:p>
    <w:p w:rsidR="00B25CB2" w:rsidRDefault="00B25CB2" w:rsidP="005A1734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5CB2">
        <w:rPr>
          <w:rFonts w:ascii="Times New Roman" w:hAnsi="Times New Roman" w:cs="Times New Roman"/>
          <w:b/>
          <w:sz w:val="24"/>
          <w:szCs w:val="24"/>
        </w:rPr>
        <w:t>Chocolate Garoto S/A</w:t>
      </w:r>
      <w:r>
        <w:rPr>
          <w:rFonts w:ascii="Times New Roman" w:hAnsi="Times New Roman" w:cs="Times New Roman"/>
          <w:sz w:val="24"/>
          <w:szCs w:val="24"/>
        </w:rPr>
        <w:t xml:space="preserve">: Empresa que seria comprada pela Nestlé. </w:t>
      </w:r>
    </w:p>
    <w:p w:rsidR="00B25CB2" w:rsidRDefault="00B25CB2" w:rsidP="005A1734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25CB2">
        <w:rPr>
          <w:rFonts w:ascii="Times New Roman" w:hAnsi="Times New Roman" w:cs="Times New Roman"/>
          <w:b/>
          <w:sz w:val="24"/>
          <w:szCs w:val="24"/>
        </w:rPr>
        <w:t>- CADE</w:t>
      </w:r>
      <w:r>
        <w:rPr>
          <w:rFonts w:ascii="Times New Roman" w:hAnsi="Times New Roman" w:cs="Times New Roman"/>
          <w:sz w:val="24"/>
          <w:szCs w:val="24"/>
        </w:rPr>
        <w:t>: Conselho Administrativo de Defesa Econômica</w:t>
      </w:r>
    </w:p>
    <w:p w:rsidR="005A1734" w:rsidRPr="00542CE2" w:rsidRDefault="005A1734" w:rsidP="005A1734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F6033" w:rsidRPr="00F35B92" w:rsidRDefault="00F35B92" w:rsidP="0063737D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METODOLOGIA ADOTADA PELO CADE E SUAS CONSEQUÊNCIAS ÀS EMPRESAS </w:t>
      </w:r>
    </w:p>
    <w:p w:rsidR="00F35B92" w:rsidRDefault="007B557F" w:rsidP="007B557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caso em análise discorre sobre a efetiva concretização da compra entre as empresas Nestlé Brasil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Chocolates Garoto S/A. O que se conclui, é que somente após essa compra que existiu a análise do pedido de fusão entre ambas, pelo Órgão do Sistema Brasileiro de Defesa da Concorrência, em seguida a negativa do CADE em relação ao pedido de fusão entre as duas empresas. </w:t>
      </w:r>
    </w:p>
    <w:p w:rsidR="007B557F" w:rsidRDefault="007B557F" w:rsidP="007B557F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fato da análise do pedido de fusão pelo CADE ter sido feito após </w:t>
      </w:r>
      <w:r w:rsidR="00926EA2">
        <w:rPr>
          <w:rFonts w:ascii="Times New Roman" w:hAnsi="Times New Roman" w:cs="Times New Roman"/>
          <w:sz w:val="24"/>
          <w:szCs w:val="24"/>
        </w:rPr>
        <w:t xml:space="preserve">a efetiva compra </w:t>
      </w:r>
      <w:r>
        <w:rPr>
          <w:rFonts w:ascii="Times New Roman" w:hAnsi="Times New Roman" w:cs="Times New Roman"/>
          <w:sz w:val="24"/>
          <w:szCs w:val="24"/>
        </w:rPr>
        <w:t xml:space="preserve">trouxe eventuais prejuízos financeiros, junto com a diminuição de possíveis lucros futuros, mesmo havendo em seu contrato cláusulas de preservação da reversibilidade da operação. </w:t>
      </w:r>
      <w:r w:rsidR="00926EA2">
        <w:rPr>
          <w:rFonts w:ascii="Times New Roman" w:hAnsi="Times New Roman" w:cs="Times New Roman"/>
          <w:sz w:val="24"/>
          <w:szCs w:val="24"/>
        </w:rPr>
        <w:t xml:space="preserve">As empresas confiaram na aprovação do pedido de fusão, pois haviam antecedentes de casos idênticos a esse de fusão, em que o CADE aprovou a celebração do contrato feito pelas empresas ANTARCTICA e BRAHAMA que deu surgimento a AMBEV no ano de 2000, sendo considerada como uma das maiores cervejaria do mundo. </w:t>
      </w:r>
    </w:p>
    <w:p w:rsidR="00926EA2" w:rsidRDefault="00926EA2" w:rsidP="000B004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a metodologia usada pelo CADE mostra-se de acordo com a legislação da época, entendendo que o CADE poderia após 15 dias da celebração do contrato, analisar essa fusão de acordo com o artigo 54 da lei 8884/94. </w:t>
      </w:r>
    </w:p>
    <w:p w:rsidR="009B6703" w:rsidRDefault="009B6703" w:rsidP="009B670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se pode perceber é que o procedimento tomado pelo CADE neste caso foi correto pois, estava de acordo com o que dizia a lei vigente naquele momento. Porém se houver uma transferência desse procedimento aos dias de hoje, não poderíamos analisar a atitude tomada pelo CADE como correta por conta da incompatibilidade com a legislação adotada na atualidade. </w:t>
      </w:r>
    </w:p>
    <w:p w:rsidR="009B6703" w:rsidRDefault="009B6703" w:rsidP="009B670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dit</w:t>
      </w:r>
      <w:r>
        <w:rPr>
          <w:rFonts w:ascii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hAnsi="Times New Roman" w:cs="Times New Roman"/>
          <w:sz w:val="24"/>
          <w:szCs w:val="24"/>
        </w:rPr>
        <w:t xml:space="preserve">o artigo 54 da Lei 8884/94, possibilitava que o CADE após a fusão das empresas tivesse o prazo de 15 dias para analisar esse procedimento. Porém a nova Lei Antitruste 12.529/2011 em seu artigo 88 prevê e defende que o CADE faça essa análise da proposta de fusão entre as empresas quando for identificado efeitos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anticompetitivos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B0045" w:rsidRDefault="009B6703" w:rsidP="009B670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88 já citado a cima, da nova lei de antitruste, determina também o prazo de 240 dias para analisar os atos de concentração trazidos após a intenção de fusão entre as empresas levados a ele, esse prazo poderá ser prorrogado por mais 90 dias caso julgue necessário e exista uma análise mais complexas.</w:t>
      </w:r>
    </w:p>
    <w:p w:rsidR="009B6703" w:rsidRPr="000B0045" w:rsidRDefault="009B6703" w:rsidP="009B6703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A1734" w:rsidRDefault="00F35B92" w:rsidP="005A1734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CADE NO CASO NESTLÉ- GAROTO E A LEGITIMIDADE DE SUA DECISÃO </w:t>
      </w:r>
    </w:p>
    <w:p w:rsidR="003E6122" w:rsidRPr="000B0045" w:rsidRDefault="009B6703" w:rsidP="000B0045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CADE tinha como obrigação de atuar de maneira preventiva nessa relação, pois se aprovasse essa fusão o que iria existir era um mon</w:t>
      </w:r>
      <w:r w:rsidR="00B25CB2">
        <w:rPr>
          <w:rFonts w:ascii="Times New Roman" w:hAnsi="Times New Roman" w:cs="Times New Roman"/>
          <w:sz w:val="24"/>
          <w:szCs w:val="24"/>
        </w:rPr>
        <w:t xml:space="preserve">opólio no mercado de chocolates, como consequência assegurar a livre concorrência entre as demais empresas do mercado. A </w:t>
      </w:r>
      <w:r w:rsidR="00B25CB2">
        <w:rPr>
          <w:rFonts w:ascii="Times New Roman" w:hAnsi="Times New Roman" w:cs="Times New Roman"/>
          <w:sz w:val="24"/>
          <w:szCs w:val="24"/>
        </w:rPr>
        <w:lastRenderedPageBreak/>
        <w:t xml:space="preserve">preocupação do CADE se deu pois seria uma fusão entre a primeira maior empresa de chocolate com a terceira, sendo possível claramente a verificação da origem de um monopólio caso fosse aprovado e um prejuízo as outras empresas.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6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5B92" w:rsidRDefault="00F35B92" w:rsidP="00F35B92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CB2" w:rsidRPr="00B25CB2" w:rsidRDefault="00F35B92" w:rsidP="004B33A0">
      <w:pPr>
        <w:pStyle w:val="PargrafodaLista"/>
        <w:numPr>
          <w:ilvl w:val="0"/>
          <w:numId w:val="1"/>
        </w:numPr>
        <w:spacing w:line="36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JUDICIALIZAÇÃO DA QUESTÃO</w:t>
      </w:r>
    </w:p>
    <w:p w:rsidR="0036591A" w:rsidRDefault="004A20C4" w:rsidP="004B33A0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decisão do CADE em recusa a decisão de propostas as empresas, a Nestlé recorreu ao judiciário. O processo 0015018-08.2005.4.01.3400/JFDF, entre as empresas interessadas e o CADE como réu, foi ajuizado em 24/05/20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04 e distribuído a 4º vara ao juiz Itagiba </w:t>
      </w:r>
      <w:proofErr w:type="spellStart"/>
      <w:r>
        <w:rPr>
          <w:rFonts w:ascii="Times New Roman" w:hAnsi="Times New Roman" w:cs="Times New Roman"/>
          <w:sz w:val="24"/>
          <w:szCs w:val="24"/>
        </w:rPr>
        <w:t>Catta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Preta Neto. </w:t>
      </w:r>
      <w:r w:rsidR="004B33A0">
        <w:rPr>
          <w:rFonts w:ascii="Times New Roman" w:hAnsi="Times New Roman" w:cs="Times New Roman"/>
          <w:sz w:val="24"/>
          <w:szCs w:val="24"/>
        </w:rPr>
        <w:t xml:space="preserve">A sentença prolatada em 19/03/2007 o juiz julgou </w:t>
      </w:r>
      <w:proofErr w:type="spellStart"/>
      <w:r w:rsidR="004B33A0">
        <w:rPr>
          <w:rFonts w:ascii="Times New Roman" w:hAnsi="Times New Roman" w:cs="Times New Roman"/>
          <w:sz w:val="24"/>
          <w:szCs w:val="24"/>
        </w:rPr>
        <w:t>procedendte</w:t>
      </w:r>
      <w:proofErr w:type="spellEnd"/>
      <w:r w:rsidR="004B33A0">
        <w:rPr>
          <w:rFonts w:ascii="Times New Roman" w:hAnsi="Times New Roman" w:cs="Times New Roman"/>
          <w:sz w:val="24"/>
          <w:szCs w:val="24"/>
        </w:rPr>
        <w:t xml:space="preserve"> o pedido das autoras e declarado aprovado automaticamente o ato de </w:t>
      </w:r>
      <w:proofErr w:type="spellStart"/>
      <w:r w:rsidR="004B33A0">
        <w:rPr>
          <w:rFonts w:ascii="Times New Roman" w:hAnsi="Times New Roman" w:cs="Times New Roman"/>
          <w:sz w:val="24"/>
          <w:szCs w:val="24"/>
        </w:rPr>
        <w:t>concetração</w:t>
      </w:r>
      <w:proofErr w:type="spellEnd"/>
      <w:r w:rsidR="004B33A0">
        <w:rPr>
          <w:rFonts w:ascii="Times New Roman" w:hAnsi="Times New Roman" w:cs="Times New Roman"/>
          <w:sz w:val="24"/>
          <w:szCs w:val="24"/>
        </w:rPr>
        <w:t xml:space="preserve"> submetido à apreciação do CADE. </w:t>
      </w:r>
    </w:p>
    <w:p w:rsidR="004B33A0" w:rsidRDefault="004B33A0" w:rsidP="004B33A0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essa sentença houve apelação pelo CADE, e os autos foram remetidos ao TRF em 26/10/2007. (BRASIL 4º VARA JUSTIÇA FEDERAL/DF, SENTENÇA AÇÃO ORDINÁRIA: 0015018-08.2005.4.01.3400. JUIZ: ITAGIBA CATTA PRETA NETO. 16/03/07).</w:t>
      </w:r>
    </w:p>
    <w:p w:rsidR="004B33A0" w:rsidRDefault="004B33A0" w:rsidP="004B33A0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processo tramita na 5 turma do TRF, teve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ultimo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acordão prolatado é em 09/09/2009 e como relator o desembargador federal João Batista Moreira e foi publicado em 02/10/2009 e DJFI P. 264. A decisão determinou, o provimento parcial do pedido de reconsideração feito pela Nestlé assim como a apelação, dizendo que se caso for reformado a sentença, fosse apenas anulado o julgamento do CADE em relação ao pedido de reapreciação da negativa. (AC 0015018-08.2005.4.01.3400/DF, Rel. DESEMBARGADOR FEDERAL JOÃO BATISTA MOREIRA, QUINTA TURMA, e-DJF1 p. 264 de 02/10/2009)</w:t>
      </w:r>
    </w:p>
    <w:p w:rsidR="004B33A0" w:rsidRPr="0036591A" w:rsidRDefault="004B33A0" w:rsidP="004B33A0">
      <w:pPr>
        <w:pStyle w:val="PargrafodaLista"/>
        <w:spacing w:line="36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desta análise conclui-se que houv</w:t>
      </w:r>
      <w:r w:rsidR="00D27B97">
        <w:rPr>
          <w:rFonts w:ascii="Times New Roman" w:hAnsi="Times New Roman" w:cs="Times New Roman"/>
          <w:sz w:val="24"/>
          <w:szCs w:val="24"/>
        </w:rPr>
        <w:t xml:space="preserve">e sim a </w:t>
      </w:r>
      <w:proofErr w:type="spellStart"/>
      <w:r w:rsidR="00D27B97"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 w:rsidR="00D27B97">
        <w:rPr>
          <w:rFonts w:ascii="Times New Roman" w:hAnsi="Times New Roman" w:cs="Times New Roman"/>
          <w:sz w:val="24"/>
          <w:szCs w:val="24"/>
        </w:rPr>
        <w:t xml:space="preserve"> do caso, pois todos os processos que foram reprovados pelo CADE tiveram como resultado o seu ajuizamento de ações buscando a anulação da decisão administrativa emanada pelo órgão antitruste, gerando insegurança em relação a efetividade das decisões que foram tomadas pelo CADE. O CADE perde o poder com a constante </w:t>
      </w:r>
      <w:proofErr w:type="spellStart"/>
      <w:r w:rsidR="00D27B97"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 w:rsidR="00D27B97">
        <w:rPr>
          <w:rFonts w:ascii="Times New Roman" w:hAnsi="Times New Roman" w:cs="Times New Roman"/>
          <w:sz w:val="24"/>
          <w:szCs w:val="24"/>
        </w:rPr>
        <w:t xml:space="preserve"> dos casos discutidos por ele.  </w:t>
      </w:r>
    </w:p>
    <w:p w:rsidR="009E7342" w:rsidRDefault="00F35B92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DECISÕES POSSÍVEIS </w:t>
      </w:r>
    </w:p>
    <w:p w:rsidR="00F35B92" w:rsidRDefault="00F35B92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C17D2E">
        <w:rPr>
          <w:rFonts w:ascii="Times New Roman" w:hAnsi="Times New Roman" w:cs="Times New Roman"/>
          <w:b/>
          <w:sz w:val="24"/>
          <w:szCs w:val="24"/>
        </w:rPr>
        <w:t xml:space="preserve">Não aprovação do CADE em sua decisão </w:t>
      </w:r>
    </w:p>
    <w:p w:rsidR="00860A6E" w:rsidRDefault="00F72A50" w:rsidP="00860A6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CADE após não aprovar a análise de fusão entre as empresas citadas, teve contestação contrária a sua decisão com argumentos de que </w:t>
      </w:r>
      <w:r w:rsidR="00860A6E">
        <w:rPr>
          <w:rFonts w:ascii="Times New Roman" w:hAnsi="Times New Roman" w:cs="Times New Roman"/>
          <w:sz w:val="24"/>
          <w:szCs w:val="24"/>
        </w:rPr>
        <w:t xml:space="preserve">a concentração estar prevista e os requisitos feitos pelas empresas necessário a realização da fusão foram cumpridos de acordo </w:t>
      </w:r>
      <w:r w:rsidR="00860A6E">
        <w:rPr>
          <w:rFonts w:ascii="Times New Roman" w:hAnsi="Times New Roman" w:cs="Times New Roman"/>
          <w:sz w:val="24"/>
          <w:szCs w:val="24"/>
        </w:rPr>
        <w:lastRenderedPageBreak/>
        <w:t xml:space="preserve">com a legislação que era vigente na época. As empresas também questionaram a aprovação da fusão entre outras empresas de cervejaria, já citadas, dando origem a AMBEV dois anos antes. </w:t>
      </w:r>
    </w:p>
    <w:p w:rsidR="00860A6E" w:rsidRDefault="00860A6E" w:rsidP="00860A6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Houve também a negativa do CADE quando afirmou que a APRO celebrada junto com a compra, não havia sido cumprida. A APRO foi cumprida e não teria sido encontrada comprovação desta alegação presente nos autos como defendeu as empresas interessadas. </w:t>
      </w:r>
    </w:p>
    <w:p w:rsidR="00E9179F" w:rsidRDefault="00860A6E" w:rsidP="00860A6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Nestlé afirmou em um processo administrativo no ato de concentração de nº 0812.001697/</w:t>
      </w:r>
      <w:r w:rsidR="00E9179F">
        <w:rPr>
          <w:rFonts w:ascii="Times New Roman" w:hAnsi="Times New Roman" w:cs="Times New Roman"/>
          <w:sz w:val="24"/>
          <w:szCs w:val="24"/>
        </w:rPr>
        <w:t>2002-89, que a</w:t>
      </w:r>
      <w:r>
        <w:rPr>
          <w:rFonts w:ascii="Times New Roman" w:hAnsi="Times New Roman" w:cs="Times New Roman"/>
          <w:sz w:val="24"/>
          <w:szCs w:val="24"/>
        </w:rPr>
        <w:t xml:space="preserve"> fusão ensejaria em diminuir os danos a concorrência nos mercados de balas, confeitos e de chocolates. </w:t>
      </w:r>
    </w:p>
    <w:p w:rsidR="00C17D2E" w:rsidRDefault="00E9179F" w:rsidP="00860A6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da análise e como dito no tópico anterior, houve um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judicialização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caso, pois após a não aprovação </w:t>
      </w:r>
      <w:r w:rsidR="004A20C4">
        <w:rPr>
          <w:rFonts w:ascii="Times New Roman" w:hAnsi="Times New Roman" w:cs="Times New Roman"/>
          <w:sz w:val="24"/>
          <w:szCs w:val="24"/>
        </w:rPr>
        <w:t xml:space="preserve">pelo órgão antitruste de tal procedimento, as empresas interessadas, Nestlé e Garoto recorreram ao judiciário ajuizando ação no ano de 2004, onde foi deferida a liminar em favor das empresas. Não foi desconstituída a negociação e a Nestlé e a Garoto e no mercado hoje as empresas atuam como fundidas. </w:t>
      </w:r>
    </w:p>
    <w:p w:rsidR="004A20C4" w:rsidRPr="00F72A50" w:rsidRDefault="004A20C4" w:rsidP="00860A6E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Diferente do que foi apresentado pelo CADE, após esses 10 anos e até o presente momento essa fusão não ofereceu prejuízos ao mercado de chocolates no Brasil, nem a concorrência no setor. Desta forma, pode-se concluir que a decisão do CADE foi feita de forma equivocada. </w:t>
      </w:r>
    </w:p>
    <w:p w:rsidR="00C17D2E" w:rsidRDefault="00C17D2E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D2E" w:rsidRDefault="004B33A0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Aprovação da decisão do CADE</w:t>
      </w:r>
    </w:p>
    <w:p w:rsidR="004B33A0" w:rsidRDefault="00D27B97" w:rsidP="00D27B9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houve esse caso, o CADE seguiu os procedimentos que eram determinados pela legislação vigente daquela época a lei 8884/94. Como já dito anteriormente, foram seguidos procedimentos determinados presentes no artigo 54 onde dá autorização ao CADE a fazer a analisa da proposta 15 dias após a celebração do contrato, como foi feito. </w:t>
      </w:r>
    </w:p>
    <w:p w:rsidR="00C17D2E" w:rsidRPr="00D27B97" w:rsidRDefault="00D27B97" w:rsidP="00D27B97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pesquisas realizadas pelo CADE naquela época também reforçaram e fundamentaram a sua decisão. O CADE alegou que se houvesse a fusão poderia prejudicar a livre concorrência e dando surgimento a um possível monopólio por essas empresas.  </w:t>
      </w:r>
    </w:p>
    <w:p w:rsidR="00C17D2E" w:rsidRDefault="00C17D2E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B97" w:rsidRDefault="00D27B97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D2E" w:rsidRDefault="00C17D2E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B97" w:rsidRDefault="00D27B97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4A0" w:rsidRDefault="002034A0" w:rsidP="0020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985EB4" w:rsidRDefault="00D27B97" w:rsidP="00203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BRASIL, 4º VARA JUISTIÇA FEDERAL/DF, SENTENÇA AÇAO ORDINARIA: 0015018-08.2005.4.01.3400, JUIZ: ITAGIBA CATTA PRETA NETO. 16/03/07. Acesso em</w:t>
      </w:r>
      <w:r w:rsidR="009D1964">
        <w:rPr>
          <w:rFonts w:ascii="Times New Roman" w:hAnsi="Times New Roman" w:cs="Times New Roman"/>
          <w:sz w:val="24"/>
          <w:szCs w:val="24"/>
        </w:rPr>
        <w:t>: http: processual trfl.jus.br/</w:t>
      </w:r>
      <w:proofErr w:type="spellStart"/>
      <w:r w:rsidR="009D1964">
        <w:rPr>
          <w:rFonts w:ascii="Times New Roman" w:hAnsi="Times New Roman" w:cs="Times New Roman"/>
          <w:sz w:val="24"/>
          <w:szCs w:val="24"/>
        </w:rPr>
        <w:t>consultaProcessual</w:t>
      </w:r>
      <w:proofErr w:type="spellEnd"/>
      <w:r w:rsidR="009D1964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9D1964">
        <w:rPr>
          <w:rFonts w:ascii="Times New Roman" w:hAnsi="Times New Roman" w:cs="Times New Roman"/>
          <w:sz w:val="24"/>
          <w:szCs w:val="24"/>
        </w:rPr>
        <w:t>processo,php</w:t>
      </w:r>
      <w:proofErr w:type="spellEnd"/>
      <w:proofErr w:type="gramEnd"/>
      <w:r w:rsidR="009D1964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9D1964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="009D1964">
        <w:rPr>
          <w:rFonts w:ascii="Times New Roman" w:hAnsi="Times New Roman" w:cs="Times New Roman"/>
          <w:sz w:val="24"/>
          <w:szCs w:val="24"/>
        </w:rPr>
        <w:t>=150180820054013400&amp;secao=JFDF</w:t>
      </w: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BRASIL, Lei nº 884, de 22 de junho de 1994. Transforma o Conselho Administrativo de Defesa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(CADE) em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artarquia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dispõe sobre a prevenção e a repressão as infrações contra a ordem econômica e da outras providencias. Diário Oficial da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Federativa do Brasil.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DF, 13 de junho de 1994. </w:t>
      </w: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BOUERES, Valéria. O papel do CADE e sua intervenção diante da fusão NESTLÉ/GAROTO. 2013. Disponível em: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http</w:t>
      </w:r>
      <w:proofErr w:type="spellEnd"/>
      <w:r>
        <w:rPr>
          <w:rFonts w:ascii="Times New Roman" w:hAnsi="Times New Roman" w:cs="Times New Roman"/>
          <w:sz w:val="24"/>
          <w:szCs w:val="24"/>
        </w:rPr>
        <w:t>//www.boletimjuridico.con.br/doutrina/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texto.asp?id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=2813. Acesso em: 22 de set. de 2014. </w:t>
      </w: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CARVALHO, Carlos Henrique. COELHO, Renata Aparecida Gonçalves. LOPES, </w:t>
      </w:r>
      <w:proofErr w:type="spellStart"/>
      <w:r>
        <w:rPr>
          <w:rFonts w:ascii="Times New Roman" w:hAnsi="Times New Roman" w:cs="Times New Roman"/>
          <w:sz w:val="24"/>
          <w:szCs w:val="24"/>
        </w:rPr>
        <w:t>Flaviane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 Lopes. REIS, Ana Claudia. SILVA, Eliane Aparecida da. SOUZA, Júlio Cesar de. </w:t>
      </w:r>
      <w:r w:rsidRPr="009D1964">
        <w:rPr>
          <w:rFonts w:ascii="Times New Roman" w:hAnsi="Times New Roman" w:cs="Times New Roman"/>
          <w:b/>
          <w:sz w:val="24"/>
          <w:szCs w:val="24"/>
        </w:rPr>
        <w:t>Fusão Nestlé-Garoto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Pontificia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Universidade Católica de Minas Gerais. Belo Horizonte- MG: 2010 </w:t>
      </w: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MARCON, Gilberto Brandão. </w:t>
      </w:r>
      <w:r w:rsidRPr="009D1964">
        <w:rPr>
          <w:rFonts w:ascii="Times New Roman" w:hAnsi="Times New Roman" w:cs="Times New Roman"/>
          <w:b/>
          <w:sz w:val="24"/>
          <w:szCs w:val="24"/>
        </w:rPr>
        <w:t>A evolução do processo Nestlé/Garoto versus CADE</w:t>
      </w:r>
      <w:r>
        <w:rPr>
          <w:rFonts w:ascii="Times New Roman" w:hAnsi="Times New Roman" w:cs="Times New Roman"/>
          <w:sz w:val="24"/>
          <w:szCs w:val="24"/>
        </w:rPr>
        <w:t xml:space="preserve">. 2010. Disponível em: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 xml:space="preserve">//www.administradores.com.br/artigos/markentig/a-evolução-do-processo-nestlegaroto-versus-cade/44114/ Acesso em 12 de set. 2014. </w:t>
      </w:r>
    </w:p>
    <w:p w:rsidR="009D1964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964" w:rsidRPr="00D27B97" w:rsidRDefault="009D1964" w:rsidP="002034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1964" w:rsidRPr="00D27B97" w:rsidSect="00464DE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3AE" w:rsidRDefault="00D453AE" w:rsidP="005A3F28">
      <w:pPr>
        <w:spacing w:after="0" w:line="240" w:lineRule="auto"/>
      </w:pPr>
      <w:r>
        <w:separator/>
      </w:r>
    </w:p>
  </w:endnote>
  <w:endnote w:type="continuationSeparator" w:id="0">
    <w:p w:rsidR="00D453AE" w:rsidRDefault="00D453AE" w:rsidP="005A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3AE" w:rsidRDefault="00D453AE" w:rsidP="005A3F28">
      <w:pPr>
        <w:spacing w:after="0" w:line="240" w:lineRule="auto"/>
      </w:pPr>
      <w:r>
        <w:separator/>
      </w:r>
    </w:p>
  </w:footnote>
  <w:footnote w:type="continuationSeparator" w:id="0">
    <w:p w:rsidR="00D453AE" w:rsidRDefault="00D453AE" w:rsidP="005A3F28">
      <w:pPr>
        <w:spacing w:after="0" w:line="240" w:lineRule="auto"/>
      </w:pPr>
      <w:r>
        <w:continuationSeparator/>
      </w:r>
    </w:p>
  </w:footnote>
  <w:footnote w:id="1">
    <w:p w:rsidR="00464DE5" w:rsidRPr="008F215F" w:rsidRDefault="00464DE5" w:rsidP="005A3F28">
      <w:pPr>
        <w:pStyle w:val="Textodenotaderodap"/>
        <w:rPr>
          <w:rFonts w:ascii="Times New Roman" w:hAnsi="Times New Roman" w:cs="Times New Roman"/>
        </w:rPr>
      </w:pPr>
      <w:r w:rsidRPr="008F215F">
        <w:rPr>
          <w:rStyle w:val="Refdenotaderodap"/>
          <w:rFonts w:ascii="Times New Roman" w:hAnsi="Times New Roman" w:cs="Times New Roman"/>
        </w:rPr>
        <w:footnoteRef/>
      </w:r>
      <w:r w:rsidRPr="008F215F">
        <w:rPr>
          <w:rFonts w:ascii="Times New Roman" w:hAnsi="Times New Roman" w:cs="Times New Roman"/>
        </w:rPr>
        <w:t xml:space="preserve"> Tema proposto pela disciplina de </w:t>
      </w:r>
      <w:r>
        <w:rPr>
          <w:rFonts w:ascii="Times New Roman" w:hAnsi="Times New Roman" w:cs="Times New Roman"/>
        </w:rPr>
        <w:t xml:space="preserve">Direito </w:t>
      </w:r>
      <w:r w:rsidR="00C17D2E">
        <w:rPr>
          <w:rFonts w:ascii="Times New Roman" w:hAnsi="Times New Roman" w:cs="Times New Roman"/>
        </w:rPr>
        <w:t>Econômico</w:t>
      </w:r>
      <w:r w:rsidRPr="008F215F">
        <w:rPr>
          <w:rFonts w:ascii="Times New Roman" w:hAnsi="Times New Roman" w:cs="Times New Roman"/>
        </w:rPr>
        <w:t xml:space="preserve"> da Unidade de Ensino Superior Dom Bosco </w:t>
      </w:r>
      <w:r w:rsidRPr="008F215F">
        <w:rPr>
          <w:rFonts w:ascii="Times New Roman" w:hAnsi="Times New Roman" w:cs="Times New Roman"/>
          <w:color w:val="222222"/>
          <w:shd w:val="clear" w:color="auto" w:fill="FFFFFF"/>
        </w:rPr>
        <w:t>(UNDB)</w:t>
      </w:r>
    </w:p>
  </w:footnote>
  <w:footnote w:id="2">
    <w:p w:rsidR="00464DE5" w:rsidRPr="008F215F" w:rsidRDefault="00464DE5" w:rsidP="005A3F28">
      <w:pPr>
        <w:pStyle w:val="Textodenotaderodap"/>
        <w:rPr>
          <w:rFonts w:ascii="Times New Roman" w:hAnsi="Times New Roman" w:cs="Times New Roman"/>
        </w:rPr>
      </w:pPr>
      <w:r w:rsidRPr="008F215F">
        <w:rPr>
          <w:rStyle w:val="Refdenotaderodap"/>
          <w:rFonts w:ascii="Times New Roman" w:hAnsi="Times New Roman" w:cs="Times New Roman"/>
        </w:rPr>
        <w:footnoteRef/>
      </w:r>
      <w:r w:rsidR="00C17D2E">
        <w:rPr>
          <w:rFonts w:ascii="Times New Roman" w:hAnsi="Times New Roman" w:cs="Times New Roman"/>
        </w:rPr>
        <w:t xml:space="preserve"> Aluna do 8</w:t>
      </w:r>
      <w:r w:rsidRPr="008F215F">
        <w:rPr>
          <w:rFonts w:ascii="Times New Roman" w:hAnsi="Times New Roman" w:cs="Times New Roman"/>
        </w:rPr>
        <w:t>º período de Direito da UNDB</w:t>
      </w:r>
    </w:p>
  </w:footnote>
  <w:footnote w:id="3">
    <w:p w:rsidR="00464DE5" w:rsidRDefault="00464DE5" w:rsidP="005A3F28">
      <w:pPr>
        <w:pStyle w:val="Textodenotaderodap"/>
      </w:pPr>
      <w:r w:rsidRPr="008F215F">
        <w:rPr>
          <w:rStyle w:val="Refdenotaderodap"/>
          <w:rFonts w:ascii="Times New Roman" w:hAnsi="Times New Roman" w:cs="Times New Roman"/>
        </w:rPr>
        <w:footnoteRef/>
      </w:r>
      <w:r w:rsidRPr="008F215F">
        <w:rPr>
          <w:rFonts w:ascii="Times New Roman" w:hAnsi="Times New Roman" w:cs="Times New Roman"/>
        </w:rPr>
        <w:t xml:space="preserve"> Professor da disciplina de </w:t>
      </w:r>
      <w:r>
        <w:rPr>
          <w:rFonts w:ascii="Times New Roman" w:hAnsi="Times New Roman" w:cs="Times New Roman"/>
        </w:rPr>
        <w:t xml:space="preserve">Direito </w:t>
      </w:r>
      <w:r w:rsidR="00C17D2E">
        <w:rPr>
          <w:rFonts w:ascii="Times New Roman" w:hAnsi="Times New Roman" w:cs="Times New Roman"/>
        </w:rPr>
        <w:t>Econômico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C67CD"/>
    <w:multiLevelType w:val="hybridMultilevel"/>
    <w:tmpl w:val="26DAC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83AA0"/>
    <w:multiLevelType w:val="multilevel"/>
    <w:tmpl w:val="9266C7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D987B2E"/>
    <w:multiLevelType w:val="hybridMultilevel"/>
    <w:tmpl w:val="4658F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28"/>
    <w:rsid w:val="000A5D3A"/>
    <w:rsid w:val="000A7063"/>
    <w:rsid w:val="000B0045"/>
    <w:rsid w:val="00110D2F"/>
    <w:rsid w:val="002034A0"/>
    <w:rsid w:val="002239C2"/>
    <w:rsid w:val="00257C1A"/>
    <w:rsid w:val="002616CF"/>
    <w:rsid w:val="00261CDF"/>
    <w:rsid w:val="002B359A"/>
    <w:rsid w:val="0036591A"/>
    <w:rsid w:val="003E6122"/>
    <w:rsid w:val="003F4403"/>
    <w:rsid w:val="00464DE5"/>
    <w:rsid w:val="00495572"/>
    <w:rsid w:val="004A20C4"/>
    <w:rsid w:val="004B33A0"/>
    <w:rsid w:val="004D3BD9"/>
    <w:rsid w:val="004F58C1"/>
    <w:rsid w:val="00514436"/>
    <w:rsid w:val="00542CE2"/>
    <w:rsid w:val="00550C19"/>
    <w:rsid w:val="00576FBB"/>
    <w:rsid w:val="005A1734"/>
    <w:rsid w:val="005A3F28"/>
    <w:rsid w:val="005B461C"/>
    <w:rsid w:val="0063737D"/>
    <w:rsid w:val="006C56AC"/>
    <w:rsid w:val="007A5857"/>
    <w:rsid w:val="007B557F"/>
    <w:rsid w:val="00860A6E"/>
    <w:rsid w:val="00863C11"/>
    <w:rsid w:val="008A4065"/>
    <w:rsid w:val="00900136"/>
    <w:rsid w:val="00926EA2"/>
    <w:rsid w:val="00972D7B"/>
    <w:rsid w:val="00985EB4"/>
    <w:rsid w:val="009B6703"/>
    <w:rsid w:val="009D1964"/>
    <w:rsid w:val="009E7342"/>
    <w:rsid w:val="00A45CD7"/>
    <w:rsid w:val="00B25CB2"/>
    <w:rsid w:val="00B40092"/>
    <w:rsid w:val="00B87126"/>
    <w:rsid w:val="00C17D2E"/>
    <w:rsid w:val="00CA07EB"/>
    <w:rsid w:val="00D12EC5"/>
    <w:rsid w:val="00D27B97"/>
    <w:rsid w:val="00D37464"/>
    <w:rsid w:val="00D444FB"/>
    <w:rsid w:val="00D453AE"/>
    <w:rsid w:val="00DD33A1"/>
    <w:rsid w:val="00E22F50"/>
    <w:rsid w:val="00E9179F"/>
    <w:rsid w:val="00EA2868"/>
    <w:rsid w:val="00EF6033"/>
    <w:rsid w:val="00F17EFF"/>
    <w:rsid w:val="00F35B92"/>
    <w:rsid w:val="00F65FBD"/>
    <w:rsid w:val="00F72A50"/>
    <w:rsid w:val="00F87AFF"/>
    <w:rsid w:val="00F960C0"/>
    <w:rsid w:val="00FC4105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B9D8F-5945-408C-8CB1-DB82D50B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A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3F28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A3F2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A3F2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A3F28"/>
    <w:rPr>
      <w:vertAlign w:val="superscript"/>
    </w:rPr>
  </w:style>
  <w:style w:type="paragraph" w:styleId="SemEspaamento">
    <w:name w:val="No Spacing"/>
    <w:uiPriority w:val="1"/>
    <w:qFormat/>
    <w:rsid w:val="005A3F28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550C1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50C19"/>
    <w:rPr>
      <w:color w:val="0000FF"/>
      <w:u w:val="single"/>
    </w:rPr>
  </w:style>
  <w:style w:type="character" w:customStyle="1" w:styleId="linkmenu">
    <w:name w:val="linkmenu"/>
    <w:basedOn w:val="Fontepargpadro"/>
    <w:rsid w:val="007A5857"/>
  </w:style>
  <w:style w:type="paragraph" w:styleId="NormalWeb">
    <w:name w:val="Normal (Web)"/>
    <w:basedOn w:val="Normal"/>
    <w:uiPriority w:val="99"/>
    <w:semiHidden/>
    <w:unhideWhenUsed/>
    <w:rsid w:val="0098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RODRIGUES</dc:creator>
  <cp:keywords/>
  <dc:description/>
  <cp:lastModifiedBy>Larissa</cp:lastModifiedBy>
  <cp:revision>2</cp:revision>
  <dcterms:created xsi:type="dcterms:W3CDTF">2014-09-26T17:43:00Z</dcterms:created>
  <dcterms:modified xsi:type="dcterms:W3CDTF">2014-09-26T17:43:00Z</dcterms:modified>
</cp:coreProperties>
</file>