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4D6" w:rsidRDefault="00072FC3" w:rsidP="002D475D">
      <w:pPr>
        <w:spacing w:after="120" w:line="360" w:lineRule="auto"/>
        <w:ind w:firstLine="1134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Controle de </w:t>
      </w:r>
      <w:bookmarkStart w:id="0" w:name="_GoBack"/>
      <w:bookmarkEnd w:id="0"/>
      <w:proofErr w:type="spellStart"/>
      <w:r>
        <w:rPr>
          <w:rFonts w:ascii="Arial" w:hAnsi="Arial" w:cs="Arial"/>
          <w:b/>
          <w:sz w:val="24"/>
        </w:rPr>
        <w:t>Convencionalidade</w:t>
      </w:r>
      <w:proofErr w:type="spellEnd"/>
      <w:r>
        <w:rPr>
          <w:rFonts w:ascii="Arial" w:hAnsi="Arial" w:cs="Arial"/>
          <w:b/>
          <w:sz w:val="24"/>
        </w:rPr>
        <w:t xml:space="preserve"> x Controle de C</w:t>
      </w:r>
      <w:r w:rsidR="003300AF">
        <w:rPr>
          <w:rFonts w:ascii="Arial" w:hAnsi="Arial" w:cs="Arial"/>
          <w:b/>
          <w:sz w:val="24"/>
        </w:rPr>
        <w:t>onstitucionalidade: Equívocos de</w:t>
      </w:r>
      <w:r>
        <w:rPr>
          <w:rFonts w:ascii="Arial" w:hAnsi="Arial" w:cs="Arial"/>
          <w:b/>
          <w:sz w:val="24"/>
        </w:rPr>
        <w:t xml:space="preserve"> Tribunais Brasileiros</w:t>
      </w:r>
    </w:p>
    <w:p w:rsidR="002D475D" w:rsidRDefault="002D475D" w:rsidP="002D475D">
      <w:pPr>
        <w:spacing w:after="120" w:line="360" w:lineRule="auto"/>
        <w:ind w:firstLine="1134"/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Ighor Soares dos Santos</w:t>
      </w:r>
      <w:r w:rsidR="006D4AB5">
        <w:rPr>
          <w:rStyle w:val="Refdenotaderodap"/>
          <w:rFonts w:ascii="Arial" w:hAnsi="Arial" w:cs="Arial"/>
          <w:b/>
          <w:sz w:val="24"/>
        </w:rPr>
        <w:footnoteReference w:id="1"/>
      </w:r>
    </w:p>
    <w:p w:rsidR="002D475D" w:rsidRDefault="002D475D" w:rsidP="006D4AB5">
      <w:pPr>
        <w:spacing w:after="120"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Introdução</w:t>
      </w:r>
    </w:p>
    <w:p w:rsidR="00F31F2A" w:rsidRDefault="002D475D" w:rsidP="002D475D">
      <w:pPr>
        <w:spacing w:after="120" w:line="360" w:lineRule="auto"/>
        <w:ind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Este trab</w:t>
      </w:r>
      <w:r w:rsidR="00F31F2A">
        <w:rPr>
          <w:rFonts w:ascii="Arial" w:hAnsi="Arial" w:cs="Arial"/>
          <w:sz w:val="24"/>
        </w:rPr>
        <w:t>alho visa analisar a dificuldade de compreensão dos tribunais brasileiros para reconhecer sentença proferida pela Corte Inter</w:t>
      </w:r>
      <w:r w:rsidR="003300AF">
        <w:rPr>
          <w:rFonts w:ascii="Arial" w:hAnsi="Arial" w:cs="Arial"/>
          <w:sz w:val="24"/>
        </w:rPr>
        <w:t xml:space="preserve">americana de Direitos Humanos que declarou </w:t>
      </w:r>
      <w:r w:rsidR="00F31F2A">
        <w:rPr>
          <w:rFonts w:ascii="Arial" w:hAnsi="Arial" w:cs="Arial"/>
          <w:sz w:val="24"/>
        </w:rPr>
        <w:t>a invalidade da Lei de Anistia</w:t>
      </w:r>
      <w:r w:rsidR="003300AF">
        <w:rPr>
          <w:rFonts w:ascii="Arial" w:hAnsi="Arial" w:cs="Arial"/>
          <w:sz w:val="24"/>
        </w:rPr>
        <w:t xml:space="preserve"> brasileira (Lei nº 6.683/1979)</w:t>
      </w:r>
      <w:r w:rsidR="00F31F2A">
        <w:rPr>
          <w:rFonts w:ascii="Arial" w:hAnsi="Arial" w:cs="Arial"/>
          <w:sz w:val="24"/>
        </w:rPr>
        <w:t xml:space="preserve">, por meio de controle de </w:t>
      </w:r>
      <w:proofErr w:type="spellStart"/>
      <w:r w:rsidR="00F31F2A">
        <w:rPr>
          <w:rFonts w:ascii="Arial" w:hAnsi="Arial" w:cs="Arial"/>
          <w:sz w:val="24"/>
        </w:rPr>
        <w:t>convencionalidade</w:t>
      </w:r>
      <w:proofErr w:type="spellEnd"/>
      <w:r w:rsidR="00F31F2A">
        <w:rPr>
          <w:rFonts w:ascii="Arial" w:hAnsi="Arial" w:cs="Arial"/>
          <w:sz w:val="24"/>
        </w:rPr>
        <w:t>. Para isso, pretende explicar o que é este tipo de controle, bem como diferenciá-lo em relação ao controle de constitucional</w:t>
      </w:r>
      <w:r w:rsidR="003300AF">
        <w:rPr>
          <w:rFonts w:ascii="Arial" w:hAnsi="Arial" w:cs="Arial"/>
          <w:sz w:val="24"/>
        </w:rPr>
        <w:t>idade. Por conseguinte, passa-se</w:t>
      </w:r>
      <w:r w:rsidR="00F31F2A">
        <w:rPr>
          <w:rFonts w:ascii="Arial" w:hAnsi="Arial" w:cs="Arial"/>
          <w:sz w:val="24"/>
        </w:rPr>
        <w:t xml:space="preserve"> a análise de equívocos cometidos por cortes nacionais e importância do pendente pronunciamento do Supremo Tribunal Federal sobre o tema.</w:t>
      </w:r>
    </w:p>
    <w:p w:rsidR="00651EAA" w:rsidRDefault="00651EAA" w:rsidP="006D4AB5">
      <w:pPr>
        <w:spacing w:after="120"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Origem da problemática</w:t>
      </w:r>
    </w:p>
    <w:p w:rsidR="0078539F" w:rsidRDefault="0078539F" w:rsidP="00D045B7">
      <w:pPr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A problemática da compatibilidade entre o controle de constitucionalidade e o controle de </w:t>
      </w:r>
      <w:proofErr w:type="spellStart"/>
      <w:r>
        <w:rPr>
          <w:rFonts w:ascii="Arial" w:hAnsi="Arial" w:cs="Arial"/>
          <w:sz w:val="24"/>
        </w:rPr>
        <w:t>convencionalidade</w:t>
      </w:r>
      <w:proofErr w:type="spellEnd"/>
      <w:r>
        <w:rPr>
          <w:rFonts w:ascii="Arial" w:hAnsi="Arial" w:cs="Arial"/>
          <w:sz w:val="24"/>
        </w:rPr>
        <w:t xml:space="preserve"> tomou maior repercussão a partir de </w:t>
      </w:r>
      <w:r w:rsidR="00F9718A">
        <w:rPr>
          <w:rFonts w:ascii="Arial" w:hAnsi="Arial" w:cs="Arial"/>
          <w:sz w:val="24"/>
        </w:rPr>
        <w:t>dois julgamentos distinto</w:t>
      </w:r>
      <w:r>
        <w:rPr>
          <w:rFonts w:ascii="Arial" w:hAnsi="Arial" w:cs="Arial"/>
          <w:sz w:val="24"/>
        </w:rPr>
        <w:t>s envolvendo o mesmo dispositivo normativo, qual seja a Lei 6.683, de 28 de agosto de 1979, conhecida como “Lei da Anistia</w:t>
      </w:r>
      <w:r w:rsidR="000F603E">
        <w:rPr>
          <w:rFonts w:ascii="Arial" w:hAnsi="Arial" w:cs="Arial"/>
          <w:sz w:val="24"/>
          <w:szCs w:val="24"/>
        </w:rPr>
        <w:t>”. Esta lei</w:t>
      </w:r>
      <w:r w:rsidRPr="00FB46E1">
        <w:rPr>
          <w:rFonts w:ascii="Arial" w:hAnsi="Arial" w:cs="Arial"/>
          <w:sz w:val="24"/>
          <w:szCs w:val="24"/>
        </w:rPr>
        <w:t xml:space="preserve"> concedeu anistia aos que cometeram crimes políticos, ou conexos com estes, no período compreendido entre 2 de setembro de 1961 e 15 de agosto de 1979.</w:t>
      </w:r>
    </w:p>
    <w:p w:rsidR="000F603E" w:rsidRDefault="00F9718A" w:rsidP="00F9718A">
      <w:pPr>
        <w:spacing w:after="120" w:line="360" w:lineRule="auto"/>
        <w:ind w:firstLine="1134"/>
        <w:jc w:val="both"/>
        <w:outlineLvl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O primeiro julgamento</w:t>
      </w:r>
      <w:r w:rsidR="0078539F">
        <w:rPr>
          <w:rFonts w:ascii="Arial" w:hAnsi="Arial" w:cs="Arial"/>
          <w:sz w:val="24"/>
          <w:szCs w:val="24"/>
        </w:rPr>
        <w:t xml:space="preserve"> foi </w:t>
      </w:r>
      <w:r w:rsidR="0078539F">
        <w:rPr>
          <w:rFonts w:ascii="Arial" w:hAnsi="Arial" w:cs="Arial"/>
          <w:sz w:val="24"/>
        </w:rPr>
        <w:t>exarad</w:t>
      </w:r>
      <w:r>
        <w:rPr>
          <w:rFonts w:ascii="Arial" w:hAnsi="Arial" w:cs="Arial"/>
          <w:sz w:val="24"/>
        </w:rPr>
        <w:t>o</w:t>
      </w:r>
      <w:r w:rsidR="0078539F">
        <w:rPr>
          <w:rFonts w:ascii="Arial" w:hAnsi="Arial" w:cs="Arial"/>
          <w:sz w:val="24"/>
        </w:rPr>
        <w:t xml:space="preserve"> pelo Supremo Tribunal Federal na </w:t>
      </w:r>
      <w:r w:rsidR="0018284B">
        <w:rPr>
          <w:rFonts w:ascii="Arial" w:hAnsi="Arial" w:cs="Arial"/>
          <w:sz w:val="24"/>
        </w:rPr>
        <w:t xml:space="preserve">Arguição de </w:t>
      </w:r>
      <w:r w:rsidR="0078539F">
        <w:rPr>
          <w:rFonts w:ascii="Arial" w:hAnsi="Arial" w:cs="Arial"/>
          <w:sz w:val="24"/>
        </w:rPr>
        <w:t>D</w:t>
      </w:r>
      <w:r w:rsidR="0018284B">
        <w:rPr>
          <w:rFonts w:ascii="Arial" w:hAnsi="Arial" w:cs="Arial"/>
          <w:sz w:val="24"/>
        </w:rPr>
        <w:t xml:space="preserve">escumprimento de </w:t>
      </w:r>
      <w:r w:rsidR="0078539F">
        <w:rPr>
          <w:rFonts w:ascii="Arial" w:hAnsi="Arial" w:cs="Arial"/>
          <w:sz w:val="24"/>
        </w:rPr>
        <w:t>P</w:t>
      </w:r>
      <w:r w:rsidR="0018284B">
        <w:rPr>
          <w:rFonts w:ascii="Arial" w:hAnsi="Arial" w:cs="Arial"/>
          <w:sz w:val="24"/>
        </w:rPr>
        <w:t xml:space="preserve">receito </w:t>
      </w:r>
      <w:r w:rsidR="0078539F">
        <w:rPr>
          <w:rFonts w:ascii="Arial" w:hAnsi="Arial" w:cs="Arial"/>
          <w:sz w:val="24"/>
        </w:rPr>
        <w:t>F</w:t>
      </w:r>
      <w:r w:rsidR="0018284B">
        <w:rPr>
          <w:rFonts w:ascii="Arial" w:hAnsi="Arial" w:cs="Arial"/>
          <w:sz w:val="24"/>
        </w:rPr>
        <w:t>undamental (ADPF)</w:t>
      </w:r>
      <w:r w:rsidR="0078539F">
        <w:rPr>
          <w:rFonts w:ascii="Arial" w:hAnsi="Arial" w:cs="Arial"/>
          <w:sz w:val="24"/>
        </w:rPr>
        <w:t xml:space="preserve"> nº 153</w:t>
      </w:r>
      <w:r w:rsidR="000F603E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em 28 de abril</w:t>
      </w:r>
      <w:r w:rsidR="0078539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de 2</w:t>
      </w:r>
      <w:r w:rsidR="000F603E">
        <w:rPr>
          <w:rFonts w:ascii="Arial" w:hAnsi="Arial" w:cs="Arial"/>
          <w:sz w:val="24"/>
        </w:rPr>
        <w:t>010, proposta pela Or</w:t>
      </w:r>
      <w:r w:rsidR="00643C72">
        <w:rPr>
          <w:rFonts w:ascii="Arial" w:hAnsi="Arial" w:cs="Arial"/>
          <w:sz w:val="24"/>
        </w:rPr>
        <w:t>dem dos Advogados do Brasil</w:t>
      </w:r>
      <w:r w:rsidR="004614D6">
        <w:rPr>
          <w:rFonts w:ascii="Arial" w:hAnsi="Arial" w:cs="Arial"/>
          <w:sz w:val="24"/>
        </w:rPr>
        <w:t xml:space="preserve"> </w:t>
      </w:r>
      <w:r w:rsidR="000F603E">
        <w:rPr>
          <w:rFonts w:ascii="Arial" w:hAnsi="Arial" w:cs="Arial"/>
          <w:sz w:val="24"/>
        </w:rPr>
        <w:t>(OAB</w:t>
      </w:r>
      <w:r w:rsidR="000F603E" w:rsidRPr="000F603E">
        <w:rPr>
          <w:rFonts w:ascii="Arial" w:hAnsi="Arial" w:cs="Arial"/>
          <w:color w:val="000000" w:themeColor="text1"/>
          <w:sz w:val="24"/>
          <w:szCs w:val="24"/>
        </w:rPr>
        <w:t>). A Ordem pretendia que a Suprema Corte anulasse o perdão dado aos representantes do Estado (policiais e militares) acusados de praticar atos de tortura durante o regime militar. O caso foi julga</w:t>
      </w:r>
      <w:r w:rsidR="000F603E">
        <w:rPr>
          <w:rFonts w:ascii="Arial" w:hAnsi="Arial" w:cs="Arial"/>
          <w:color w:val="000000" w:themeColor="text1"/>
          <w:sz w:val="24"/>
          <w:szCs w:val="24"/>
        </w:rPr>
        <w:t xml:space="preserve">do improcedente por 7 votos a 2 e culminou no entendimento de que </w:t>
      </w:r>
      <w:r w:rsidR="0078539F">
        <w:rPr>
          <w:rFonts w:ascii="Arial" w:hAnsi="Arial" w:cs="Arial"/>
          <w:sz w:val="24"/>
        </w:rPr>
        <w:t>a Lei da Anistia era constitucional.</w:t>
      </w:r>
      <w:r>
        <w:rPr>
          <w:rFonts w:ascii="Arial" w:hAnsi="Arial" w:cs="Arial"/>
          <w:sz w:val="24"/>
        </w:rPr>
        <w:t xml:space="preserve"> </w:t>
      </w:r>
    </w:p>
    <w:p w:rsidR="00241E9F" w:rsidRDefault="00F9718A" w:rsidP="00241E9F">
      <w:pPr>
        <w:spacing w:after="120" w:line="360" w:lineRule="auto"/>
        <w:ind w:firstLine="1134"/>
        <w:jc w:val="both"/>
        <w:outlineLvl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Já o segundo</w:t>
      </w:r>
      <w:r w:rsidR="0078539F">
        <w:rPr>
          <w:rFonts w:ascii="Arial" w:hAnsi="Arial" w:cs="Arial"/>
          <w:sz w:val="24"/>
        </w:rPr>
        <w:t xml:space="preserve"> </w:t>
      </w:r>
      <w:r w:rsidR="003300AF">
        <w:rPr>
          <w:rFonts w:ascii="Arial" w:hAnsi="Arial" w:cs="Arial"/>
          <w:sz w:val="24"/>
        </w:rPr>
        <w:t xml:space="preserve">julgamento </w:t>
      </w:r>
      <w:r w:rsidR="0078539F">
        <w:rPr>
          <w:rFonts w:ascii="Arial" w:hAnsi="Arial" w:cs="Arial"/>
          <w:sz w:val="24"/>
        </w:rPr>
        <w:t>foi p</w:t>
      </w:r>
      <w:r>
        <w:rPr>
          <w:rFonts w:ascii="Arial" w:hAnsi="Arial" w:cs="Arial"/>
          <w:sz w:val="24"/>
        </w:rPr>
        <w:t>roferido</w:t>
      </w:r>
      <w:r w:rsidR="0078539F">
        <w:rPr>
          <w:rFonts w:ascii="Arial" w:hAnsi="Arial" w:cs="Arial"/>
          <w:sz w:val="24"/>
        </w:rPr>
        <w:t xml:space="preserve"> pela Corte Interamericana de Direitos Humanos (CIDH) de 24 de novembro de 2014, no caso Gomes </w:t>
      </w:r>
      <w:proofErr w:type="spellStart"/>
      <w:r w:rsidR="0078539F">
        <w:rPr>
          <w:rFonts w:ascii="Arial" w:hAnsi="Arial" w:cs="Arial"/>
          <w:sz w:val="24"/>
        </w:rPr>
        <w:t>Lund</w:t>
      </w:r>
      <w:proofErr w:type="spellEnd"/>
      <w:r w:rsidR="0078539F">
        <w:rPr>
          <w:rFonts w:ascii="Arial" w:hAnsi="Arial" w:cs="Arial"/>
          <w:sz w:val="24"/>
        </w:rPr>
        <w:t xml:space="preserve"> e </w:t>
      </w:r>
      <w:proofErr w:type="gramStart"/>
      <w:r w:rsidR="0078539F">
        <w:rPr>
          <w:rFonts w:ascii="Arial" w:hAnsi="Arial" w:cs="Arial"/>
          <w:sz w:val="24"/>
        </w:rPr>
        <w:t>outros vs</w:t>
      </w:r>
      <w:r w:rsidR="00643C72">
        <w:rPr>
          <w:rFonts w:ascii="Arial" w:hAnsi="Arial" w:cs="Arial"/>
          <w:sz w:val="24"/>
        </w:rPr>
        <w:t>.</w:t>
      </w:r>
      <w:r w:rsidR="0078539F">
        <w:rPr>
          <w:rFonts w:ascii="Arial" w:hAnsi="Arial" w:cs="Arial"/>
          <w:sz w:val="24"/>
        </w:rPr>
        <w:t xml:space="preserve"> Brasil</w:t>
      </w:r>
      <w:proofErr w:type="gramEnd"/>
      <w:r>
        <w:rPr>
          <w:rFonts w:ascii="Arial" w:hAnsi="Arial" w:cs="Arial"/>
          <w:sz w:val="24"/>
        </w:rPr>
        <w:t xml:space="preserve">, </w:t>
      </w:r>
      <w:r w:rsidR="00241E9F">
        <w:rPr>
          <w:rFonts w:ascii="Arial" w:hAnsi="Arial" w:cs="Arial"/>
          <w:sz w:val="24"/>
        </w:rPr>
        <w:t xml:space="preserve">com objetivo de imputar a responsabilidade do Brasil pela </w:t>
      </w:r>
      <w:r w:rsidR="00241E9F">
        <w:rPr>
          <w:rFonts w:ascii="Arial" w:hAnsi="Arial" w:cs="Arial"/>
          <w:sz w:val="24"/>
        </w:rPr>
        <w:lastRenderedPageBreak/>
        <w:t>detenção arbitrária, tortura e desaparecimento forçada de 70 pessoas, entre eles camponeses e membros do Partido Comunista do Brasil (PC do B), em razão de ações promovidas pelo Exército brasileiro entre 1972 e 1975 com o objetivo de erradicar a Guerrilha do Araguaia. Nesta ocasião,</w:t>
      </w:r>
      <w:r>
        <w:rPr>
          <w:rFonts w:ascii="Arial" w:hAnsi="Arial" w:cs="Arial"/>
          <w:sz w:val="24"/>
        </w:rPr>
        <w:t xml:space="preserve"> decidiu</w:t>
      </w:r>
      <w:r w:rsidR="00241E9F">
        <w:rPr>
          <w:rFonts w:ascii="Arial" w:hAnsi="Arial" w:cs="Arial"/>
          <w:sz w:val="24"/>
        </w:rPr>
        <w:t>-se</w:t>
      </w:r>
      <w:r w:rsidR="0078539F">
        <w:rPr>
          <w:rFonts w:ascii="Arial" w:hAnsi="Arial" w:cs="Arial"/>
          <w:sz w:val="24"/>
        </w:rPr>
        <w:t xml:space="preserve"> a desconformidade da Lei da Anistia em relação ao Pacto de São José da Costa Ric</w:t>
      </w:r>
      <w:r w:rsidR="00241E9F">
        <w:rPr>
          <w:rFonts w:ascii="Arial" w:hAnsi="Arial" w:cs="Arial"/>
          <w:sz w:val="24"/>
        </w:rPr>
        <w:t xml:space="preserve">a do qual o Brasil é signatário. Portanto, determinou-se que a </w:t>
      </w:r>
      <w:proofErr w:type="spellStart"/>
      <w:r w:rsidR="00241E9F">
        <w:rPr>
          <w:rFonts w:ascii="Arial" w:hAnsi="Arial" w:cs="Arial"/>
          <w:sz w:val="24"/>
        </w:rPr>
        <w:t>inconvencionalidade</w:t>
      </w:r>
      <w:proofErr w:type="spellEnd"/>
      <w:r w:rsidR="00241E9F">
        <w:rPr>
          <w:rFonts w:ascii="Arial" w:hAnsi="Arial" w:cs="Arial"/>
          <w:sz w:val="24"/>
        </w:rPr>
        <w:t xml:space="preserve"> de lei perante esse tratado.</w:t>
      </w:r>
    </w:p>
    <w:p w:rsidR="00651EAA" w:rsidRPr="00651EAA" w:rsidRDefault="00651EAA" w:rsidP="006D4AB5">
      <w:pPr>
        <w:spacing w:after="120" w:line="360" w:lineRule="auto"/>
        <w:outlineLvl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Controle de </w:t>
      </w:r>
      <w:proofErr w:type="spellStart"/>
      <w:r>
        <w:rPr>
          <w:rFonts w:ascii="Arial" w:hAnsi="Arial" w:cs="Arial"/>
          <w:b/>
          <w:sz w:val="24"/>
        </w:rPr>
        <w:t>Convencionalidade</w:t>
      </w:r>
      <w:proofErr w:type="spellEnd"/>
      <w:r>
        <w:rPr>
          <w:rFonts w:ascii="Arial" w:hAnsi="Arial" w:cs="Arial"/>
          <w:b/>
          <w:sz w:val="24"/>
        </w:rPr>
        <w:t xml:space="preserve"> x Controle de Constitucionalidade</w:t>
      </w:r>
    </w:p>
    <w:p w:rsidR="00B8275D" w:rsidRDefault="00D045B7" w:rsidP="00D045B7">
      <w:pPr>
        <w:spacing w:after="120" w:line="360" w:lineRule="auto"/>
        <w:ind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 controle de </w:t>
      </w:r>
      <w:proofErr w:type="spellStart"/>
      <w:r>
        <w:rPr>
          <w:rFonts w:ascii="Arial" w:hAnsi="Arial" w:cs="Arial"/>
          <w:sz w:val="24"/>
        </w:rPr>
        <w:t>convencionalidade</w:t>
      </w:r>
      <w:proofErr w:type="spellEnd"/>
      <w:r>
        <w:rPr>
          <w:rFonts w:ascii="Arial" w:hAnsi="Arial" w:cs="Arial"/>
          <w:sz w:val="24"/>
        </w:rPr>
        <w:t xml:space="preserve"> e o controle de constitucionalidade são fenômenos jurídicos semelhantes. Ambos consistem em analisar a conformidade de atos jurídicos, entretanto, com parâmetros distintos. O primeiro cuida de analisar o ato jurídico e sua compatibilidade em face à tratados internacionais, enquanto que o segundo cuida de verificar a compatibilidade de acordo com a Constituição Federal.</w:t>
      </w:r>
      <w:r w:rsidR="00B8275D">
        <w:rPr>
          <w:rFonts w:ascii="Arial" w:hAnsi="Arial" w:cs="Arial"/>
          <w:sz w:val="24"/>
        </w:rPr>
        <w:t xml:space="preserve"> </w:t>
      </w:r>
    </w:p>
    <w:p w:rsidR="00D7040C" w:rsidRDefault="001226F8" w:rsidP="00D045B7">
      <w:pPr>
        <w:spacing w:after="120" w:line="360" w:lineRule="auto"/>
        <w:ind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Uma norma jurídica </w:t>
      </w:r>
      <w:r w:rsidR="00B8275D">
        <w:rPr>
          <w:rFonts w:ascii="Arial" w:hAnsi="Arial" w:cs="Arial"/>
          <w:sz w:val="24"/>
        </w:rPr>
        <w:t xml:space="preserve">deve guardar conformidade com ambas as ordens, </w:t>
      </w:r>
      <w:r w:rsidR="00D7040C">
        <w:rPr>
          <w:rFonts w:ascii="Arial" w:hAnsi="Arial" w:cs="Arial"/>
          <w:sz w:val="24"/>
        </w:rPr>
        <w:t>tanto com a constitucional, quanto com a</w:t>
      </w:r>
      <w:r w:rsidR="00B8275D">
        <w:rPr>
          <w:rFonts w:ascii="Arial" w:hAnsi="Arial" w:cs="Arial"/>
          <w:sz w:val="24"/>
        </w:rPr>
        <w:t xml:space="preserve"> internacional. Portanto</w:t>
      </w:r>
      <w:r>
        <w:rPr>
          <w:rFonts w:ascii="Arial" w:hAnsi="Arial" w:cs="Arial"/>
          <w:sz w:val="24"/>
        </w:rPr>
        <w:t>, pode ocorrer que uma lei</w:t>
      </w:r>
      <w:r w:rsidR="00F52991">
        <w:rPr>
          <w:rFonts w:ascii="Arial" w:hAnsi="Arial" w:cs="Arial"/>
          <w:sz w:val="24"/>
        </w:rPr>
        <w:t xml:space="preserve"> esteja em conformidade com o direito interno, mas não com o direito internacional, bem como o contrário. Entretanto, basta que ocorre desco</w:t>
      </w:r>
      <w:r w:rsidR="00D7040C">
        <w:rPr>
          <w:rFonts w:ascii="Arial" w:hAnsi="Arial" w:cs="Arial"/>
          <w:sz w:val="24"/>
        </w:rPr>
        <w:t>nformidade com um desses âmbitos normativos para que</w:t>
      </w:r>
      <w:r>
        <w:rPr>
          <w:rFonts w:ascii="Arial" w:hAnsi="Arial" w:cs="Arial"/>
          <w:sz w:val="24"/>
        </w:rPr>
        <w:t xml:space="preserve"> ocorra a necessidade de excluí-la do ordenamento jurídico. </w:t>
      </w:r>
    </w:p>
    <w:p w:rsidR="00D11C9F" w:rsidRPr="00582203" w:rsidRDefault="00D7040C" w:rsidP="00582203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</w:rPr>
        <w:t>Ademais, cumpre ressaltar que a decisão das Cortes Internacionais, como ocorre com as cortes nacionais, gozam de imperatividade. Não se pode desprez</w:t>
      </w:r>
      <w:r w:rsidR="00F9718A">
        <w:rPr>
          <w:rFonts w:ascii="Arial" w:hAnsi="Arial" w:cs="Arial"/>
          <w:sz w:val="24"/>
        </w:rPr>
        <w:t>ar o seu cumprimento sob a égide</w:t>
      </w:r>
      <w:r>
        <w:rPr>
          <w:rFonts w:ascii="Arial" w:hAnsi="Arial" w:cs="Arial"/>
          <w:sz w:val="24"/>
        </w:rPr>
        <w:t xml:space="preserve"> de que o Estado </w:t>
      </w:r>
      <w:r w:rsidR="00F9718A">
        <w:rPr>
          <w:rFonts w:ascii="Arial" w:hAnsi="Arial" w:cs="Arial"/>
          <w:sz w:val="24"/>
        </w:rPr>
        <w:t>é soberano, pois é justamente a partir do exercício desta soberania é que se</w:t>
      </w:r>
      <w:r>
        <w:rPr>
          <w:rFonts w:ascii="Arial" w:hAnsi="Arial" w:cs="Arial"/>
          <w:sz w:val="24"/>
        </w:rPr>
        <w:t xml:space="preserve"> </w:t>
      </w:r>
      <w:r w:rsidR="00F9718A">
        <w:rPr>
          <w:rFonts w:ascii="Arial" w:hAnsi="Arial" w:cs="Arial"/>
          <w:sz w:val="24"/>
        </w:rPr>
        <w:t xml:space="preserve">derivou </w:t>
      </w:r>
      <w:r>
        <w:rPr>
          <w:rFonts w:ascii="Arial" w:hAnsi="Arial" w:cs="Arial"/>
          <w:sz w:val="24"/>
        </w:rPr>
        <w:t>a legitimidade e exigibilida</w:t>
      </w:r>
      <w:r w:rsidR="00AC7EA0">
        <w:rPr>
          <w:rFonts w:ascii="Arial" w:hAnsi="Arial" w:cs="Arial"/>
          <w:sz w:val="24"/>
        </w:rPr>
        <w:t xml:space="preserve">de das decisões internacionais, já que o Estado escolheu se submeter às normas dispostas nos tratados internacionais, sobretudo naquelas que instituem as Cortes Internacionais e estipulam a imperatividade das suas decisões. </w:t>
      </w:r>
      <w:r w:rsidR="00582203">
        <w:rPr>
          <w:rFonts w:ascii="Arial" w:hAnsi="Arial" w:cs="Arial"/>
          <w:sz w:val="24"/>
          <w:szCs w:val="26"/>
        </w:rPr>
        <w:t xml:space="preserve">O Brasil promulgou </w:t>
      </w:r>
      <w:r w:rsidR="00582203" w:rsidRPr="00582203">
        <w:rPr>
          <w:rFonts w:ascii="Arial" w:hAnsi="Arial" w:cs="Arial"/>
          <w:sz w:val="24"/>
          <w:szCs w:val="26"/>
        </w:rPr>
        <w:t>a Convenção Americana s</w:t>
      </w:r>
      <w:r w:rsidR="00582203">
        <w:rPr>
          <w:rFonts w:ascii="Arial" w:hAnsi="Arial" w:cs="Arial"/>
          <w:sz w:val="24"/>
          <w:szCs w:val="26"/>
        </w:rPr>
        <w:t xml:space="preserve">obre Direitos Humanos (Pacto de </w:t>
      </w:r>
      <w:r w:rsidR="00582203" w:rsidRPr="00582203">
        <w:rPr>
          <w:rFonts w:ascii="Arial" w:hAnsi="Arial" w:cs="Arial"/>
          <w:sz w:val="24"/>
          <w:szCs w:val="26"/>
        </w:rPr>
        <w:t xml:space="preserve">São José da Costa Rica) por </w:t>
      </w:r>
      <w:r w:rsidR="00582203">
        <w:rPr>
          <w:rFonts w:ascii="Arial" w:hAnsi="Arial" w:cs="Arial"/>
          <w:sz w:val="24"/>
          <w:szCs w:val="26"/>
        </w:rPr>
        <w:t xml:space="preserve">meio do Decreto 678/1992. Com o </w:t>
      </w:r>
      <w:r w:rsidR="00582203" w:rsidRPr="00582203">
        <w:rPr>
          <w:rFonts w:ascii="Arial" w:hAnsi="Arial" w:cs="Arial"/>
          <w:sz w:val="24"/>
          <w:szCs w:val="26"/>
        </w:rPr>
        <w:t>Decreto 4.463/2002, reconheceu d</w:t>
      </w:r>
      <w:r w:rsidR="00582203">
        <w:rPr>
          <w:rFonts w:ascii="Arial" w:hAnsi="Arial" w:cs="Arial"/>
          <w:sz w:val="24"/>
          <w:szCs w:val="26"/>
        </w:rPr>
        <w:t xml:space="preserve">e maneira expressa e irrestrita </w:t>
      </w:r>
      <w:r w:rsidR="00582203" w:rsidRPr="00582203">
        <w:rPr>
          <w:rFonts w:ascii="Arial" w:hAnsi="Arial" w:cs="Arial"/>
          <w:sz w:val="24"/>
          <w:szCs w:val="26"/>
        </w:rPr>
        <w:t>como obrigatória, de pleno direi</w:t>
      </w:r>
      <w:r w:rsidR="00582203">
        <w:rPr>
          <w:rFonts w:ascii="Arial" w:hAnsi="Arial" w:cs="Arial"/>
          <w:sz w:val="24"/>
          <w:szCs w:val="26"/>
        </w:rPr>
        <w:t xml:space="preserve">to e por prazo indeterminado, a </w:t>
      </w:r>
      <w:r w:rsidR="00582203" w:rsidRPr="00582203">
        <w:rPr>
          <w:rFonts w:ascii="Arial" w:hAnsi="Arial" w:cs="Arial"/>
          <w:sz w:val="24"/>
          <w:szCs w:val="26"/>
        </w:rPr>
        <w:t>competência da Corte IDH em to</w:t>
      </w:r>
      <w:r w:rsidR="00582203">
        <w:rPr>
          <w:rFonts w:ascii="Arial" w:hAnsi="Arial" w:cs="Arial"/>
          <w:sz w:val="24"/>
          <w:szCs w:val="26"/>
        </w:rPr>
        <w:t>dos os casos relativos à inte</w:t>
      </w:r>
      <w:r w:rsidR="00582203" w:rsidRPr="00582203">
        <w:rPr>
          <w:rFonts w:ascii="Arial" w:hAnsi="Arial" w:cs="Arial"/>
          <w:sz w:val="24"/>
          <w:szCs w:val="26"/>
        </w:rPr>
        <w:t>pretação e aplicação da convenç</w:t>
      </w:r>
      <w:r w:rsidR="00582203">
        <w:rPr>
          <w:rFonts w:ascii="Arial" w:hAnsi="Arial" w:cs="Arial"/>
          <w:sz w:val="24"/>
          <w:szCs w:val="26"/>
        </w:rPr>
        <w:t xml:space="preserve">ão. O artigo 68 da convenção </w:t>
      </w:r>
      <w:r w:rsidR="00582203" w:rsidRPr="00582203">
        <w:rPr>
          <w:rFonts w:ascii="Arial" w:hAnsi="Arial" w:cs="Arial"/>
          <w:sz w:val="24"/>
          <w:szCs w:val="26"/>
        </w:rPr>
        <w:t>estabelece que os Estados-pa</w:t>
      </w:r>
      <w:r w:rsidR="00582203">
        <w:rPr>
          <w:rFonts w:ascii="Arial" w:hAnsi="Arial" w:cs="Arial"/>
          <w:sz w:val="24"/>
          <w:szCs w:val="26"/>
        </w:rPr>
        <w:t xml:space="preserve">rtes se comprometem a </w:t>
      </w:r>
      <w:r w:rsidR="00582203">
        <w:rPr>
          <w:rFonts w:ascii="Arial" w:hAnsi="Arial" w:cs="Arial"/>
          <w:sz w:val="24"/>
          <w:szCs w:val="26"/>
        </w:rPr>
        <w:lastRenderedPageBreak/>
        <w:t xml:space="preserve">cumprir a </w:t>
      </w:r>
      <w:r w:rsidR="00582203" w:rsidRPr="00582203">
        <w:rPr>
          <w:rFonts w:ascii="Arial" w:hAnsi="Arial" w:cs="Arial"/>
          <w:sz w:val="24"/>
          <w:szCs w:val="26"/>
        </w:rPr>
        <w:t>decisão da Corte em todo caso no qual forem partes</w:t>
      </w:r>
      <w:r w:rsidR="00582203">
        <w:rPr>
          <w:rFonts w:ascii="Arial" w:hAnsi="Arial" w:cs="Arial"/>
          <w:sz w:val="24"/>
          <w:szCs w:val="26"/>
        </w:rPr>
        <w:t>.</w:t>
      </w:r>
      <w:r w:rsidR="00F115F1">
        <w:rPr>
          <w:rFonts w:ascii="Arial" w:hAnsi="Arial" w:cs="Arial"/>
          <w:sz w:val="24"/>
          <w:szCs w:val="26"/>
        </w:rPr>
        <w:t xml:space="preserve"> Caso descumprida as sentenças desse tribunal internacional, o Brasil poderá sofrer sanções internacionais e ser excluído da Organização dos Estados Americanos (OEA), além de gerar desprestigiar o país no cenário internacional.</w:t>
      </w:r>
    </w:p>
    <w:p w:rsidR="00AC7EA0" w:rsidRDefault="0083490B" w:rsidP="00D045B7">
      <w:pPr>
        <w:spacing w:after="120" w:line="360" w:lineRule="auto"/>
        <w:ind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Além disso</w:t>
      </w:r>
      <w:r w:rsidR="00F115F1">
        <w:rPr>
          <w:rFonts w:ascii="Arial" w:hAnsi="Arial" w:cs="Arial"/>
          <w:sz w:val="24"/>
        </w:rPr>
        <w:t>, ratifica a plena repercussão dos julgamentos da CIDH no ordenamento interno</w:t>
      </w:r>
      <w:r w:rsidR="00AC7EA0">
        <w:rPr>
          <w:rFonts w:ascii="Arial" w:hAnsi="Arial" w:cs="Arial"/>
          <w:sz w:val="24"/>
        </w:rPr>
        <w:t xml:space="preserve"> o fato de que a</w:t>
      </w:r>
      <w:r w:rsidR="005C5EF6">
        <w:rPr>
          <w:rFonts w:ascii="Arial" w:hAnsi="Arial" w:cs="Arial"/>
          <w:sz w:val="24"/>
        </w:rPr>
        <w:t>s sentenças</w:t>
      </w:r>
      <w:r w:rsidR="00AC7EA0">
        <w:rPr>
          <w:rFonts w:ascii="Arial" w:hAnsi="Arial" w:cs="Arial"/>
          <w:sz w:val="24"/>
        </w:rPr>
        <w:t xml:space="preserve"> das cortes i</w:t>
      </w:r>
      <w:r w:rsidR="003300AF">
        <w:rPr>
          <w:rFonts w:ascii="Arial" w:hAnsi="Arial" w:cs="Arial"/>
          <w:sz w:val="24"/>
        </w:rPr>
        <w:t xml:space="preserve">nternacionais sequer </w:t>
      </w:r>
      <w:r w:rsidR="00AC7EA0">
        <w:rPr>
          <w:rFonts w:ascii="Arial" w:hAnsi="Arial" w:cs="Arial"/>
          <w:sz w:val="24"/>
        </w:rPr>
        <w:t>se enquadram no artigo 105, inciso I, alínea “i”, da C</w:t>
      </w:r>
      <w:r w:rsidR="005C5EF6">
        <w:rPr>
          <w:rFonts w:ascii="Arial" w:hAnsi="Arial" w:cs="Arial"/>
          <w:sz w:val="24"/>
        </w:rPr>
        <w:t>onstituição Federal. Ou seja, não há necessidade de homologação pelo Superior Tribunal de Justiça.</w:t>
      </w:r>
      <w:r w:rsidR="001226F8">
        <w:rPr>
          <w:rFonts w:ascii="Arial" w:hAnsi="Arial" w:cs="Arial"/>
          <w:sz w:val="24"/>
        </w:rPr>
        <w:t xml:space="preserve"> As sentenças que se enquadram no artigo são aquelas proferidas por juiz de tribunal estrangeiro e não as emanadas pelas cortes internacionais.</w:t>
      </w:r>
      <w:r w:rsidR="005C5EF6">
        <w:rPr>
          <w:rFonts w:ascii="Arial" w:hAnsi="Arial" w:cs="Arial"/>
          <w:sz w:val="24"/>
        </w:rPr>
        <w:t xml:space="preserve"> </w:t>
      </w:r>
    </w:p>
    <w:p w:rsidR="00D2493B" w:rsidRDefault="00D2493B" w:rsidP="001226F8">
      <w:pPr>
        <w:spacing w:after="120" w:line="360" w:lineRule="auto"/>
        <w:ind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</w:t>
      </w:r>
      <w:r w:rsidR="001226F8">
        <w:rPr>
          <w:rFonts w:ascii="Arial" w:hAnsi="Arial" w:cs="Arial"/>
          <w:sz w:val="24"/>
        </w:rPr>
        <w:t>ssim, as decisões dos tribunais</w:t>
      </w:r>
      <w:r>
        <w:rPr>
          <w:rFonts w:ascii="Arial" w:hAnsi="Arial" w:cs="Arial"/>
          <w:sz w:val="24"/>
        </w:rPr>
        <w:t xml:space="preserve"> int</w:t>
      </w:r>
      <w:r w:rsidR="001226F8">
        <w:rPr>
          <w:rFonts w:ascii="Arial" w:hAnsi="Arial" w:cs="Arial"/>
          <w:sz w:val="24"/>
        </w:rPr>
        <w:t>ernacionais vincula</w:t>
      </w:r>
      <w:r>
        <w:rPr>
          <w:rFonts w:ascii="Arial" w:hAnsi="Arial" w:cs="Arial"/>
          <w:sz w:val="24"/>
        </w:rPr>
        <w:t>m a ordem interna, ainda que se decida</w:t>
      </w:r>
      <w:r w:rsidR="001226F8">
        <w:rPr>
          <w:rFonts w:ascii="Arial" w:hAnsi="Arial" w:cs="Arial"/>
          <w:sz w:val="24"/>
        </w:rPr>
        <w:t xml:space="preserve"> a </w:t>
      </w:r>
      <w:proofErr w:type="spellStart"/>
      <w:r>
        <w:rPr>
          <w:rFonts w:ascii="Arial" w:hAnsi="Arial" w:cs="Arial"/>
          <w:sz w:val="24"/>
        </w:rPr>
        <w:t>inconvencionalidade</w:t>
      </w:r>
      <w:proofErr w:type="spellEnd"/>
      <w:r>
        <w:rPr>
          <w:rFonts w:ascii="Arial" w:hAnsi="Arial" w:cs="Arial"/>
          <w:sz w:val="24"/>
        </w:rPr>
        <w:t xml:space="preserve"> de determinada norma após o reconhecimento de sua constitucionalidade, pois não há relação de </w:t>
      </w:r>
      <w:proofErr w:type="spellStart"/>
      <w:r>
        <w:rPr>
          <w:rFonts w:ascii="Arial" w:hAnsi="Arial" w:cs="Arial"/>
          <w:sz w:val="24"/>
        </w:rPr>
        <w:t>prejudicialidade</w:t>
      </w:r>
      <w:proofErr w:type="spellEnd"/>
      <w:r w:rsidR="001226F8">
        <w:rPr>
          <w:rFonts w:ascii="Arial" w:hAnsi="Arial" w:cs="Arial"/>
          <w:sz w:val="24"/>
        </w:rPr>
        <w:t xml:space="preserve"> entre os dois in</w:t>
      </w:r>
      <w:r w:rsidR="00FB3E88">
        <w:rPr>
          <w:rFonts w:ascii="Arial" w:hAnsi="Arial" w:cs="Arial"/>
          <w:sz w:val="24"/>
        </w:rPr>
        <w:t>s</w:t>
      </w:r>
      <w:r w:rsidR="001226F8">
        <w:rPr>
          <w:rFonts w:ascii="Arial" w:hAnsi="Arial" w:cs="Arial"/>
          <w:sz w:val="24"/>
        </w:rPr>
        <w:t>titutos</w:t>
      </w:r>
      <w:r>
        <w:rPr>
          <w:rFonts w:ascii="Arial" w:hAnsi="Arial" w:cs="Arial"/>
          <w:sz w:val="24"/>
        </w:rPr>
        <w:t>. O que pode ocorrer é a necessidade de ad</w:t>
      </w:r>
      <w:r w:rsidR="001226F8">
        <w:rPr>
          <w:rFonts w:ascii="Arial" w:hAnsi="Arial" w:cs="Arial"/>
          <w:sz w:val="24"/>
        </w:rPr>
        <w:t>equação das duas ordens, isto é,</w:t>
      </w:r>
      <w:r w:rsidR="009D49B6">
        <w:rPr>
          <w:rFonts w:ascii="Arial" w:hAnsi="Arial" w:cs="Arial"/>
          <w:sz w:val="24"/>
        </w:rPr>
        <w:t xml:space="preserve"> quando uma norma de direito internacional passa a integrar o e</w:t>
      </w:r>
      <w:r w:rsidR="001226F8">
        <w:rPr>
          <w:rFonts w:ascii="Arial" w:hAnsi="Arial" w:cs="Arial"/>
          <w:sz w:val="24"/>
        </w:rPr>
        <w:t>spaço constitucional, como</w:t>
      </w:r>
      <w:r w:rsidR="009D49B6">
        <w:rPr>
          <w:rFonts w:ascii="Arial" w:hAnsi="Arial" w:cs="Arial"/>
          <w:sz w:val="24"/>
        </w:rPr>
        <w:t xml:space="preserve"> ocorreu no caso dos tratados internacionais de direitos humanos aprovados internamente com o procedimento das emendas con</w:t>
      </w:r>
      <w:r w:rsidR="001226F8">
        <w:rPr>
          <w:rFonts w:ascii="Arial" w:hAnsi="Arial" w:cs="Arial"/>
          <w:sz w:val="24"/>
        </w:rPr>
        <w:t xml:space="preserve">stitucionais. Essa </w:t>
      </w:r>
      <w:r w:rsidR="009D49B6">
        <w:rPr>
          <w:rFonts w:ascii="Arial" w:hAnsi="Arial" w:cs="Arial"/>
          <w:sz w:val="24"/>
        </w:rPr>
        <w:t>questão</w:t>
      </w:r>
      <w:r w:rsidR="001226F8">
        <w:rPr>
          <w:rFonts w:ascii="Arial" w:hAnsi="Arial" w:cs="Arial"/>
          <w:sz w:val="24"/>
        </w:rPr>
        <w:t xml:space="preserve">, ainda sim, tratava-se efetivamente de um </w:t>
      </w:r>
      <w:r w:rsidR="009D49B6">
        <w:rPr>
          <w:rFonts w:ascii="Arial" w:hAnsi="Arial" w:cs="Arial"/>
          <w:sz w:val="24"/>
        </w:rPr>
        <w:t xml:space="preserve">controle de constitucionalidade. </w:t>
      </w:r>
    </w:p>
    <w:p w:rsidR="00F9718A" w:rsidRDefault="00F9718A" w:rsidP="00D045B7">
      <w:pPr>
        <w:spacing w:after="120" w:line="360" w:lineRule="auto"/>
        <w:ind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Logo, não há qualquer conflito entre os julgamentos do Excelso Pretório e da Corte Interamericana de Direitos Humanos. A partir do momento em que foi proferida a sentença desta última corte, a Lei de Anistia passou a estar em desacordo com o ordenamen</w:t>
      </w:r>
      <w:r w:rsidR="001226F8">
        <w:rPr>
          <w:rFonts w:ascii="Arial" w:hAnsi="Arial" w:cs="Arial"/>
          <w:sz w:val="24"/>
        </w:rPr>
        <w:t>to jurídico brasileiro e as manifestações das cortes brasileiras deveriam dispor nesse sentido.</w:t>
      </w:r>
    </w:p>
    <w:p w:rsidR="00651EAA" w:rsidRPr="00651EAA" w:rsidRDefault="006D4AB5" w:rsidP="006D4AB5">
      <w:pPr>
        <w:spacing w:after="120"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Equívocos de</w:t>
      </w:r>
      <w:r w:rsidR="00651EAA">
        <w:rPr>
          <w:rFonts w:ascii="Arial" w:hAnsi="Arial" w:cs="Arial"/>
          <w:b/>
          <w:sz w:val="24"/>
        </w:rPr>
        <w:t xml:space="preserve"> tribunais brasileiros</w:t>
      </w:r>
    </w:p>
    <w:p w:rsidR="00205554" w:rsidRDefault="00F94B19" w:rsidP="00F94B19">
      <w:pPr>
        <w:spacing w:after="120" w:line="360" w:lineRule="auto"/>
        <w:ind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Entretanto, </w:t>
      </w:r>
      <w:r w:rsidR="006274E5">
        <w:rPr>
          <w:rFonts w:ascii="Arial" w:hAnsi="Arial" w:cs="Arial"/>
          <w:sz w:val="24"/>
        </w:rPr>
        <w:t xml:space="preserve">os tribunais brasileiros proferem decisões ignorando a repercussão da decisão interamericana de direitos humanos. </w:t>
      </w:r>
      <w:r w:rsidR="00205554">
        <w:rPr>
          <w:rFonts w:ascii="Arial" w:hAnsi="Arial" w:cs="Arial"/>
          <w:sz w:val="24"/>
        </w:rPr>
        <w:t>Nesse sentido</w:t>
      </w:r>
      <w:r w:rsidR="003300AF">
        <w:rPr>
          <w:rFonts w:ascii="Arial" w:hAnsi="Arial" w:cs="Arial"/>
          <w:sz w:val="24"/>
        </w:rPr>
        <w:t>,</w:t>
      </w:r>
      <w:r w:rsidR="00205554">
        <w:rPr>
          <w:rFonts w:ascii="Arial" w:hAnsi="Arial" w:cs="Arial"/>
          <w:sz w:val="24"/>
        </w:rPr>
        <w:t xml:space="preserve"> se manifestou o Ministério Público Federal, por meio da sua Procuradoria-Geral da República nos autos do processo da ADPF nº 320</w:t>
      </w:r>
      <w:r w:rsidR="00634838">
        <w:rPr>
          <w:rFonts w:ascii="Arial" w:hAnsi="Arial" w:cs="Arial"/>
          <w:sz w:val="24"/>
        </w:rPr>
        <w:t xml:space="preserve"> (</w:t>
      </w:r>
      <w:r w:rsidR="00634838">
        <w:rPr>
          <w:rFonts w:ascii="Arial" w:hAnsi="Arial" w:cs="Arial"/>
          <w:sz w:val="24"/>
        </w:rPr>
        <w:t>Parecer Nº</w:t>
      </w:r>
      <w:r w:rsidR="00634838">
        <w:rPr>
          <w:rFonts w:ascii="BemboStdRegular" w:hAnsi="BemboStdRegular" w:cs="BemboStdRegular"/>
          <w:sz w:val="15"/>
          <w:szCs w:val="15"/>
        </w:rPr>
        <w:t xml:space="preserve"> </w:t>
      </w:r>
      <w:r w:rsidR="00634838">
        <w:rPr>
          <w:rFonts w:ascii="BemboStdRegular" w:hAnsi="BemboStdRegular" w:cs="BemboStdRegular"/>
          <w:sz w:val="26"/>
          <w:szCs w:val="26"/>
        </w:rPr>
        <w:t>4.433/</w:t>
      </w:r>
      <w:proofErr w:type="spellStart"/>
      <w:r w:rsidR="00634838">
        <w:rPr>
          <w:rFonts w:ascii="BemboStdRegular" w:hAnsi="BemboStdRegular" w:cs="BemboStdRegular"/>
          <w:sz w:val="26"/>
          <w:szCs w:val="26"/>
        </w:rPr>
        <w:t>AsJConst</w:t>
      </w:r>
      <w:proofErr w:type="spellEnd"/>
      <w:r w:rsidR="00634838">
        <w:rPr>
          <w:rFonts w:ascii="BemboStdRegular" w:hAnsi="BemboStdRegular" w:cs="BemboStdRegular"/>
          <w:sz w:val="26"/>
          <w:szCs w:val="26"/>
        </w:rPr>
        <w:t>/SAJ/PGR</w:t>
      </w:r>
      <w:proofErr w:type="gramStart"/>
      <w:r w:rsidR="00634838">
        <w:rPr>
          <w:rFonts w:ascii="BemboStdRegular" w:hAnsi="BemboStdRegular" w:cs="BemboStdRegular"/>
          <w:sz w:val="26"/>
          <w:szCs w:val="26"/>
        </w:rPr>
        <w:t>)</w:t>
      </w:r>
      <w:r w:rsidR="00634838">
        <w:rPr>
          <w:rFonts w:ascii="Arial" w:hAnsi="Arial" w:cs="Arial"/>
          <w:sz w:val="24"/>
        </w:rPr>
        <w:t>.</w:t>
      </w:r>
      <w:r w:rsidR="003300AF">
        <w:rPr>
          <w:rFonts w:ascii="Arial" w:hAnsi="Arial" w:cs="Arial"/>
          <w:sz w:val="24"/>
        </w:rPr>
        <w:t>,</w:t>
      </w:r>
      <w:proofErr w:type="gramEnd"/>
      <w:r w:rsidR="003300AF">
        <w:rPr>
          <w:rFonts w:ascii="Arial" w:hAnsi="Arial" w:cs="Arial"/>
          <w:sz w:val="24"/>
        </w:rPr>
        <w:t xml:space="preserve"> de autoria do Partido Sociali</w:t>
      </w:r>
      <w:r w:rsidR="00634838">
        <w:rPr>
          <w:rFonts w:ascii="Arial" w:hAnsi="Arial" w:cs="Arial"/>
          <w:sz w:val="24"/>
        </w:rPr>
        <w:t xml:space="preserve">smo e Liberdade (PSOL) que contesta </w:t>
      </w:r>
      <w:r w:rsidR="00634838">
        <w:rPr>
          <w:rFonts w:ascii="Arial" w:hAnsi="Arial" w:cs="Arial"/>
          <w:sz w:val="24"/>
        </w:rPr>
        <w:t>a validade da lei em face da sentença da CIDH</w:t>
      </w:r>
      <w:r w:rsidR="00205554">
        <w:rPr>
          <w:rFonts w:ascii="Arial" w:hAnsi="Arial" w:cs="Arial"/>
          <w:sz w:val="24"/>
        </w:rPr>
        <w:t>. Veja-se:</w:t>
      </w:r>
    </w:p>
    <w:p w:rsidR="00205554" w:rsidRPr="00F94B19" w:rsidRDefault="00643C72" w:rsidP="00205554">
      <w:pPr>
        <w:autoSpaceDE w:val="0"/>
        <w:autoSpaceDN w:val="0"/>
        <w:adjustRightInd w:val="0"/>
        <w:spacing w:after="120" w:line="240" w:lineRule="auto"/>
        <w:ind w:left="1134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>
        <w:rPr>
          <w:rFonts w:ascii="Arial" w:hAnsi="Arial" w:cs="Arial"/>
          <w:i/>
          <w:color w:val="000000" w:themeColor="text1"/>
          <w:sz w:val="24"/>
          <w:szCs w:val="24"/>
        </w:rPr>
        <w:lastRenderedPageBreak/>
        <w:t>“</w:t>
      </w:r>
      <w:r w:rsidR="00205554" w:rsidRPr="00F94B19">
        <w:rPr>
          <w:rFonts w:ascii="Arial" w:hAnsi="Arial" w:cs="Arial"/>
          <w:i/>
          <w:color w:val="000000" w:themeColor="text1"/>
          <w:sz w:val="24"/>
          <w:szCs w:val="24"/>
        </w:rPr>
        <w:t>Não obstante o esforço do Ministério Público Federal, evidenciado pelas 9 ações penais já ajuizadas e pelas 187 investigações em andamento a respeito de delitos cometidos durante a ditadura militar, é necessário reconhecer a ocorrência de decisões judiciais posteriores e contrárias à sentença do caso GOMES LUND, veiculadoras de resoluções aptas afetar a integridade de preceitos fundamentais (para citar a expressão empregada pelo Ministro CELSO DE MELLO no julgamento da ADPF 187/DF).</w:t>
      </w:r>
    </w:p>
    <w:p w:rsidR="00205554" w:rsidRPr="00F94B19" w:rsidRDefault="00823CDB" w:rsidP="00205554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F94B19">
        <w:rPr>
          <w:rFonts w:ascii="Arial" w:hAnsi="Arial" w:cs="Arial"/>
          <w:i/>
          <w:color w:val="000000" w:themeColor="text1"/>
          <w:sz w:val="24"/>
          <w:szCs w:val="24"/>
        </w:rPr>
        <w:t>“</w:t>
      </w:r>
      <w:r w:rsidR="00205554" w:rsidRPr="00F94B19">
        <w:rPr>
          <w:rFonts w:ascii="Arial" w:hAnsi="Arial" w:cs="Arial"/>
          <w:i/>
          <w:color w:val="000000" w:themeColor="text1"/>
          <w:sz w:val="24"/>
          <w:szCs w:val="24"/>
        </w:rPr>
        <w:t xml:space="preserve">Conforme apurou a Procuradoria-Geral da República, das 9 ações ajuizadas pelo MPF em face de 22 agentes civis e militares envolvidos em crimes de lesa-humanidade cometidos durante a ditadura militar, apenas 3 se encontram com instrução em andamento nas outras 6 ocorreu trancamento da ação penal por decisão em </w:t>
      </w:r>
      <w:r w:rsidR="00205554" w:rsidRPr="00F94B1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habeas corpus </w:t>
      </w:r>
      <w:r w:rsidR="00205554" w:rsidRPr="00F94B19">
        <w:rPr>
          <w:rFonts w:ascii="Arial" w:hAnsi="Arial" w:cs="Arial"/>
          <w:i/>
          <w:color w:val="000000" w:themeColor="text1"/>
          <w:sz w:val="24"/>
          <w:szCs w:val="24"/>
        </w:rPr>
        <w:t>ou rejeição da denúncia, ratificada ou não posteriormente pelo tribunal correspondente. Em vários casos, o fundamento da paralisação foi justamente a Lei da Anistia. Em outros processos invocou-se prescrição e em outros ainda, descaracterizou-se a natureza permanente do crime de desaparecimento forçado (definido no Código Penal brasileiro como sequestro ou ocultação de cadáver).</w:t>
      </w:r>
    </w:p>
    <w:p w:rsidR="00205554" w:rsidRPr="00F94B19" w:rsidRDefault="00205554" w:rsidP="00205554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205554" w:rsidRPr="00F94B19" w:rsidRDefault="00205554" w:rsidP="00205554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F94B19">
        <w:rPr>
          <w:rFonts w:ascii="Arial" w:hAnsi="Arial" w:cs="Arial"/>
          <w:i/>
          <w:color w:val="000000" w:themeColor="text1"/>
          <w:sz w:val="24"/>
          <w:szCs w:val="24"/>
        </w:rPr>
        <w:t>Duas dessas ações referem-se especificamente a fatos da Guerrilha do Araguaia e caracterizam afronta direta ao decidido pela Corte Interamericana.</w:t>
      </w:r>
    </w:p>
    <w:p w:rsidR="00205554" w:rsidRPr="00F94B19" w:rsidRDefault="00205554" w:rsidP="00205554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205554" w:rsidRPr="00F94B19" w:rsidRDefault="00205554" w:rsidP="00823CD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F94B19">
        <w:rPr>
          <w:rFonts w:ascii="Arial" w:hAnsi="Arial" w:cs="Arial"/>
          <w:i/>
          <w:color w:val="000000" w:themeColor="text1"/>
          <w:sz w:val="24"/>
          <w:szCs w:val="24"/>
        </w:rPr>
        <w:t>Portanto, órgãos judiciais do</w:t>
      </w:r>
      <w:r w:rsidR="00823CDB" w:rsidRPr="00F94B19">
        <w:rPr>
          <w:rFonts w:ascii="Arial" w:hAnsi="Arial" w:cs="Arial"/>
          <w:i/>
          <w:color w:val="000000" w:themeColor="text1"/>
          <w:sz w:val="24"/>
          <w:szCs w:val="24"/>
        </w:rPr>
        <w:t xml:space="preserve"> Estado brasileiro efetivamente </w:t>
      </w:r>
      <w:r w:rsidRPr="00F94B19">
        <w:rPr>
          <w:rFonts w:ascii="Arial" w:hAnsi="Arial" w:cs="Arial"/>
          <w:i/>
          <w:color w:val="000000" w:themeColor="text1"/>
          <w:sz w:val="24"/>
          <w:szCs w:val="24"/>
        </w:rPr>
        <w:t>erguem obstáculos concretos à per</w:t>
      </w:r>
      <w:r w:rsidR="00823CDB" w:rsidRPr="00F94B19">
        <w:rPr>
          <w:rFonts w:ascii="Arial" w:hAnsi="Arial" w:cs="Arial"/>
          <w:i/>
          <w:color w:val="000000" w:themeColor="text1"/>
          <w:sz w:val="24"/>
          <w:szCs w:val="24"/>
        </w:rPr>
        <w:t xml:space="preserve">secução penal, não propriamente </w:t>
      </w:r>
      <w:r w:rsidRPr="00F94B19">
        <w:rPr>
          <w:rFonts w:ascii="Arial" w:hAnsi="Arial" w:cs="Arial"/>
          <w:i/>
          <w:color w:val="000000" w:themeColor="text1"/>
          <w:sz w:val="24"/>
          <w:szCs w:val="24"/>
        </w:rPr>
        <w:t>por ausência de lei interpret</w:t>
      </w:r>
      <w:r w:rsidR="00823CDB" w:rsidRPr="00F94B19">
        <w:rPr>
          <w:rFonts w:ascii="Arial" w:hAnsi="Arial" w:cs="Arial"/>
          <w:i/>
          <w:color w:val="000000" w:themeColor="text1"/>
          <w:sz w:val="24"/>
          <w:szCs w:val="24"/>
        </w:rPr>
        <w:t xml:space="preserve">ativa, como afirma a inicial. O </w:t>
      </w:r>
      <w:r w:rsidRPr="00F94B19">
        <w:rPr>
          <w:rFonts w:ascii="Arial" w:hAnsi="Arial" w:cs="Arial"/>
          <w:i/>
          <w:color w:val="000000" w:themeColor="text1"/>
          <w:sz w:val="24"/>
          <w:szCs w:val="24"/>
        </w:rPr>
        <w:t>que se verifica é o não reconhe</w:t>
      </w:r>
      <w:r w:rsidR="00823CDB" w:rsidRPr="00F94B19">
        <w:rPr>
          <w:rFonts w:ascii="Arial" w:hAnsi="Arial" w:cs="Arial"/>
          <w:i/>
          <w:color w:val="000000" w:themeColor="text1"/>
          <w:sz w:val="24"/>
          <w:szCs w:val="24"/>
        </w:rPr>
        <w:t xml:space="preserve">cimento do efeito vinculante da </w:t>
      </w:r>
      <w:r w:rsidRPr="00F94B19">
        <w:rPr>
          <w:rFonts w:ascii="Arial" w:hAnsi="Arial" w:cs="Arial"/>
          <w:i/>
          <w:color w:val="000000" w:themeColor="text1"/>
          <w:sz w:val="24"/>
          <w:szCs w:val="24"/>
        </w:rPr>
        <w:t>sentença do caso GOMES LUND por “</w:t>
      </w:r>
      <w:r w:rsidR="00823CDB" w:rsidRPr="00F94B19">
        <w:rPr>
          <w:rFonts w:ascii="Arial" w:hAnsi="Arial" w:cs="Arial"/>
          <w:i/>
          <w:color w:val="000000" w:themeColor="text1"/>
          <w:sz w:val="24"/>
          <w:szCs w:val="24"/>
        </w:rPr>
        <w:t xml:space="preserve">interpretações judiciais que se </w:t>
      </w:r>
      <w:r w:rsidRPr="00F94B19">
        <w:rPr>
          <w:rFonts w:ascii="Arial" w:hAnsi="Arial" w:cs="Arial"/>
          <w:i/>
          <w:color w:val="000000" w:themeColor="text1"/>
          <w:sz w:val="24"/>
          <w:szCs w:val="24"/>
        </w:rPr>
        <w:t>antagonizam em torno do alcance que</w:t>
      </w:r>
      <w:r w:rsidR="00823CDB" w:rsidRPr="00F94B19">
        <w:rPr>
          <w:rFonts w:ascii="Arial" w:hAnsi="Arial" w:cs="Arial"/>
          <w:i/>
          <w:color w:val="000000" w:themeColor="text1"/>
          <w:sz w:val="24"/>
          <w:szCs w:val="24"/>
        </w:rPr>
        <w:t xml:space="preserve"> se deve dar, à luz dos grandes </w:t>
      </w:r>
      <w:r w:rsidRPr="00F94B19">
        <w:rPr>
          <w:rFonts w:ascii="Arial" w:hAnsi="Arial" w:cs="Arial"/>
          <w:i/>
          <w:color w:val="000000" w:themeColor="text1"/>
          <w:sz w:val="24"/>
          <w:szCs w:val="24"/>
        </w:rPr>
        <w:t xml:space="preserve">postulados constitucionais”,12 ao art. 1o </w:t>
      </w:r>
      <w:r w:rsidR="00823CDB" w:rsidRPr="00F94B19">
        <w:rPr>
          <w:rFonts w:ascii="Arial" w:hAnsi="Arial" w:cs="Arial"/>
          <w:i/>
          <w:color w:val="000000" w:themeColor="text1"/>
          <w:sz w:val="24"/>
          <w:szCs w:val="24"/>
        </w:rPr>
        <w:t xml:space="preserve">da Lei 6.683/1979, aos </w:t>
      </w:r>
      <w:r w:rsidRPr="00F94B19">
        <w:rPr>
          <w:rFonts w:ascii="Arial" w:hAnsi="Arial" w:cs="Arial"/>
          <w:i/>
          <w:color w:val="000000" w:themeColor="text1"/>
          <w:sz w:val="24"/>
          <w:szCs w:val="24"/>
        </w:rPr>
        <w:t>preceitos concernentes à imprescritib</w:t>
      </w:r>
      <w:r w:rsidR="00823CDB" w:rsidRPr="00F94B19">
        <w:rPr>
          <w:rFonts w:ascii="Arial" w:hAnsi="Arial" w:cs="Arial"/>
          <w:i/>
          <w:color w:val="000000" w:themeColor="text1"/>
          <w:sz w:val="24"/>
          <w:szCs w:val="24"/>
        </w:rPr>
        <w:t xml:space="preserve">ilidade penal, à caracterização </w:t>
      </w:r>
      <w:r w:rsidRPr="00F94B19">
        <w:rPr>
          <w:rFonts w:ascii="Arial" w:hAnsi="Arial" w:cs="Arial"/>
          <w:i/>
          <w:color w:val="000000" w:themeColor="text1"/>
          <w:sz w:val="24"/>
          <w:szCs w:val="24"/>
        </w:rPr>
        <w:t xml:space="preserve">do desaparecimento forçado de pessoas </w:t>
      </w:r>
      <w:r w:rsidR="00823CDB" w:rsidRPr="00F94B19">
        <w:rPr>
          <w:rFonts w:ascii="Arial" w:hAnsi="Arial" w:cs="Arial"/>
          <w:i/>
          <w:color w:val="000000" w:themeColor="text1"/>
          <w:sz w:val="24"/>
          <w:szCs w:val="24"/>
        </w:rPr>
        <w:t xml:space="preserve">e à existência de coisa julgada </w:t>
      </w:r>
      <w:r w:rsidRPr="00F94B19">
        <w:rPr>
          <w:rFonts w:ascii="Arial" w:hAnsi="Arial" w:cs="Arial"/>
          <w:i/>
          <w:color w:val="000000" w:themeColor="text1"/>
          <w:sz w:val="24"/>
          <w:szCs w:val="24"/>
        </w:rPr>
        <w:t>– diante da sentença internacional válida e vinculan</w:t>
      </w:r>
      <w:r w:rsidR="00823CDB" w:rsidRPr="00F94B19">
        <w:rPr>
          <w:rFonts w:ascii="Arial" w:hAnsi="Arial" w:cs="Arial"/>
          <w:i/>
          <w:color w:val="000000" w:themeColor="text1"/>
          <w:sz w:val="24"/>
          <w:szCs w:val="24"/>
        </w:rPr>
        <w:t xml:space="preserve">te para as </w:t>
      </w:r>
      <w:r w:rsidRPr="00F94B19">
        <w:rPr>
          <w:rFonts w:ascii="Arial" w:hAnsi="Arial" w:cs="Arial"/>
          <w:i/>
          <w:color w:val="000000" w:themeColor="text1"/>
          <w:sz w:val="24"/>
          <w:szCs w:val="24"/>
        </w:rPr>
        <w:t xml:space="preserve">autoridades e órgãos do </w:t>
      </w:r>
      <w:proofErr w:type="gramStart"/>
      <w:r w:rsidRPr="00F94B19">
        <w:rPr>
          <w:rFonts w:ascii="Arial" w:hAnsi="Arial" w:cs="Arial"/>
          <w:i/>
          <w:color w:val="000000" w:themeColor="text1"/>
          <w:sz w:val="24"/>
          <w:szCs w:val="24"/>
        </w:rPr>
        <w:t>país.</w:t>
      </w:r>
      <w:r w:rsidR="00823CDB" w:rsidRPr="00F94B19">
        <w:rPr>
          <w:rFonts w:ascii="Arial" w:hAnsi="Arial" w:cs="Arial"/>
          <w:i/>
          <w:color w:val="000000" w:themeColor="text1"/>
          <w:sz w:val="24"/>
          <w:szCs w:val="24"/>
        </w:rPr>
        <w:t>”</w:t>
      </w:r>
      <w:proofErr w:type="gramEnd"/>
    </w:p>
    <w:p w:rsidR="00823CDB" w:rsidRDefault="00823CDB" w:rsidP="00823CD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F27A0A" w:rsidRPr="00F27A0A" w:rsidRDefault="00F27A0A" w:rsidP="00F27A0A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7A0A">
        <w:rPr>
          <w:rFonts w:ascii="Arial" w:hAnsi="Arial" w:cs="Arial"/>
          <w:color w:val="000000" w:themeColor="text1"/>
          <w:sz w:val="24"/>
          <w:szCs w:val="24"/>
        </w:rPr>
        <w:t>Portanto, conforme aduz o MPF, os tribunais atuam em sentido contrário à decisão da Corte Interamericana de direitos humanos ao impedirem a persecução penal devido à anistia e a prescrição. Quanto à esta, cumpre ressaltar que a CIDH no se</w:t>
      </w:r>
      <w:r w:rsidR="00D44DCE">
        <w:rPr>
          <w:rFonts w:ascii="Arial" w:hAnsi="Arial" w:cs="Arial"/>
          <w:color w:val="000000" w:themeColor="text1"/>
          <w:sz w:val="24"/>
          <w:szCs w:val="24"/>
        </w:rPr>
        <w:t>ntido de que não há prescrição,</w:t>
      </w:r>
      <w:r w:rsidRPr="00F27A0A">
        <w:rPr>
          <w:rFonts w:ascii="Arial" w:hAnsi="Arial" w:cs="Arial"/>
          <w:color w:val="000000" w:themeColor="text1"/>
          <w:sz w:val="24"/>
          <w:szCs w:val="24"/>
        </w:rPr>
        <w:t xml:space="preserve"> os crimes de desaparecimento forçad</w:t>
      </w:r>
      <w:r w:rsidR="00634838">
        <w:rPr>
          <w:rFonts w:ascii="Arial" w:hAnsi="Arial" w:cs="Arial"/>
          <w:color w:val="000000" w:themeColor="text1"/>
          <w:sz w:val="24"/>
          <w:szCs w:val="24"/>
        </w:rPr>
        <w:t>o de pessoas</w:t>
      </w:r>
      <w:r w:rsidR="00D44DCE">
        <w:rPr>
          <w:rFonts w:ascii="Arial" w:hAnsi="Arial" w:cs="Arial"/>
          <w:color w:val="000000" w:themeColor="text1"/>
          <w:sz w:val="24"/>
          <w:szCs w:val="24"/>
        </w:rPr>
        <w:t xml:space="preserve"> são pe</w:t>
      </w:r>
      <w:r w:rsidRPr="00F27A0A">
        <w:rPr>
          <w:rFonts w:ascii="Arial" w:hAnsi="Arial" w:cs="Arial"/>
          <w:color w:val="000000" w:themeColor="text1"/>
          <w:sz w:val="24"/>
          <w:szCs w:val="24"/>
        </w:rPr>
        <w:t>rm</w:t>
      </w:r>
      <w:r w:rsidR="00D44DCE">
        <w:rPr>
          <w:rFonts w:ascii="Arial" w:hAnsi="Arial" w:cs="Arial"/>
          <w:color w:val="000000" w:themeColor="text1"/>
          <w:sz w:val="24"/>
          <w:szCs w:val="24"/>
        </w:rPr>
        <w:t>anentes ou continuados,</w:t>
      </w:r>
      <w:r w:rsidRPr="00F27A0A">
        <w:rPr>
          <w:rFonts w:ascii="Arial" w:hAnsi="Arial" w:cs="Arial"/>
          <w:color w:val="000000" w:themeColor="text1"/>
          <w:sz w:val="24"/>
          <w:szCs w:val="24"/>
        </w:rPr>
        <w:t xml:space="preserve"> “cujos efeitos não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27A0A">
        <w:rPr>
          <w:rFonts w:ascii="Arial" w:hAnsi="Arial" w:cs="Arial"/>
          <w:color w:val="000000" w:themeColor="text1"/>
          <w:sz w:val="24"/>
          <w:szCs w:val="24"/>
        </w:rPr>
        <w:t>cessam enquanto não se estabelece a sorte ou o paradeiro das vítimas</w:t>
      </w:r>
      <w:r w:rsidR="00D44D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27A0A">
        <w:rPr>
          <w:rFonts w:ascii="Arial" w:hAnsi="Arial" w:cs="Arial"/>
          <w:color w:val="000000" w:themeColor="text1"/>
          <w:sz w:val="24"/>
          <w:szCs w:val="24"/>
        </w:rPr>
        <w:t>e sua identidade sejam determinada” (parágrafo 179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da sentença do caso Gomes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Lund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vs. Brasil</w:t>
      </w:r>
      <w:r w:rsidRPr="00F27A0A">
        <w:rPr>
          <w:rFonts w:ascii="Arial" w:hAnsi="Arial" w:cs="Arial"/>
          <w:color w:val="000000" w:themeColor="text1"/>
          <w:sz w:val="24"/>
          <w:szCs w:val="24"/>
        </w:rPr>
        <w:t>)</w:t>
      </w:r>
      <w:r w:rsidR="00D44DCE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10503B" w:rsidRPr="00FD09CE" w:rsidRDefault="00823CDB" w:rsidP="00FD09CE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0503B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Além disso, o </w:t>
      </w:r>
      <w:r w:rsidRPr="0010503B">
        <w:rPr>
          <w:rFonts w:ascii="Arial" w:hAnsi="Arial" w:cs="Arial"/>
          <w:i/>
          <w:color w:val="000000" w:themeColor="text1"/>
          <w:sz w:val="24"/>
          <w:szCs w:val="24"/>
        </w:rPr>
        <w:t>Parquet</w:t>
      </w:r>
      <w:r w:rsidR="008D0201" w:rsidRPr="0010503B">
        <w:rPr>
          <w:rFonts w:ascii="Arial" w:hAnsi="Arial" w:cs="Arial"/>
          <w:sz w:val="24"/>
          <w:szCs w:val="24"/>
        </w:rPr>
        <w:t xml:space="preserve"> procurou demonstrar</w:t>
      </w:r>
      <w:r w:rsidRPr="0010503B">
        <w:rPr>
          <w:rFonts w:ascii="Arial" w:hAnsi="Arial" w:cs="Arial"/>
          <w:sz w:val="24"/>
          <w:szCs w:val="24"/>
        </w:rPr>
        <w:t xml:space="preserve"> a negligência do Judiciário bras</w:t>
      </w:r>
      <w:r w:rsidR="008D0201" w:rsidRPr="0010503B">
        <w:rPr>
          <w:rFonts w:ascii="Arial" w:hAnsi="Arial" w:cs="Arial"/>
          <w:sz w:val="24"/>
          <w:szCs w:val="24"/>
        </w:rPr>
        <w:t>ileiro em relação a</w:t>
      </w:r>
      <w:r w:rsidR="00FB3E88">
        <w:rPr>
          <w:rFonts w:ascii="Arial" w:hAnsi="Arial" w:cs="Arial"/>
          <w:sz w:val="24"/>
          <w:szCs w:val="24"/>
        </w:rPr>
        <w:t>o tema, por meio da exposição de</w:t>
      </w:r>
      <w:r w:rsidR="00A357B9">
        <w:rPr>
          <w:rFonts w:ascii="Arial" w:hAnsi="Arial" w:cs="Arial"/>
          <w:sz w:val="24"/>
          <w:szCs w:val="24"/>
        </w:rPr>
        <w:t xml:space="preserve"> </w:t>
      </w:r>
      <w:r w:rsidR="00FB3E88">
        <w:rPr>
          <w:rFonts w:ascii="Arial" w:hAnsi="Arial" w:cs="Arial"/>
          <w:sz w:val="24"/>
          <w:szCs w:val="24"/>
        </w:rPr>
        <w:t xml:space="preserve">uma </w:t>
      </w:r>
      <w:r w:rsidR="00A357B9">
        <w:rPr>
          <w:rFonts w:ascii="Arial" w:hAnsi="Arial" w:cs="Arial"/>
          <w:sz w:val="24"/>
          <w:szCs w:val="24"/>
        </w:rPr>
        <w:t>série</w:t>
      </w:r>
      <w:r w:rsidR="00FB3E88">
        <w:rPr>
          <w:rFonts w:ascii="Arial" w:hAnsi="Arial" w:cs="Arial"/>
          <w:sz w:val="24"/>
          <w:szCs w:val="24"/>
        </w:rPr>
        <w:t xml:space="preserve"> 5</w:t>
      </w:r>
      <w:r w:rsidR="00A357B9">
        <w:rPr>
          <w:rFonts w:ascii="Arial" w:hAnsi="Arial" w:cs="Arial"/>
          <w:sz w:val="24"/>
          <w:szCs w:val="24"/>
        </w:rPr>
        <w:t xml:space="preserve"> de</w:t>
      </w:r>
      <w:r w:rsidRPr="0010503B">
        <w:rPr>
          <w:rFonts w:ascii="Arial" w:hAnsi="Arial" w:cs="Arial"/>
          <w:sz w:val="24"/>
          <w:szCs w:val="24"/>
        </w:rPr>
        <w:t xml:space="preserve"> ju</w:t>
      </w:r>
      <w:r w:rsidR="008D0201" w:rsidRPr="0010503B">
        <w:rPr>
          <w:rFonts w:ascii="Arial" w:hAnsi="Arial" w:cs="Arial"/>
          <w:sz w:val="24"/>
          <w:szCs w:val="24"/>
        </w:rPr>
        <w:t>lg</w:t>
      </w:r>
      <w:r w:rsidR="00FD09CE">
        <w:rPr>
          <w:rFonts w:ascii="Arial" w:hAnsi="Arial" w:cs="Arial"/>
          <w:sz w:val="24"/>
          <w:szCs w:val="24"/>
        </w:rPr>
        <w:t>ados. Primeiramente a</w:t>
      </w:r>
      <w:r w:rsidR="0010503B" w:rsidRPr="00FD09CE">
        <w:rPr>
          <w:rFonts w:ascii="Arial" w:hAnsi="Arial" w:cs="Arial"/>
          <w:sz w:val="24"/>
          <w:szCs w:val="24"/>
        </w:rPr>
        <w:t xml:space="preserve"> decisão do Tribunal Regional Federal da 1ª Região no HC 0068063-92.2012.4.01.0000/PA, nos seguintes termos:</w:t>
      </w:r>
    </w:p>
    <w:p w:rsidR="0010503B" w:rsidRDefault="0010503B" w:rsidP="0010503B">
      <w:pPr>
        <w:autoSpaceDE w:val="0"/>
        <w:autoSpaceDN w:val="0"/>
        <w:adjustRightInd w:val="0"/>
        <w:spacing w:after="0" w:line="240" w:lineRule="auto"/>
        <w:rPr>
          <w:rFonts w:ascii="BemboStdRegular" w:hAnsi="BemboStdRegular" w:cs="BemboStdRegular"/>
          <w:sz w:val="16"/>
          <w:szCs w:val="16"/>
        </w:rPr>
      </w:pPr>
    </w:p>
    <w:p w:rsidR="0010503B" w:rsidRPr="0010503B" w:rsidRDefault="0010503B" w:rsidP="0010503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i/>
          <w:sz w:val="24"/>
          <w:szCs w:val="24"/>
        </w:rPr>
      </w:pPr>
      <w:r w:rsidRPr="0010503B">
        <w:rPr>
          <w:rFonts w:ascii="Arial" w:hAnsi="Arial" w:cs="Arial"/>
          <w:i/>
          <w:sz w:val="24"/>
          <w:szCs w:val="24"/>
        </w:rPr>
        <w:t>“A lei da anistia tornou juridicamente impossível a persecução penal em exame, sem falar que os fundamentos da decisão, que, em juízo de retratação, recebeu a denúncia, têm base em premissas cuja lógica é apenas teórica e conceitual, sem uma efetiva conexão com os fatos do processo, com a devida licença.</w:t>
      </w:r>
    </w:p>
    <w:p w:rsidR="0010503B" w:rsidRPr="0010503B" w:rsidRDefault="0010503B" w:rsidP="0010503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i/>
          <w:sz w:val="24"/>
          <w:szCs w:val="24"/>
        </w:rPr>
      </w:pPr>
      <w:r w:rsidRPr="0010503B">
        <w:rPr>
          <w:rFonts w:ascii="Arial" w:hAnsi="Arial" w:cs="Arial"/>
          <w:i/>
          <w:sz w:val="24"/>
          <w:szCs w:val="24"/>
        </w:rPr>
        <w:t>[...]</w:t>
      </w:r>
    </w:p>
    <w:p w:rsidR="0010503B" w:rsidRDefault="0010503B" w:rsidP="0010503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i/>
          <w:sz w:val="24"/>
          <w:szCs w:val="24"/>
        </w:rPr>
      </w:pPr>
      <w:r w:rsidRPr="0010503B">
        <w:rPr>
          <w:rFonts w:ascii="Arial" w:hAnsi="Arial" w:cs="Arial"/>
          <w:i/>
          <w:sz w:val="24"/>
          <w:szCs w:val="24"/>
        </w:rPr>
        <w:t xml:space="preserve">Não é aceitável, sem ilegalidade, que o juízo de admissibilidade da ação, diante de fatos já exauridos nos planos da análise histórica, política e, sobretudo, jurídica, desconsidere-os todos, inclusive o veredicto do STF sobre a matéria, que se alça ao nível de impossibilidade jurídica do pedido, ao fundamento de ser necessária a instrução processual. A decisão da Corte Interamericana de Direitos Humanos, no julgamento do caso GOMES LUND, cujo resultado, ao que se </w:t>
      </w:r>
      <w:proofErr w:type="spellStart"/>
      <w:r w:rsidRPr="0010503B">
        <w:rPr>
          <w:rFonts w:ascii="Arial" w:hAnsi="Arial" w:cs="Arial"/>
          <w:i/>
          <w:sz w:val="24"/>
          <w:szCs w:val="24"/>
        </w:rPr>
        <w:t>afirma</w:t>
      </w:r>
      <w:proofErr w:type="spellEnd"/>
      <w:r w:rsidRPr="0010503B">
        <w:rPr>
          <w:rFonts w:ascii="Arial" w:hAnsi="Arial" w:cs="Arial"/>
          <w:i/>
          <w:sz w:val="24"/>
          <w:szCs w:val="24"/>
        </w:rPr>
        <w:t>, impôs ao Estado Brasileiro a realização, perante a sua jurisdição ordinária, de investigação penal dos fatos ocorridos na chamada Guerrilha do Araguaia, não interfere no direito de punir do Estado, e nem na decisão do STF sobre a matéria. [...].”</w:t>
      </w:r>
    </w:p>
    <w:p w:rsidR="0010503B" w:rsidRDefault="0010503B" w:rsidP="0010503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i/>
          <w:sz w:val="24"/>
          <w:szCs w:val="24"/>
        </w:rPr>
      </w:pPr>
    </w:p>
    <w:p w:rsidR="0010503B" w:rsidRPr="00FD09CE" w:rsidRDefault="00FD09CE" w:rsidP="00FD09CE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conseguinte, a</w:t>
      </w:r>
      <w:r w:rsidR="00FB3E88" w:rsidRPr="00FD09CE">
        <w:rPr>
          <w:rFonts w:ascii="Arial" w:hAnsi="Arial" w:cs="Arial"/>
          <w:sz w:val="24"/>
          <w:szCs w:val="24"/>
        </w:rPr>
        <w:t xml:space="preserve"> </w:t>
      </w:r>
      <w:r w:rsidR="0010503B" w:rsidRPr="00FD09CE">
        <w:rPr>
          <w:rFonts w:ascii="Arial" w:hAnsi="Arial" w:cs="Arial"/>
          <w:sz w:val="24"/>
          <w:szCs w:val="24"/>
        </w:rPr>
        <w:t>decisão da 2</w:t>
      </w:r>
      <w:r w:rsidR="00A357B9" w:rsidRPr="00FD09CE">
        <w:rPr>
          <w:rFonts w:ascii="Arial" w:hAnsi="Arial" w:cs="Arial"/>
          <w:sz w:val="24"/>
          <w:szCs w:val="24"/>
        </w:rPr>
        <w:t>ª</w:t>
      </w:r>
      <w:r w:rsidR="0010503B" w:rsidRPr="00FD09CE">
        <w:rPr>
          <w:rFonts w:ascii="Arial" w:hAnsi="Arial" w:cs="Arial"/>
          <w:sz w:val="24"/>
          <w:szCs w:val="24"/>
        </w:rPr>
        <w:t xml:space="preserve"> Vara Federal Criminal da Seção Judiciária do Rio de Janeiro de rejeição da denúncia na ação penal 0801434- 65.2013.4.02.5101</w:t>
      </w:r>
      <w:r w:rsidR="00A357B9" w:rsidRPr="00FD09CE">
        <w:rPr>
          <w:rFonts w:ascii="Arial" w:hAnsi="Arial" w:cs="Arial"/>
          <w:sz w:val="24"/>
          <w:szCs w:val="24"/>
        </w:rPr>
        <w:t>:</w:t>
      </w:r>
    </w:p>
    <w:p w:rsidR="00A357B9" w:rsidRDefault="00A357B9" w:rsidP="0010503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A357B9" w:rsidRPr="00A357B9" w:rsidRDefault="00A357B9" w:rsidP="00A357B9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i/>
          <w:sz w:val="24"/>
          <w:szCs w:val="24"/>
        </w:rPr>
      </w:pPr>
      <w:r w:rsidRPr="00A357B9">
        <w:rPr>
          <w:rFonts w:ascii="Arial" w:hAnsi="Arial" w:cs="Arial"/>
          <w:i/>
          <w:sz w:val="24"/>
          <w:szCs w:val="24"/>
        </w:rPr>
        <w:t xml:space="preserve">[...] a decisão do caso LUND </w:t>
      </w:r>
      <w:proofErr w:type="spellStart"/>
      <w:r w:rsidRPr="00A357B9">
        <w:rPr>
          <w:rFonts w:ascii="Arial" w:hAnsi="Arial" w:cs="Arial"/>
          <w:i/>
          <w:iCs/>
          <w:sz w:val="24"/>
          <w:szCs w:val="24"/>
        </w:rPr>
        <w:t>vs</w:t>
      </w:r>
      <w:proofErr w:type="spellEnd"/>
      <w:r w:rsidRPr="00A357B9">
        <w:rPr>
          <w:rFonts w:ascii="Arial" w:hAnsi="Arial" w:cs="Arial"/>
          <w:i/>
          <w:iCs/>
          <w:sz w:val="24"/>
          <w:szCs w:val="24"/>
        </w:rPr>
        <w:t xml:space="preserve"> </w:t>
      </w:r>
      <w:r w:rsidRPr="00A357B9">
        <w:rPr>
          <w:rFonts w:ascii="Arial" w:hAnsi="Arial" w:cs="Arial"/>
          <w:i/>
          <w:sz w:val="24"/>
          <w:szCs w:val="24"/>
        </w:rPr>
        <w:t>BRASIL é de eficácia duvidosa,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A357B9">
        <w:rPr>
          <w:rFonts w:ascii="Arial" w:hAnsi="Arial" w:cs="Arial"/>
          <w:i/>
          <w:sz w:val="24"/>
          <w:szCs w:val="24"/>
        </w:rPr>
        <w:t>posto que prolatada em</w:t>
      </w:r>
      <w:r>
        <w:rPr>
          <w:rFonts w:ascii="Arial" w:hAnsi="Arial" w:cs="Arial"/>
          <w:i/>
          <w:sz w:val="24"/>
          <w:szCs w:val="24"/>
        </w:rPr>
        <w:t xml:space="preserve"> desconformidade com o termo de </w:t>
      </w:r>
      <w:r w:rsidRPr="00A357B9">
        <w:rPr>
          <w:rFonts w:ascii="Arial" w:hAnsi="Arial" w:cs="Arial"/>
          <w:i/>
          <w:sz w:val="24"/>
          <w:szCs w:val="24"/>
        </w:rPr>
        <w:t>submissão do Brasil à competência da Corte IDH.</w:t>
      </w:r>
    </w:p>
    <w:p w:rsidR="00A357B9" w:rsidRPr="00A357B9" w:rsidRDefault="00A357B9" w:rsidP="00A357B9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i/>
          <w:sz w:val="24"/>
          <w:szCs w:val="24"/>
        </w:rPr>
      </w:pPr>
      <w:r w:rsidRPr="00A357B9">
        <w:rPr>
          <w:rFonts w:ascii="Arial" w:hAnsi="Arial" w:cs="Arial"/>
          <w:i/>
          <w:sz w:val="24"/>
          <w:szCs w:val="24"/>
        </w:rPr>
        <w:t>[...]</w:t>
      </w:r>
    </w:p>
    <w:p w:rsidR="00A357B9" w:rsidRDefault="00A357B9" w:rsidP="00A357B9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i/>
          <w:sz w:val="24"/>
          <w:szCs w:val="26"/>
        </w:rPr>
      </w:pPr>
      <w:r w:rsidRPr="00A357B9">
        <w:rPr>
          <w:rFonts w:ascii="Arial" w:hAnsi="Arial" w:cs="Arial"/>
          <w:i/>
          <w:sz w:val="24"/>
          <w:szCs w:val="24"/>
        </w:rPr>
        <w:t xml:space="preserve">Ante o exposto, resta concluir </w:t>
      </w:r>
      <w:r>
        <w:rPr>
          <w:rFonts w:ascii="Arial" w:hAnsi="Arial" w:cs="Arial"/>
          <w:i/>
          <w:sz w:val="24"/>
          <w:szCs w:val="24"/>
        </w:rPr>
        <w:t xml:space="preserve">que aqui não me cabe confrontar </w:t>
      </w:r>
      <w:r w:rsidRPr="00A357B9">
        <w:rPr>
          <w:rFonts w:ascii="Arial" w:hAnsi="Arial" w:cs="Arial"/>
          <w:i/>
          <w:sz w:val="24"/>
          <w:szCs w:val="24"/>
        </w:rPr>
        <w:t>a Lei da Anistia com a</w:t>
      </w:r>
      <w:r>
        <w:rPr>
          <w:rFonts w:ascii="Arial" w:hAnsi="Arial" w:cs="Arial"/>
          <w:i/>
          <w:sz w:val="24"/>
          <w:szCs w:val="24"/>
        </w:rPr>
        <w:t xml:space="preserve"> sentença proferida pela Corte </w:t>
      </w:r>
      <w:r w:rsidRPr="00A357B9">
        <w:rPr>
          <w:rFonts w:ascii="Arial" w:hAnsi="Arial" w:cs="Arial"/>
          <w:i/>
          <w:sz w:val="24"/>
          <w:szCs w:val="24"/>
        </w:rPr>
        <w:t xml:space="preserve">IDH no caso </w:t>
      </w:r>
      <w:r w:rsidRPr="00A357B9">
        <w:rPr>
          <w:rFonts w:ascii="Arial" w:hAnsi="Arial" w:cs="Arial"/>
          <w:i/>
          <w:iCs/>
          <w:sz w:val="24"/>
          <w:szCs w:val="24"/>
        </w:rPr>
        <w:t xml:space="preserve">GOMES LUND </w:t>
      </w:r>
      <w:proofErr w:type="spellStart"/>
      <w:r w:rsidRPr="00A357B9">
        <w:rPr>
          <w:rFonts w:ascii="Arial" w:hAnsi="Arial" w:cs="Arial"/>
          <w:i/>
          <w:iCs/>
          <w:sz w:val="24"/>
          <w:szCs w:val="24"/>
        </w:rPr>
        <w:t>vs</w:t>
      </w:r>
      <w:proofErr w:type="spellEnd"/>
      <w:r w:rsidRPr="00A357B9">
        <w:rPr>
          <w:rFonts w:ascii="Arial" w:hAnsi="Arial" w:cs="Arial"/>
          <w:i/>
          <w:iCs/>
          <w:sz w:val="24"/>
          <w:szCs w:val="24"/>
        </w:rPr>
        <w:t xml:space="preserve"> BRASIL</w:t>
      </w:r>
      <w:r>
        <w:rPr>
          <w:rFonts w:ascii="Arial" w:hAnsi="Arial" w:cs="Arial"/>
          <w:i/>
          <w:sz w:val="24"/>
          <w:szCs w:val="24"/>
        </w:rPr>
        <w:t xml:space="preserve">. Trata-se de sentença </w:t>
      </w:r>
      <w:r w:rsidRPr="00A357B9">
        <w:rPr>
          <w:rFonts w:ascii="Arial" w:hAnsi="Arial" w:cs="Arial"/>
          <w:i/>
          <w:sz w:val="24"/>
          <w:szCs w:val="24"/>
        </w:rPr>
        <w:t>com eficácia restrita ao Estad</w:t>
      </w:r>
      <w:r>
        <w:rPr>
          <w:rFonts w:ascii="Arial" w:hAnsi="Arial" w:cs="Arial"/>
          <w:i/>
          <w:sz w:val="24"/>
          <w:szCs w:val="24"/>
        </w:rPr>
        <w:t xml:space="preserve">o-parte, desvinculada dos fatos </w:t>
      </w:r>
      <w:r w:rsidRPr="00A357B9">
        <w:rPr>
          <w:rFonts w:ascii="Arial" w:hAnsi="Arial" w:cs="Arial"/>
          <w:i/>
          <w:sz w:val="24"/>
          <w:szCs w:val="24"/>
        </w:rPr>
        <w:t xml:space="preserve">narrados na presente denúncia, e </w:t>
      </w:r>
      <w:r>
        <w:rPr>
          <w:rFonts w:ascii="Arial" w:hAnsi="Arial" w:cs="Arial"/>
          <w:i/>
          <w:sz w:val="24"/>
          <w:szCs w:val="24"/>
        </w:rPr>
        <w:t xml:space="preserve">que geraria – independentemente </w:t>
      </w:r>
      <w:r w:rsidRPr="00A357B9">
        <w:rPr>
          <w:rFonts w:ascii="Arial" w:hAnsi="Arial" w:cs="Arial"/>
          <w:i/>
          <w:sz w:val="24"/>
          <w:szCs w:val="24"/>
        </w:rPr>
        <w:t>de qualquer obrigação indenizatória no camp</w:t>
      </w:r>
      <w:r>
        <w:rPr>
          <w:rFonts w:ascii="Arial" w:hAnsi="Arial" w:cs="Arial"/>
          <w:i/>
          <w:sz w:val="24"/>
          <w:szCs w:val="24"/>
        </w:rPr>
        <w:t xml:space="preserve">o internacional </w:t>
      </w:r>
      <w:r w:rsidRPr="00A357B9">
        <w:rPr>
          <w:rFonts w:ascii="Arial" w:hAnsi="Arial" w:cs="Arial"/>
          <w:i/>
          <w:sz w:val="24"/>
          <w:szCs w:val="24"/>
        </w:rPr>
        <w:t>por descu</w:t>
      </w:r>
      <w:r>
        <w:rPr>
          <w:rFonts w:ascii="Arial" w:hAnsi="Arial" w:cs="Arial"/>
          <w:i/>
          <w:sz w:val="24"/>
          <w:szCs w:val="24"/>
        </w:rPr>
        <w:t xml:space="preserve">mprimento – inoportuna e ilegal </w:t>
      </w:r>
      <w:r w:rsidRPr="00A357B9">
        <w:rPr>
          <w:rFonts w:ascii="Arial" w:hAnsi="Arial" w:cs="Arial"/>
          <w:i/>
          <w:sz w:val="24"/>
          <w:szCs w:val="26"/>
        </w:rPr>
        <w:t>revisão de normas estáveis de direito interno.</w:t>
      </w:r>
    </w:p>
    <w:p w:rsidR="00A357B9" w:rsidRDefault="00A357B9" w:rsidP="00A357B9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i/>
          <w:sz w:val="24"/>
          <w:szCs w:val="26"/>
        </w:rPr>
      </w:pPr>
    </w:p>
    <w:p w:rsidR="00A357B9" w:rsidRPr="00FD09CE" w:rsidRDefault="00393552" w:rsidP="00FD09CE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Manifestou-se sobre a d</w:t>
      </w:r>
      <w:r w:rsidR="00A357B9" w:rsidRPr="00FD09CE">
        <w:rPr>
          <w:rFonts w:ascii="Arial" w:hAnsi="Arial" w:cs="Arial"/>
          <w:sz w:val="24"/>
          <w:szCs w:val="24"/>
        </w:rPr>
        <w:t>ecisão da 10</w:t>
      </w:r>
      <w:r w:rsidR="00FB3E88" w:rsidRPr="00FD09CE">
        <w:rPr>
          <w:rFonts w:ascii="Arial" w:hAnsi="Arial" w:cs="Arial"/>
          <w:sz w:val="24"/>
          <w:szCs w:val="24"/>
        </w:rPr>
        <w:t xml:space="preserve">ª </w:t>
      </w:r>
      <w:r w:rsidR="00A357B9" w:rsidRPr="00FD09CE">
        <w:rPr>
          <w:rFonts w:ascii="Arial" w:hAnsi="Arial" w:cs="Arial"/>
          <w:sz w:val="24"/>
          <w:szCs w:val="24"/>
        </w:rPr>
        <w:t>Vara Federal Criminal da Seção Judiciária de São Paulo de rejeição da denúncia no processo 000420432.2012.4.03.6181, em 22 de maio de 2012:</w:t>
      </w:r>
    </w:p>
    <w:p w:rsidR="00A357B9" w:rsidRDefault="00A357B9" w:rsidP="00A357B9">
      <w:pPr>
        <w:autoSpaceDE w:val="0"/>
        <w:autoSpaceDN w:val="0"/>
        <w:adjustRightInd w:val="0"/>
        <w:spacing w:after="0" w:line="240" w:lineRule="auto"/>
        <w:rPr>
          <w:rFonts w:ascii="BemboStdRegular" w:hAnsi="BemboStdRegular" w:cs="BemboStdRegular"/>
          <w:sz w:val="16"/>
          <w:szCs w:val="16"/>
        </w:rPr>
      </w:pPr>
    </w:p>
    <w:p w:rsidR="00A357B9" w:rsidRPr="00FB3E88" w:rsidRDefault="00FB3E88" w:rsidP="00FB3E88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“</w:t>
      </w:r>
      <w:r w:rsidR="00A357B9" w:rsidRPr="00FB3E88">
        <w:rPr>
          <w:rFonts w:ascii="Arial" w:hAnsi="Arial" w:cs="Arial"/>
          <w:i/>
          <w:sz w:val="24"/>
          <w:szCs w:val="24"/>
        </w:rPr>
        <w:t>No que se refere ao efeito vinculante da sentença proferida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A357B9" w:rsidRPr="00FB3E88">
        <w:rPr>
          <w:rFonts w:ascii="Arial" w:hAnsi="Arial" w:cs="Arial"/>
          <w:i/>
          <w:sz w:val="24"/>
          <w:szCs w:val="24"/>
        </w:rPr>
        <w:t>pela Corte IDH no caso GOMES LUND</w:t>
      </w:r>
      <w:r>
        <w:rPr>
          <w:rFonts w:ascii="Arial" w:hAnsi="Arial" w:cs="Arial"/>
          <w:i/>
          <w:sz w:val="24"/>
          <w:szCs w:val="24"/>
        </w:rPr>
        <w:t xml:space="preserve">, impende ressaltar que, </w:t>
      </w:r>
      <w:r w:rsidR="00A357B9" w:rsidRPr="00FB3E88">
        <w:rPr>
          <w:rFonts w:ascii="Arial" w:hAnsi="Arial" w:cs="Arial"/>
          <w:i/>
          <w:sz w:val="24"/>
          <w:szCs w:val="24"/>
        </w:rPr>
        <w:t xml:space="preserve">embora </w:t>
      </w:r>
      <w:r w:rsidR="00A357B9" w:rsidRPr="00FB3E88">
        <w:rPr>
          <w:rFonts w:ascii="Arial" w:hAnsi="Arial" w:cs="Arial"/>
          <w:i/>
          <w:sz w:val="24"/>
          <w:szCs w:val="24"/>
        </w:rPr>
        <w:lastRenderedPageBreak/>
        <w:t>não tenha o STF</w:t>
      </w:r>
      <w:r>
        <w:rPr>
          <w:rFonts w:ascii="Arial" w:hAnsi="Arial" w:cs="Arial"/>
          <w:i/>
          <w:sz w:val="24"/>
          <w:szCs w:val="24"/>
        </w:rPr>
        <w:t xml:space="preserve"> enfrentado especificamente tal </w:t>
      </w:r>
      <w:r w:rsidR="00A357B9" w:rsidRPr="00FB3E88">
        <w:rPr>
          <w:rFonts w:ascii="Arial" w:hAnsi="Arial" w:cs="Arial"/>
          <w:i/>
          <w:sz w:val="24"/>
          <w:szCs w:val="24"/>
        </w:rPr>
        <w:t>ponto, porque posterior</w:t>
      </w:r>
      <w:r>
        <w:rPr>
          <w:rFonts w:ascii="Arial" w:hAnsi="Arial" w:cs="Arial"/>
          <w:i/>
          <w:sz w:val="24"/>
          <w:szCs w:val="24"/>
        </w:rPr>
        <w:t xml:space="preserve"> ao julgamento da ADPF 153, não </w:t>
      </w:r>
      <w:r w:rsidR="00A357B9" w:rsidRPr="00FB3E88">
        <w:rPr>
          <w:rFonts w:ascii="Arial" w:hAnsi="Arial" w:cs="Arial"/>
          <w:i/>
          <w:sz w:val="24"/>
          <w:szCs w:val="24"/>
        </w:rPr>
        <w:t>deixou de consignar que a</w:t>
      </w:r>
      <w:r>
        <w:rPr>
          <w:rFonts w:ascii="Arial" w:hAnsi="Arial" w:cs="Arial"/>
          <w:i/>
          <w:sz w:val="24"/>
          <w:szCs w:val="24"/>
        </w:rPr>
        <w:t xml:space="preserve"> Lei de Anistia não pode sofrer </w:t>
      </w:r>
      <w:r w:rsidR="00A357B9" w:rsidRPr="00FB3E88">
        <w:rPr>
          <w:rFonts w:ascii="Arial" w:hAnsi="Arial" w:cs="Arial"/>
          <w:i/>
          <w:sz w:val="24"/>
          <w:szCs w:val="24"/>
        </w:rPr>
        <w:t xml:space="preserve">desconstituição (ou inibição </w:t>
      </w:r>
      <w:proofErr w:type="spellStart"/>
      <w:r w:rsidR="00A357B9" w:rsidRPr="00FB3E88">
        <w:rPr>
          <w:rFonts w:ascii="Arial" w:hAnsi="Arial" w:cs="Arial"/>
          <w:i/>
          <w:sz w:val="24"/>
          <w:szCs w:val="24"/>
        </w:rPr>
        <w:t>efica</w:t>
      </w:r>
      <w:r>
        <w:rPr>
          <w:rFonts w:ascii="Arial" w:hAnsi="Arial" w:cs="Arial"/>
          <w:i/>
          <w:sz w:val="24"/>
          <w:szCs w:val="24"/>
        </w:rPr>
        <w:t>cial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) por parte de instrumentos </w:t>
      </w:r>
      <w:r w:rsidR="00A357B9" w:rsidRPr="00FB3E88">
        <w:rPr>
          <w:rFonts w:ascii="Arial" w:hAnsi="Arial" w:cs="Arial"/>
          <w:i/>
          <w:sz w:val="24"/>
          <w:szCs w:val="24"/>
        </w:rPr>
        <w:t xml:space="preserve">normativos promulgados após sua </w:t>
      </w:r>
      <w:proofErr w:type="gramStart"/>
      <w:r w:rsidR="00A357B9" w:rsidRPr="00FB3E88">
        <w:rPr>
          <w:rFonts w:ascii="Arial" w:hAnsi="Arial" w:cs="Arial"/>
          <w:i/>
          <w:sz w:val="24"/>
          <w:szCs w:val="24"/>
        </w:rPr>
        <w:t>vigência.</w:t>
      </w:r>
      <w:r>
        <w:rPr>
          <w:rFonts w:ascii="Arial" w:hAnsi="Arial" w:cs="Arial"/>
          <w:i/>
          <w:sz w:val="24"/>
          <w:szCs w:val="24"/>
        </w:rPr>
        <w:t>”</w:t>
      </w:r>
      <w:proofErr w:type="gramEnd"/>
    </w:p>
    <w:p w:rsidR="008D0201" w:rsidRDefault="008D0201" w:rsidP="00FB3E88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ascii="Arial" w:hAnsi="Arial" w:cs="Arial"/>
          <w:sz w:val="24"/>
          <w:szCs w:val="24"/>
        </w:rPr>
      </w:pPr>
    </w:p>
    <w:p w:rsidR="00FB3E88" w:rsidRDefault="00643C72" w:rsidP="00FD09CE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Expôs d</w:t>
      </w:r>
      <w:r w:rsidR="00FB3E88" w:rsidRPr="00FD09CE">
        <w:rPr>
          <w:rFonts w:ascii="Arial" w:hAnsi="Arial" w:cs="Arial"/>
          <w:sz w:val="24"/>
          <w:szCs w:val="24"/>
        </w:rPr>
        <w:t>ecisão da 2</w:t>
      </w:r>
      <w:r w:rsidR="00FD09CE">
        <w:rPr>
          <w:rFonts w:ascii="Arial" w:hAnsi="Arial" w:cs="Arial"/>
          <w:sz w:val="24"/>
          <w:szCs w:val="24"/>
        </w:rPr>
        <w:t>ª</w:t>
      </w:r>
      <w:r w:rsidR="00FB3E88" w:rsidRPr="00FD09CE">
        <w:rPr>
          <w:rFonts w:ascii="Arial" w:hAnsi="Arial" w:cs="Arial"/>
          <w:sz w:val="24"/>
          <w:szCs w:val="24"/>
        </w:rPr>
        <w:t xml:space="preserve"> Turma do Tribunal Regional Federal da 3</w:t>
      </w:r>
      <w:r w:rsidR="00FD09CE">
        <w:rPr>
          <w:rFonts w:ascii="Arial" w:hAnsi="Arial" w:cs="Arial"/>
          <w:sz w:val="24"/>
          <w:szCs w:val="24"/>
        </w:rPr>
        <w:t>ª</w:t>
      </w:r>
      <w:r w:rsidR="00FB3E88" w:rsidRPr="00FD09CE">
        <w:rPr>
          <w:rFonts w:ascii="Arial" w:hAnsi="Arial" w:cs="Arial"/>
          <w:sz w:val="24"/>
          <w:szCs w:val="24"/>
        </w:rPr>
        <w:t xml:space="preserve"> </w:t>
      </w:r>
      <w:r w:rsidR="00FD09CE">
        <w:rPr>
          <w:rFonts w:ascii="Arial" w:hAnsi="Arial" w:cs="Arial"/>
          <w:sz w:val="24"/>
          <w:szCs w:val="24"/>
        </w:rPr>
        <w:t xml:space="preserve">Região </w:t>
      </w:r>
      <w:r w:rsidR="00FB3E88" w:rsidRPr="00FB3E88">
        <w:rPr>
          <w:rFonts w:ascii="Arial" w:hAnsi="Arial" w:cs="Arial"/>
          <w:sz w:val="24"/>
          <w:szCs w:val="24"/>
        </w:rPr>
        <w:t>no recurso em sentido estrito 0004204- 32.2012.4.03.6181/SP:</w:t>
      </w:r>
    </w:p>
    <w:p w:rsidR="00FD09CE" w:rsidRDefault="00FD09CE" w:rsidP="00FD09CE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“</w:t>
      </w:r>
      <w:r w:rsidRPr="00FD09CE">
        <w:rPr>
          <w:rFonts w:ascii="Arial" w:hAnsi="Arial" w:cs="Arial"/>
          <w:i/>
          <w:sz w:val="24"/>
          <w:szCs w:val="24"/>
        </w:rPr>
        <w:t xml:space="preserve">Alegações de </w:t>
      </w:r>
      <w:proofErr w:type="spellStart"/>
      <w:r w:rsidRPr="00FD09CE">
        <w:rPr>
          <w:rFonts w:ascii="Arial" w:hAnsi="Arial" w:cs="Arial"/>
          <w:i/>
          <w:sz w:val="24"/>
          <w:szCs w:val="24"/>
        </w:rPr>
        <w:t>inoponibilidade</w:t>
      </w:r>
      <w:proofErr w:type="spellEnd"/>
      <w:r w:rsidRPr="00FD09CE">
        <w:rPr>
          <w:rFonts w:ascii="Arial" w:hAnsi="Arial" w:cs="Arial"/>
          <w:i/>
          <w:sz w:val="24"/>
          <w:szCs w:val="24"/>
        </w:rPr>
        <w:t xml:space="preserve"> da anistia e de descumprimento de decisão o da Corte Interamericana de Direitos Humanos que se aduz ser posterior a ADPF no 153 rejeitadas porquanto decisões proferidas em sede de arguição de descumprimento de preceito fundamental têm eficácia </w:t>
      </w:r>
      <w:r w:rsidRPr="00FD09CE">
        <w:rPr>
          <w:rFonts w:ascii="Arial" w:hAnsi="Arial" w:cs="Arial"/>
          <w:i/>
          <w:iCs/>
          <w:sz w:val="24"/>
          <w:szCs w:val="24"/>
        </w:rPr>
        <w:t>erga omnes</w:t>
      </w:r>
      <w:r w:rsidRPr="00FD09CE">
        <w:rPr>
          <w:rFonts w:ascii="Arial" w:hAnsi="Arial" w:cs="Arial"/>
          <w:i/>
          <w:sz w:val="24"/>
          <w:szCs w:val="24"/>
        </w:rPr>
        <w:t xml:space="preserve"> e efeito vinculante, ou seja, atingem todos e atrelam os demais órgãos do Poder Público, cabendo ao próprio Supremo Tribunal Federal eventual revisão, ademais tendo o Brasil promulgado a Declaração de Reconhecimento da Competência Obrigatória da Corte Interamericana de Direitos Humanos sob reserva de reciprocidade e para fatos posteriores a 10 de dezembro de 1998, o que não é o caso dos autos. Inteligência dos artigos 10, § 3o, da Lei 9.882/99 e 102, inciso I, alínea </w:t>
      </w:r>
      <w:r w:rsidRPr="00FD09CE">
        <w:rPr>
          <w:rFonts w:ascii="Arial" w:hAnsi="Arial" w:cs="Arial"/>
          <w:i/>
          <w:iCs/>
          <w:sz w:val="24"/>
          <w:szCs w:val="24"/>
        </w:rPr>
        <w:t>l</w:t>
      </w:r>
      <w:r w:rsidRPr="00FD09CE">
        <w:rPr>
          <w:rFonts w:ascii="Arial" w:hAnsi="Arial" w:cs="Arial"/>
          <w:i/>
          <w:sz w:val="24"/>
          <w:szCs w:val="24"/>
        </w:rPr>
        <w:t xml:space="preserve">, § 1o, da Constituição </w:t>
      </w:r>
      <w:proofErr w:type="gramStart"/>
      <w:r w:rsidRPr="00FD09CE">
        <w:rPr>
          <w:rFonts w:ascii="Arial" w:hAnsi="Arial" w:cs="Arial"/>
          <w:i/>
          <w:sz w:val="24"/>
          <w:szCs w:val="24"/>
        </w:rPr>
        <w:t>Federal.</w:t>
      </w:r>
      <w:r>
        <w:rPr>
          <w:rFonts w:ascii="Arial" w:hAnsi="Arial" w:cs="Arial"/>
          <w:i/>
          <w:sz w:val="24"/>
          <w:szCs w:val="24"/>
        </w:rPr>
        <w:t>”</w:t>
      </w:r>
      <w:proofErr w:type="gramEnd"/>
    </w:p>
    <w:p w:rsidR="00643C72" w:rsidRDefault="00643C72" w:rsidP="00FD09CE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i/>
          <w:sz w:val="24"/>
          <w:szCs w:val="24"/>
        </w:rPr>
      </w:pPr>
    </w:p>
    <w:p w:rsidR="00643C72" w:rsidRDefault="00643C72" w:rsidP="00643C7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E, finalmente, </w:t>
      </w:r>
      <w:r w:rsidRPr="00643C72">
        <w:rPr>
          <w:rFonts w:ascii="Arial" w:hAnsi="Arial" w:cs="Arial"/>
          <w:sz w:val="24"/>
          <w:szCs w:val="24"/>
        </w:rPr>
        <w:t>decisão do Tribunal Regional Federal da 2a Região no HC 0005684-20.2014.4.02.0000:</w:t>
      </w:r>
    </w:p>
    <w:p w:rsidR="00643C72" w:rsidRPr="00643C72" w:rsidRDefault="00643C72" w:rsidP="00643C7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BemboStdRegular" w:hAnsi="BemboStdRegular" w:cs="BemboStdRegular"/>
          <w:sz w:val="28"/>
          <w:szCs w:val="28"/>
        </w:rPr>
      </w:pPr>
    </w:p>
    <w:p w:rsidR="00643C72" w:rsidRDefault="00643C72" w:rsidP="00643C72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i/>
          <w:color w:val="000000" w:themeColor="text1"/>
          <w:sz w:val="24"/>
          <w:szCs w:val="26"/>
        </w:rPr>
      </w:pPr>
      <w:r w:rsidRPr="00643C72">
        <w:rPr>
          <w:rFonts w:ascii="Arial" w:hAnsi="Arial" w:cs="Arial"/>
          <w:i/>
          <w:color w:val="000000" w:themeColor="text1"/>
          <w:sz w:val="24"/>
          <w:szCs w:val="26"/>
        </w:rPr>
        <w:t>[...] tanto a denúncia quanto a decisão que a recebeu, revelam</w:t>
      </w:r>
      <w:r>
        <w:rPr>
          <w:rFonts w:ascii="Arial" w:hAnsi="Arial" w:cs="Arial"/>
          <w:i/>
          <w:color w:val="000000" w:themeColor="text1"/>
          <w:sz w:val="24"/>
          <w:szCs w:val="26"/>
        </w:rPr>
        <w:t xml:space="preserve"> </w:t>
      </w:r>
      <w:r w:rsidRPr="00643C72">
        <w:rPr>
          <w:rFonts w:ascii="Arial" w:hAnsi="Arial" w:cs="Arial"/>
          <w:i/>
          <w:color w:val="000000" w:themeColor="text1"/>
          <w:sz w:val="24"/>
          <w:szCs w:val="26"/>
        </w:rPr>
        <w:t xml:space="preserve">notável inconformismo com </w:t>
      </w:r>
      <w:r>
        <w:rPr>
          <w:rFonts w:ascii="Arial" w:hAnsi="Arial" w:cs="Arial"/>
          <w:i/>
          <w:color w:val="000000" w:themeColor="text1"/>
          <w:sz w:val="24"/>
          <w:szCs w:val="26"/>
        </w:rPr>
        <w:t xml:space="preserve">o sepultamento de investigações </w:t>
      </w:r>
      <w:r w:rsidRPr="00643C72">
        <w:rPr>
          <w:rFonts w:ascii="Arial" w:hAnsi="Arial" w:cs="Arial"/>
          <w:i/>
          <w:color w:val="000000" w:themeColor="text1"/>
          <w:sz w:val="24"/>
          <w:szCs w:val="26"/>
        </w:rPr>
        <w:t xml:space="preserve">de fatos ocorridos </w:t>
      </w:r>
      <w:r>
        <w:rPr>
          <w:rFonts w:ascii="Arial" w:hAnsi="Arial" w:cs="Arial"/>
          <w:i/>
          <w:color w:val="000000" w:themeColor="text1"/>
          <w:sz w:val="24"/>
          <w:szCs w:val="26"/>
        </w:rPr>
        <w:t xml:space="preserve">em época de governo militar, </w:t>
      </w:r>
      <w:r w:rsidRPr="00643C72">
        <w:rPr>
          <w:rFonts w:ascii="Arial" w:hAnsi="Arial" w:cs="Arial"/>
          <w:i/>
          <w:color w:val="000000" w:themeColor="text1"/>
          <w:sz w:val="24"/>
          <w:szCs w:val="26"/>
        </w:rPr>
        <w:t>definitivamente lançados à p</w:t>
      </w:r>
      <w:r>
        <w:rPr>
          <w:rFonts w:ascii="Arial" w:hAnsi="Arial" w:cs="Arial"/>
          <w:i/>
          <w:color w:val="000000" w:themeColor="text1"/>
          <w:sz w:val="24"/>
          <w:szCs w:val="26"/>
        </w:rPr>
        <w:t xml:space="preserve">az do arquivo, não só em função </w:t>
      </w:r>
      <w:r w:rsidRPr="00643C72">
        <w:rPr>
          <w:rFonts w:ascii="Arial" w:hAnsi="Arial" w:cs="Arial"/>
          <w:i/>
          <w:color w:val="000000" w:themeColor="text1"/>
          <w:sz w:val="24"/>
          <w:szCs w:val="26"/>
        </w:rPr>
        <w:t>da extinção da punibilidade</w:t>
      </w:r>
      <w:r>
        <w:rPr>
          <w:rFonts w:ascii="Arial" w:hAnsi="Arial" w:cs="Arial"/>
          <w:i/>
          <w:color w:val="000000" w:themeColor="text1"/>
          <w:sz w:val="24"/>
          <w:szCs w:val="26"/>
        </w:rPr>
        <w:t xml:space="preserve"> de todos os envolvidos em face </w:t>
      </w:r>
      <w:r w:rsidRPr="00643C72">
        <w:rPr>
          <w:rFonts w:ascii="Arial" w:hAnsi="Arial" w:cs="Arial"/>
          <w:i/>
          <w:color w:val="000000" w:themeColor="text1"/>
          <w:sz w:val="24"/>
          <w:szCs w:val="26"/>
        </w:rPr>
        <w:t>do tempo decorrido, mas ta</w:t>
      </w:r>
      <w:r>
        <w:rPr>
          <w:rFonts w:ascii="Arial" w:hAnsi="Arial" w:cs="Arial"/>
          <w:i/>
          <w:color w:val="000000" w:themeColor="text1"/>
          <w:sz w:val="24"/>
          <w:szCs w:val="26"/>
        </w:rPr>
        <w:t xml:space="preserve">mbém pelo perdão e esquecimento </w:t>
      </w:r>
      <w:r w:rsidRPr="00643C72">
        <w:rPr>
          <w:rFonts w:ascii="Arial" w:hAnsi="Arial" w:cs="Arial"/>
          <w:i/>
          <w:color w:val="000000" w:themeColor="text1"/>
          <w:sz w:val="24"/>
          <w:szCs w:val="26"/>
        </w:rPr>
        <w:t>outorgados pelos l</w:t>
      </w:r>
      <w:r>
        <w:rPr>
          <w:rFonts w:ascii="Arial" w:hAnsi="Arial" w:cs="Arial"/>
          <w:i/>
          <w:color w:val="000000" w:themeColor="text1"/>
          <w:sz w:val="24"/>
          <w:szCs w:val="26"/>
        </w:rPr>
        <w:t xml:space="preserve">egítimos representantes do povo </w:t>
      </w:r>
      <w:r w:rsidRPr="00643C72">
        <w:rPr>
          <w:rFonts w:ascii="Arial" w:hAnsi="Arial" w:cs="Arial"/>
          <w:i/>
          <w:color w:val="000000" w:themeColor="text1"/>
          <w:sz w:val="24"/>
          <w:szCs w:val="26"/>
        </w:rPr>
        <w:t>brasileiro, através do instituto da an</w:t>
      </w:r>
      <w:r>
        <w:rPr>
          <w:rFonts w:ascii="Arial" w:hAnsi="Arial" w:cs="Arial"/>
          <w:i/>
          <w:color w:val="000000" w:themeColor="text1"/>
          <w:sz w:val="24"/>
          <w:szCs w:val="26"/>
        </w:rPr>
        <w:t>istia. Inconformismo, ressalte-</w:t>
      </w:r>
      <w:r w:rsidRPr="00643C72">
        <w:rPr>
          <w:rFonts w:ascii="Arial" w:hAnsi="Arial" w:cs="Arial"/>
          <w:i/>
          <w:color w:val="000000" w:themeColor="text1"/>
          <w:sz w:val="24"/>
          <w:szCs w:val="26"/>
        </w:rPr>
        <w:t>se, em relação a ape</w:t>
      </w:r>
      <w:r>
        <w:rPr>
          <w:rFonts w:ascii="Arial" w:hAnsi="Arial" w:cs="Arial"/>
          <w:i/>
          <w:color w:val="000000" w:themeColor="text1"/>
          <w:sz w:val="24"/>
          <w:szCs w:val="26"/>
        </w:rPr>
        <w:t xml:space="preserve">nas um dos lados dos envolvidos </w:t>
      </w:r>
      <w:r w:rsidRPr="00643C72">
        <w:rPr>
          <w:rFonts w:ascii="Arial" w:hAnsi="Arial" w:cs="Arial"/>
          <w:i/>
          <w:color w:val="000000" w:themeColor="text1"/>
          <w:sz w:val="24"/>
          <w:szCs w:val="26"/>
        </w:rPr>
        <w:t>naqueles fatos.</w:t>
      </w:r>
    </w:p>
    <w:p w:rsidR="00643C72" w:rsidRDefault="00643C72" w:rsidP="00643C72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i/>
          <w:color w:val="000000" w:themeColor="text1"/>
          <w:sz w:val="24"/>
          <w:szCs w:val="26"/>
        </w:rPr>
      </w:pPr>
    </w:p>
    <w:p w:rsidR="003856EA" w:rsidRDefault="00643C72" w:rsidP="003856EA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4"/>
          <w:szCs w:val="26"/>
        </w:rPr>
      </w:pPr>
      <w:r>
        <w:rPr>
          <w:rFonts w:ascii="Arial" w:hAnsi="Arial" w:cs="Arial"/>
          <w:color w:val="000000" w:themeColor="text1"/>
          <w:sz w:val="24"/>
          <w:szCs w:val="26"/>
        </w:rPr>
        <w:t xml:space="preserve">É possível observar </w:t>
      </w:r>
      <w:r w:rsidR="003856EA">
        <w:rPr>
          <w:rFonts w:ascii="Arial" w:hAnsi="Arial" w:cs="Arial"/>
          <w:color w:val="000000" w:themeColor="text1"/>
          <w:sz w:val="24"/>
          <w:szCs w:val="26"/>
        </w:rPr>
        <w:t xml:space="preserve">pelos julgamentos expostos que as decisões das cortes brasileiras contrárias ao julgamento da CIDH ignoram o julgamento desta Corte quase como “nada jurídico” ou, ainda que a reconheça, estabelece uma espécie de conflito com o julgamento da Arguição de Descumprimento de Preceito Fundamental nº 153, clara demonstração de equívoco quanto a aplicação dos preceitos relativos ao controle de constitucionalidade e ao controle de </w:t>
      </w:r>
      <w:proofErr w:type="spellStart"/>
      <w:r w:rsidR="003856EA">
        <w:rPr>
          <w:rFonts w:ascii="Arial" w:hAnsi="Arial" w:cs="Arial"/>
          <w:color w:val="000000" w:themeColor="text1"/>
          <w:sz w:val="24"/>
          <w:szCs w:val="26"/>
        </w:rPr>
        <w:t>convencionalidade</w:t>
      </w:r>
      <w:proofErr w:type="spellEnd"/>
      <w:r w:rsidR="003856EA">
        <w:rPr>
          <w:rFonts w:ascii="Arial" w:hAnsi="Arial" w:cs="Arial"/>
          <w:color w:val="000000" w:themeColor="text1"/>
          <w:sz w:val="24"/>
          <w:szCs w:val="26"/>
        </w:rPr>
        <w:t xml:space="preserve">. </w:t>
      </w:r>
    </w:p>
    <w:p w:rsidR="00C23BBC" w:rsidRDefault="003856EA" w:rsidP="003856EA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4"/>
          <w:szCs w:val="26"/>
        </w:rPr>
      </w:pPr>
      <w:r>
        <w:rPr>
          <w:rFonts w:ascii="Arial" w:hAnsi="Arial" w:cs="Arial"/>
          <w:color w:val="000000" w:themeColor="text1"/>
          <w:sz w:val="24"/>
          <w:szCs w:val="26"/>
        </w:rPr>
        <w:t xml:space="preserve">Necessário, contudo, esclarecer que existem decisões nos tribunais brasileiros que reconhecem a decisão da Corte Interamericana de Direitos Humanos e afasta a aplicação da Lei nº 6.683/79 e a prescrição como óbices da persecução penal dos casos que lhe são apresentados. </w:t>
      </w:r>
    </w:p>
    <w:p w:rsidR="00A357B9" w:rsidRDefault="00C23BBC" w:rsidP="00C23BBC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color w:val="000000" w:themeColor="text1"/>
          <w:sz w:val="24"/>
          <w:szCs w:val="26"/>
        </w:rPr>
        <w:lastRenderedPageBreak/>
        <w:t>Logo,</w:t>
      </w:r>
      <w:r w:rsidR="003856EA">
        <w:rPr>
          <w:rFonts w:ascii="Arial" w:hAnsi="Arial" w:cs="Arial"/>
          <w:color w:val="000000" w:themeColor="text1"/>
          <w:sz w:val="24"/>
          <w:szCs w:val="26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6"/>
        </w:rPr>
        <w:t>há conflito jurisprudencial sobre</w:t>
      </w:r>
      <w:r w:rsidR="003856EA">
        <w:rPr>
          <w:rFonts w:ascii="Arial" w:hAnsi="Arial" w:cs="Arial"/>
          <w:color w:val="000000" w:themeColor="text1"/>
          <w:sz w:val="24"/>
          <w:szCs w:val="26"/>
        </w:rPr>
        <w:t xml:space="preserve"> tema que merece ser esclarecido.</w:t>
      </w:r>
      <w:r>
        <w:rPr>
          <w:rFonts w:ascii="Arial" w:hAnsi="Arial" w:cs="Arial"/>
          <w:color w:val="000000" w:themeColor="text1"/>
          <w:sz w:val="24"/>
          <w:szCs w:val="26"/>
        </w:rPr>
        <w:t xml:space="preserve"> </w:t>
      </w:r>
      <w:r w:rsidR="001226F8">
        <w:rPr>
          <w:rFonts w:ascii="Arial" w:hAnsi="Arial" w:cs="Arial"/>
          <w:sz w:val="24"/>
        </w:rPr>
        <w:t>O Supremo Tribunal Federal terá a oportunidade de manifestar-se novamente sobre a Lei nº 6.683</w:t>
      </w:r>
      <w:r>
        <w:rPr>
          <w:rFonts w:ascii="Arial" w:hAnsi="Arial" w:cs="Arial"/>
          <w:sz w:val="24"/>
        </w:rPr>
        <w:t>, após o julgamento da Corte Interamericana de Direitos Humanos,</w:t>
      </w:r>
      <w:r w:rsidR="001226F8">
        <w:rPr>
          <w:rFonts w:ascii="Arial" w:hAnsi="Arial" w:cs="Arial"/>
          <w:sz w:val="24"/>
        </w:rPr>
        <w:t xml:space="preserve"> a partir da oposição de embargos declaratórios pelo Conselho Federal da Ordem dos Advogados do Brasil na ADPF nº 153 e na </w:t>
      </w:r>
      <w:r>
        <w:rPr>
          <w:rFonts w:ascii="Arial" w:hAnsi="Arial" w:cs="Arial"/>
          <w:sz w:val="24"/>
        </w:rPr>
        <w:t>ADPF</w:t>
      </w:r>
      <w:r w:rsidR="00634838">
        <w:rPr>
          <w:rFonts w:ascii="Arial" w:hAnsi="Arial" w:cs="Arial"/>
          <w:sz w:val="24"/>
        </w:rPr>
        <w:t xml:space="preserve"> nº 320.</w:t>
      </w:r>
    </w:p>
    <w:p w:rsidR="00C23BBC" w:rsidRDefault="00C23BBC" w:rsidP="00C23BBC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 que se espera da Suprema Corte Brasileira é o reconhecimento da inadequação da Lei de Anistia no ordenamento jurídico brasileiro e o afastamento da noção de que o controle de constitucionalidade e o controle de </w:t>
      </w:r>
      <w:proofErr w:type="spellStart"/>
      <w:r>
        <w:rPr>
          <w:rFonts w:ascii="Arial" w:hAnsi="Arial" w:cs="Arial"/>
          <w:sz w:val="24"/>
        </w:rPr>
        <w:t>convencionalidade</w:t>
      </w:r>
      <w:proofErr w:type="spellEnd"/>
      <w:r>
        <w:rPr>
          <w:rFonts w:ascii="Arial" w:hAnsi="Arial" w:cs="Arial"/>
          <w:sz w:val="24"/>
        </w:rPr>
        <w:t xml:space="preserve"> possuem relação de </w:t>
      </w:r>
      <w:proofErr w:type="spellStart"/>
      <w:r>
        <w:rPr>
          <w:rFonts w:ascii="Arial" w:hAnsi="Arial" w:cs="Arial"/>
          <w:sz w:val="24"/>
        </w:rPr>
        <w:t>prejudicialidade</w:t>
      </w:r>
      <w:proofErr w:type="spellEnd"/>
      <w:r>
        <w:rPr>
          <w:rFonts w:ascii="Arial" w:hAnsi="Arial" w:cs="Arial"/>
          <w:sz w:val="24"/>
        </w:rPr>
        <w:t xml:space="preserve"> entre si. Assim, o direito brasileiro ava</w:t>
      </w:r>
      <w:r w:rsidR="00582203">
        <w:rPr>
          <w:rFonts w:ascii="Arial" w:hAnsi="Arial" w:cs="Arial"/>
          <w:sz w:val="24"/>
        </w:rPr>
        <w:t xml:space="preserve">nçará para a resolução sobre esses temas e facilitará a solução de novos conflitos que envolvam a aplicação do direito internacional. </w:t>
      </w:r>
    </w:p>
    <w:p w:rsidR="00651EAA" w:rsidRDefault="00651EAA" w:rsidP="00B374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Conclusões</w:t>
      </w:r>
    </w:p>
    <w:p w:rsidR="00651EAA" w:rsidRDefault="00651EAA" w:rsidP="00C23BBC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De todo o exposto, é possível compreender de o controle de </w:t>
      </w:r>
      <w:proofErr w:type="spellStart"/>
      <w:r>
        <w:rPr>
          <w:rFonts w:ascii="Arial" w:hAnsi="Arial" w:cs="Arial"/>
          <w:sz w:val="24"/>
        </w:rPr>
        <w:t>convencionalidade</w:t>
      </w:r>
      <w:proofErr w:type="spellEnd"/>
      <w:r>
        <w:rPr>
          <w:rFonts w:ascii="Arial" w:hAnsi="Arial" w:cs="Arial"/>
          <w:sz w:val="24"/>
        </w:rPr>
        <w:t xml:space="preserve"> não se confunde com o controle de constitucionalidade e não possui relação de </w:t>
      </w:r>
      <w:proofErr w:type="spellStart"/>
      <w:r>
        <w:rPr>
          <w:rFonts w:ascii="Arial" w:hAnsi="Arial" w:cs="Arial"/>
          <w:sz w:val="24"/>
        </w:rPr>
        <w:t>prejudicialidade</w:t>
      </w:r>
      <w:proofErr w:type="spellEnd"/>
      <w:r>
        <w:rPr>
          <w:rFonts w:ascii="Arial" w:hAnsi="Arial" w:cs="Arial"/>
          <w:sz w:val="24"/>
        </w:rPr>
        <w:t xml:space="preserve"> com este. Ambos são aptos para invalidar dispositivo normativo</w:t>
      </w:r>
      <w:r w:rsidR="00634838">
        <w:rPr>
          <w:rFonts w:ascii="Arial" w:hAnsi="Arial" w:cs="Arial"/>
          <w:sz w:val="24"/>
        </w:rPr>
        <w:t xml:space="preserve"> infraconstitucional</w:t>
      </w:r>
      <w:r>
        <w:rPr>
          <w:rFonts w:ascii="Arial" w:hAnsi="Arial" w:cs="Arial"/>
          <w:sz w:val="24"/>
        </w:rPr>
        <w:t>, pois é requisito a plena consonância deste com as ordens interna e internacional. A Corte Interamericana de Direitos Humanos possui legitimidade para proferir decisões que vinculam e obrigam o Brasil. Logo</w:t>
      </w:r>
      <w:r w:rsidR="004F06C0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é necessário que o</w:t>
      </w:r>
      <w:r w:rsidR="004F06C0">
        <w:rPr>
          <w:rFonts w:ascii="Arial" w:hAnsi="Arial" w:cs="Arial"/>
          <w:sz w:val="24"/>
        </w:rPr>
        <w:t xml:space="preserve"> Judiciário brasileiro reconheça</w:t>
      </w:r>
      <w:r>
        <w:rPr>
          <w:rFonts w:ascii="Arial" w:hAnsi="Arial" w:cs="Arial"/>
          <w:sz w:val="24"/>
        </w:rPr>
        <w:t xml:space="preserve"> a ef</w:t>
      </w:r>
      <w:r w:rsidR="004F06C0">
        <w:rPr>
          <w:rFonts w:ascii="Arial" w:hAnsi="Arial" w:cs="Arial"/>
          <w:sz w:val="24"/>
        </w:rPr>
        <w:t>icácia das suas decisões. Entretanto, tornou-se preocupante nos tribunais</w:t>
      </w:r>
      <w:r>
        <w:rPr>
          <w:rFonts w:ascii="Arial" w:hAnsi="Arial" w:cs="Arial"/>
          <w:sz w:val="24"/>
        </w:rPr>
        <w:t xml:space="preserve"> brasileiro</w:t>
      </w:r>
      <w:r w:rsidR="004F06C0">
        <w:rPr>
          <w:rFonts w:ascii="Arial" w:hAnsi="Arial" w:cs="Arial"/>
          <w:sz w:val="24"/>
        </w:rPr>
        <w:t>s</w:t>
      </w:r>
      <w:r w:rsidR="00634838">
        <w:rPr>
          <w:rFonts w:ascii="Arial" w:hAnsi="Arial" w:cs="Arial"/>
          <w:sz w:val="24"/>
        </w:rPr>
        <w:t xml:space="preserve"> as interpretações dadas para a sentença proferida no caso Gomes </w:t>
      </w:r>
      <w:proofErr w:type="spellStart"/>
      <w:r w:rsidR="00634838">
        <w:rPr>
          <w:rFonts w:ascii="Arial" w:hAnsi="Arial" w:cs="Arial"/>
          <w:sz w:val="24"/>
        </w:rPr>
        <w:t>Lund</w:t>
      </w:r>
      <w:proofErr w:type="spellEnd"/>
      <w:r w:rsidR="00634838">
        <w:rPr>
          <w:rFonts w:ascii="Arial" w:hAnsi="Arial" w:cs="Arial"/>
          <w:sz w:val="24"/>
        </w:rPr>
        <w:t xml:space="preserve"> vs. Brasil</w:t>
      </w:r>
      <w:r w:rsidR="004F06C0">
        <w:rPr>
          <w:rFonts w:ascii="Arial" w:hAnsi="Arial" w:cs="Arial"/>
          <w:sz w:val="24"/>
        </w:rPr>
        <w:t xml:space="preserve"> por aquel</w:t>
      </w:r>
      <w:r w:rsidR="00634838">
        <w:rPr>
          <w:rFonts w:ascii="Arial" w:hAnsi="Arial" w:cs="Arial"/>
          <w:sz w:val="24"/>
        </w:rPr>
        <w:t>a corte internacional. É notória</w:t>
      </w:r>
      <w:r w:rsidR="004F06C0">
        <w:rPr>
          <w:rFonts w:ascii="Arial" w:hAnsi="Arial" w:cs="Arial"/>
          <w:sz w:val="24"/>
        </w:rPr>
        <w:t xml:space="preserve"> a indiferença de alguns julgados em relação a Corte IDH</w:t>
      </w:r>
      <w:r w:rsidR="00634838">
        <w:rPr>
          <w:rFonts w:ascii="Arial" w:hAnsi="Arial" w:cs="Arial"/>
          <w:sz w:val="24"/>
        </w:rPr>
        <w:t>,</w:t>
      </w:r>
      <w:r w:rsidR="004F06C0">
        <w:rPr>
          <w:rFonts w:ascii="Arial" w:hAnsi="Arial" w:cs="Arial"/>
          <w:sz w:val="24"/>
        </w:rPr>
        <w:t xml:space="preserve"> quando </w:t>
      </w:r>
      <w:r w:rsidR="00634838">
        <w:rPr>
          <w:rFonts w:ascii="Arial" w:hAnsi="Arial" w:cs="Arial"/>
          <w:sz w:val="24"/>
        </w:rPr>
        <w:t xml:space="preserve">não </w:t>
      </w:r>
      <w:r w:rsidR="004F06C0">
        <w:rPr>
          <w:rFonts w:ascii="Arial" w:hAnsi="Arial" w:cs="Arial"/>
          <w:sz w:val="24"/>
        </w:rPr>
        <w:t>as analisa</w:t>
      </w:r>
      <w:r w:rsidR="00634838">
        <w:rPr>
          <w:rFonts w:ascii="Arial" w:hAnsi="Arial" w:cs="Arial"/>
          <w:sz w:val="24"/>
        </w:rPr>
        <w:t>,</w:t>
      </w:r>
      <w:r w:rsidR="004F06C0">
        <w:rPr>
          <w:rFonts w:ascii="Arial" w:hAnsi="Arial" w:cs="Arial"/>
          <w:sz w:val="24"/>
        </w:rPr>
        <w:t xml:space="preserve"> de forma</w:t>
      </w:r>
      <w:r w:rsidR="00634838">
        <w:rPr>
          <w:rFonts w:ascii="Arial" w:hAnsi="Arial" w:cs="Arial"/>
          <w:sz w:val="24"/>
        </w:rPr>
        <w:t xml:space="preserve"> equivocada, como</w:t>
      </w:r>
      <w:r w:rsidR="004F06C0">
        <w:rPr>
          <w:rFonts w:ascii="Arial" w:hAnsi="Arial" w:cs="Arial"/>
          <w:sz w:val="24"/>
        </w:rPr>
        <w:t xml:space="preserve"> conflitante com julgamentos proferidos pelo Supremo Tribunal Federal. Assim, tornou-se oportuno e necessário a manifestação desta Suprema Corte para sanar os equívocos cometidos e possibilitar avanços</w:t>
      </w:r>
      <w:r w:rsidR="00AC3EEC">
        <w:rPr>
          <w:rFonts w:ascii="Arial" w:hAnsi="Arial" w:cs="Arial"/>
          <w:sz w:val="24"/>
        </w:rPr>
        <w:t xml:space="preserve"> nas interpretações que envolvem</w:t>
      </w:r>
      <w:r w:rsidR="004F06C0">
        <w:rPr>
          <w:rFonts w:ascii="Arial" w:hAnsi="Arial" w:cs="Arial"/>
          <w:sz w:val="24"/>
        </w:rPr>
        <w:t xml:space="preserve"> o direito internacional.</w:t>
      </w:r>
    </w:p>
    <w:p w:rsidR="006D4AB5" w:rsidRDefault="006D4AB5" w:rsidP="006D4AB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Referências</w:t>
      </w:r>
    </w:p>
    <w:p w:rsidR="006D4AB5" w:rsidRDefault="006D4AB5" w:rsidP="006D4AB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6"/>
        </w:rPr>
      </w:pPr>
      <w:r w:rsidRPr="006D4AB5">
        <w:rPr>
          <w:rFonts w:ascii="Arial" w:hAnsi="Arial" w:cs="Arial"/>
          <w:sz w:val="24"/>
          <w:szCs w:val="26"/>
        </w:rPr>
        <w:t>Parecer nº</w:t>
      </w:r>
      <w:r w:rsidRPr="006D4AB5">
        <w:rPr>
          <w:rFonts w:ascii="Arial" w:hAnsi="Arial" w:cs="Arial"/>
          <w:sz w:val="13"/>
          <w:szCs w:val="15"/>
        </w:rPr>
        <w:t xml:space="preserve"> </w:t>
      </w:r>
      <w:r w:rsidRPr="006D4AB5">
        <w:rPr>
          <w:rFonts w:ascii="Arial" w:hAnsi="Arial" w:cs="Arial"/>
          <w:sz w:val="24"/>
          <w:szCs w:val="26"/>
        </w:rPr>
        <w:t>4.433/</w:t>
      </w:r>
      <w:proofErr w:type="spellStart"/>
      <w:r w:rsidRPr="006D4AB5">
        <w:rPr>
          <w:rFonts w:ascii="Arial" w:hAnsi="Arial" w:cs="Arial"/>
          <w:sz w:val="24"/>
          <w:szCs w:val="26"/>
        </w:rPr>
        <w:t>AsJConst</w:t>
      </w:r>
      <w:proofErr w:type="spellEnd"/>
      <w:r w:rsidRPr="006D4AB5">
        <w:rPr>
          <w:rFonts w:ascii="Arial" w:hAnsi="Arial" w:cs="Arial"/>
          <w:sz w:val="24"/>
          <w:szCs w:val="26"/>
        </w:rPr>
        <w:t>/SAJ/PGR</w:t>
      </w:r>
    </w:p>
    <w:p w:rsidR="006D4AB5" w:rsidRDefault="006D4AB5" w:rsidP="006D4AB5">
      <w:pPr>
        <w:autoSpaceDE w:val="0"/>
        <w:autoSpaceDN w:val="0"/>
        <w:adjustRightInd w:val="0"/>
        <w:spacing w:after="0" w:line="360" w:lineRule="auto"/>
        <w:jc w:val="both"/>
        <w:rPr>
          <w:rFonts w:ascii="BemboStdRegular" w:hAnsi="BemboStdRegular" w:cs="BemboStdRegular"/>
          <w:sz w:val="26"/>
          <w:szCs w:val="26"/>
        </w:rPr>
      </w:pPr>
      <w:r>
        <w:rPr>
          <w:rFonts w:ascii="Arial" w:hAnsi="Arial" w:cs="Arial"/>
          <w:sz w:val="24"/>
        </w:rPr>
        <w:t>BIANCHI CERQUEIRA, L. E. “</w:t>
      </w:r>
      <w:r w:rsidRPr="00EF4610">
        <w:rPr>
          <w:rFonts w:ascii="Arial" w:hAnsi="Arial" w:cs="Arial"/>
          <w:sz w:val="24"/>
          <w:u w:val="single"/>
        </w:rPr>
        <w:t xml:space="preserve">Aplicação das Sentenças das </w:t>
      </w:r>
      <w:r w:rsidR="00EF4610" w:rsidRPr="00EF4610">
        <w:rPr>
          <w:rFonts w:ascii="Arial" w:hAnsi="Arial" w:cs="Arial"/>
          <w:sz w:val="24"/>
          <w:u w:val="single"/>
        </w:rPr>
        <w:t>Cortes Internacionais no Brasil</w:t>
      </w:r>
      <w:r w:rsidR="00EF4610">
        <w:rPr>
          <w:rFonts w:ascii="Arial" w:hAnsi="Arial" w:cs="Arial"/>
          <w:sz w:val="24"/>
        </w:rPr>
        <w:t>”.</w:t>
      </w:r>
      <w:r>
        <w:rPr>
          <w:rFonts w:ascii="BemboStdRegular" w:hAnsi="BemboStdRegular" w:cs="BemboStdRegular"/>
          <w:sz w:val="26"/>
          <w:szCs w:val="26"/>
        </w:rPr>
        <w:t xml:space="preserve"> Revista SJRJ, Rio de Janeiro, v. 18, n.32, p. 115-134</w:t>
      </w:r>
      <w:r w:rsidR="00EF4610">
        <w:rPr>
          <w:rFonts w:ascii="BemboStdRegular" w:hAnsi="BemboStdRegular" w:cs="BemboStdRegular"/>
          <w:sz w:val="26"/>
          <w:szCs w:val="26"/>
        </w:rPr>
        <w:t>, dez 2011.</w:t>
      </w:r>
    </w:p>
    <w:p w:rsidR="00EF4610" w:rsidRPr="006D4AB5" w:rsidRDefault="00EF4610" w:rsidP="00EF46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iCs/>
          <w:sz w:val="24"/>
          <w:szCs w:val="24"/>
        </w:rPr>
        <w:lastRenderedPageBreak/>
        <w:t>CLAUDIUS ROTHENBURG, W. “</w:t>
      </w:r>
      <w:r w:rsidRPr="00EF4610">
        <w:rPr>
          <w:rFonts w:ascii="Arial" w:hAnsi="Arial" w:cs="Arial"/>
          <w:bCs/>
          <w:sz w:val="24"/>
          <w:szCs w:val="24"/>
          <w:u w:val="single"/>
        </w:rPr>
        <w:t xml:space="preserve">Constitucionalidade e </w:t>
      </w:r>
      <w:proofErr w:type="spellStart"/>
      <w:r w:rsidRPr="00EF4610">
        <w:rPr>
          <w:rFonts w:ascii="Arial" w:hAnsi="Arial" w:cs="Arial"/>
          <w:bCs/>
          <w:sz w:val="24"/>
          <w:szCs w:val="24"/>
          <w:u w:val="single"/>
        </w:rPr>
        <w:t>Convencionalidade</w:t>
      </w:r>
      <w:proofErr w:type="spellEnd"/>
      <w:r w:rsidRPr="00EF4610">
        <w:rPr>
          <w:rFonts w:ascii="Arial" w:hAnsi="Arial" w:cs="Arial"/>
          <w:bCs/>
          <w:sz w:val="24"/>
          <w:szCs w:val="24"/>
          <w:u w:val="single"/>
        </w:rPr>
        <w:t xml:space="preserve"> da Lei de Anistia </w:t>
      </w:r>
      <w:proofErr w:type="gramStart"/>
      <w:r w:rsidRPr="00EF4610">
        <w:rPr>
          <w:rFonts w:ascii="Arial" w:hAnsi="Arial" w:cs="Arial"/>
          <w:bCs/>
          <w:sz w:val="24"/>
          <w:szCs w:val="24"/>
          <w:u w:val="single"/>
        </w:rPr>
        <w:t>Brasileira</w:t>
      </w:r>
      <w:r>
        <w:rPr>
          <w:rFonts w:ascii="Arial" w:hAnsi="Arial" w:cs="Arial"/>
          <w:bCs/>
          <w:sz w:val="24"/>
          <w:szCs w:val="24"/>
        </w:rPr>
        <w:t>.”</w:t>
      </w:r>
      <w:proofErr w:type="gramEnd"/>
      <w:r w:rsidRPr="00EF4610">
        <w:rPr>
          <w:rFonts w:ascii="DIN-Light" w:hAnsi="DIN-Light" w:cs="DIN-Light"/>
          <w:sz w:val="10"/>
          <w:szCs w:val="10"/>
        </w:rPr>
        <w:t xml:space="preserve"> </w:t>
      </w:r>
      <w:r>
        <w:rPr>
          <w:rFonts w:ascii="Arial" w:hAnsi="Arial" w:cs="Arial"/>
          <w:sz w:val="24"/>
          <w:szCs w:val="10"/>
        </w:rPr>
        <w:t xml:space="preserve">Revista Direito GV, São Paulo, v. 9, p. 681-706, </w:t>
      </w:r>
      <w:proofErr w:type="spellStart"/>
      <w:r>
        <w:rPr>
          <w:rFonts w:ascii="Arial" w:hAnsi="Arial" w:cs="Arial"/>
          <w:sz w:val="24"/>
          <w:szCs w:val="10"/>
        </w:rPr>
        <w:t>jul</w:t>
      </w:r>
      <w:proofErr w:type="spellEnd"/>
      <w:r>
        <w:rPr>
          <w:rFonts w:ascii="Arial" w:hAnsi="Arial" w:cs="Arial"/>
          <w:sz w:val="24"/>
          <w:szCs w:val="10"/>
        </w:rPr>
        <w:t>-dez 2013.</w:t>
      </w:r>
      <w:r w:rsidRPr="006D4AB5">
        <w:rPr>
          <w:rFonts w:ascii="Arial" w:hAnsi="Arial" w:cs="Arial"/>
          <w:sz w:val="24"/>
        </w:rPr>
        <w:t xml:space="preserve"> </w:t>
      </w:r>
    </w:p>
    <w:p w:rsidR="00AC3EEC" w:rsidRPr="00823CDB" w:rsidRDefault="00AC3EEC" w:rsidP="008D0201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AC3EEC" w:rsidRPr="00823C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C66" w:rsidRDefault="00C01C66" w:rsidP="006D4AB5">
      <w:pPr>
        <w:spacing w:after="0" w:line="240" w:lineRule="auto"/>
      </w:pPr>
      <w:r>
        <w:separator/>
      </w:r>
    </w:p>
  </w:endnote>
  <w:endnote w:type="continuationSeparator" w:id="0">
    <w:p w:rsidR="00C01C66" w:rsidRDefault="00C01C66" w:rsidP="006D4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Std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C66" w:rsidRDefault="00C01C66" w:rsidP="006D4AB5">
      <w:pPr>
        <w:spacing w:after="0" w:line="240" w:lineRule="auto"/>
      </w:pPr>
      <w:r>
        <w:separator/>
      </w:r>
    </w:p>
  </w:footnote>
  <w:footnote w:type="continuationSeparator" w:id="0">
    <w:p w:rsidR="00C01C66" w:rsidRDefault="00C01C66" w:rsidP="006D4AB5">
      <w:pPr>
        <w:spacing w:after="0" w:line="240" w:lineRule="auto"/>
      </w:pPr>
      <w:r>
        <w:continuationSeparator/>
      </w:r>
    </w:p>
  </w:footnote>
  <w:footnote w:id="1">
    <w:p w:rsidR="006D4AB5" w:rsidRDefault="006D4AB5">
      <w:pPr>
        <w:pStyle w:val="Textodenotaderodap"/>
      </w:pPr>
      <w:r>
        <w:rPr>
          <w:rStyle w:val="Refdenotaderodap"/>
        </w:rPr>
        <w:footnoteRef/>
      </w:r>
      <w:r>
        <w:t xml:space="preserve"> Estudante de Graduação do Centro Universitário de Brasília - UNICEUB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B52C2"/>
    <w:multiLevelType w:val="hybridMultilevel"/>
    <w:tmpl w:val="282EFA54"/>
    <w:lvl w:ilvl="0" w:tplc="3EE8AD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34597"/>
    <w:multiLevelType w:val="hybridMultilevel"/>
    <w:tmpl w:val="CE1248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06B5B"/>
    <w:multiLevelType w:val="hybridMultilevel"/>
    <w:tmpl w:val="EB1647A4"/>
    <w:lvl w:ilvl="0" w:tplc="3286BFD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77950C9"/>
    <w:multiLevelType w:val="hybridMultilevel"/>
    <w:tmpl w:val="04581B50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5B7"/>
    <w:rsid w:val="00072FC3"/>
    <w:rsid w:val="000F603E"/>
    <w:rsid w:val="0010503B"/>
    <w:rsid w:val="001226F8"/>
    <w:rsid w:val="0018284B"/>
    <w:rsid w:val="00205554"/>
    <w:rsid w:val="00241E9F"/>
    <w:rsid w:val="002D475D"/>
    <w:rsid w:val="003300AF"/>
    <w:rsid w:val="00353691"/>
    <w:rsid w:val="003856EA"/>
    <w:rsid w:val="00393552"/>
    <w:rsid w:val="004614D6"/>
    <w:rsid w:val="004C0E9D"/>
    <w:rsid w:val="004F06C0"/>
    <w:rsid w:val="00523F1B"/>
    <w:rsid w:val="00545F03"/>
    <w:rsid w:val="00582203"/>
    <w:rsid w:val="005C5EF6"/>
    <w:rsid w:val="006274E5"/>
    <w:rsid w:val="00634838"/>
    <w:rsid w:val="00643C72"/>
    <w:rsid w:val="00651EAA"/>
    <w:rsid w:val="006D4AB5"/>
    <w:rsid w:val="0078539F"/>
    <w:rsid w:val="007B478A"/>
    <w:rsid w:val="007C7358"/>
    <w:rsid w:val="00812325"/>
    <w:rsid w:val="00823CDB"/>
    <w:rsid w:val="0083490B"/>
    <w:rsid w:val="008D0201"/>
    <w:rsid w:val="009D49B6"/>
    <w:rsid w:val="00A357B9"/>
    <w:rsid w:val="00AC3EEC"/>
    <w:rsid w:val="00AC7EA0"/>
    <w:rsid w:val="00B37425"/>
    <w:rsid w:val="00B8275D"/>
    <w:rsid w:val="00C01C66"/>
    <w:rsid w:val="00C23BBC"/>
    <w:rsid w:val="00D045B7"/>
    <w:rsid w:val="00D2493B"/>
    <w:rsid w:val="00D3003D"/>
    <w:rsid w:val="00D44DCE"/>
    <w:rsid w:val="00D64C51"/>
    <w:rsid w:val="00D7040C"/>
    <w:rsid w:val="00EF4610"/>
    <w:rsid w:val="00F115F1"/>
    <w:rsid w:val="00F27A0A"/>
    <w:rsid w:val="00F31F2A"/>
    <w:rsid w:val="00F52991"/>
    <w:rsid w:val="00F94B19"/>
    <w:rsid w:val="00F9718A"/>
    <w:rsid w:val="00FB3E88"/>
    <w:rsid w:val="00FD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757C4-9BAB-48A5-B07A-08DEC6441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D0201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D4AB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D4AB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D4A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5901D-04E1-428A-968C-86517F699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2532</Words>
  <Characters>13679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Antônia Soares Carvalho dos Santos</dc:creator>
  <cp:keywords/>
  <dc:description/>
  <cp:lastModifiedBy>Ighor Soares dos Santos</cp:lastModifiedBy>
  <cp:revision>2</cp:revision>
  <dcterms:created xsi:type="dcterms:W3CDTF">2015-11-16T12:39:00Z</dcterms:created>
  <dcterms:modified xsi:type="dcterms:W3CDTF">2015-11-16T12:39:00Z</dcterms:modified>
</cp:coreProperties>
</file>