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D2C" w:rsidRDefault="00DA471F">
      <w:r>
        <w:t xml:space="preserve"> </w:t>
      </w:r>
    </w:p>
    <w:p w:rsidR="00DA471F" w:rsidRDefault="00DA471F">
      <w:pPr>
        <w:rPr>
          <w:rFonts w:ascii="Times New Roman" w:hAnsi="Times New Roman" w:cs="Times New Roman"/>
          <w:sz w:val="24"/>
          <w:szCs w:val="24"/>
        </w:rPr>
      </w:pPr>
      <w:r>
        <w:rPr>
          <w:rFonts w:ascii="Times New Roman" w:hAnsi="Times New Roman" w:cs="Times New Roman"/>
          <w:b/>
          <w:sz w:val="24"/>
          <w:szCs w:val="24"/>
        </w:rPr>
        <w:t xml:space="preserve">VIGÊNCIA, APLICAÇÃO E INTEGRAÇÃO DA LEGISLAÇÃO TRIBUTÁRIA: </w:t>
      </w:r>
      <w:r>
        <w:rPr>
          <w:rFonts w:ascii="Times New Roman" w:hAnsi="Times New Roman" w:cs="Times New Roman"/>
          <w:sz w:val="24"/>
          <w:szCs w:val="24"/>
        </w:rPr>
        <w:t>Vigência do ICMS a partir do advento da Emenda Constitucional 87/15</w:t>
      </w:r>
      <w:r>
        <w:rPr>
          <w:rStyle w:val="Refdenotaderodap"/>
          <w:rFonts w:ascii="Times New Roman" w:hAnsi="Times New Roman" w:cs="Times New Roman"/>
          <w:sz w:val="24"/>
          <w:szCs w:val="24"/>
        </w:rPr>
        <w:footnoteReference w:id="1"/>
      </w:r>
    </w:p>
    <w:p w:rsidR="00DA471F" w:rsidRDefault="00DA471F" w:rsidP="00DA47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Natacha </w:t>
      </w:r>
      <w:proofErr w:type="spellStart"/>
      <w:r>
        <w:rPr>
          <w:rFonts w:ascii="Times New Roman" w:hAnsi="Times New Roman" w:cs="Times New Roman"/>
          <w:sz w:val="24"/>
          <w:szCs w:val="24"/>
        </w:rPr>
        <w:t>Aimeé</w:t>
      </w:r>
      <w:proofErr w:type="spellEnd"/>
      <w:r>
        <w:rPr>
          <w:rFonts w:ascii="Times New Roman" w:hAnsi="Times New Roman" w:cs="Times New Roman"/>
          <w:sz w:val="24"/>
          <w:szCs w:val="24"/>
        </w:rPr>
        <w:t xml:space="preserve"> S. de Almeida e Suellen R. Aguiar</w:t>
      </w:r>
      <w:r>
        <w:rPr>
          <w:rStyle w:val="Refdenotaderodap"/>
          <w:rFonts w:ascii="Times New Roman" w:hAnsi="Times New Roman" w:cs="Times New Roman"/>
          <w:sz w:val="24"/>
          <w:szCs w:val="24"/>
        </w:rPr>
        <w:footnoteReference w:id="2"/>
      </w:r>
    </w:p>
    <w:p w:rsidR="00DA471F" w:rsidRDefault="00DA471F" w:rsidP="00DA47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Antônio de Moraes Gaspar</w:t>
      </w:r>
      <w:r>
        <w:rPr>
          <w:rStyle w:val="Refdenotaderodap"/>
          <w:rFonts w:ascii="Times New Roman" w:hAnsi="Times New Roman" w:cs="Times New Roman"/>
          <w:sz w:val="24"/>
          <w:szCs w:val="24"/>
        </w:rPr>
        <w:footnoteReference w:id="3"/>
      </w:r>
    </w:p>
    <w:p w:rsidR="00DA471F" w:rsidRDefault="00DA471F" w:rsidP="00DA471F">
      <w:pPr>
        <w:spacing w:after="0" w:line="240" w:lineRule="auto"/>
        <w:jc w:val="center"/>
        <w:rPr>
          <w:rFonts w:ascii="Times New Roman" w:hAnsi="Times New Roman" w:cs="Times New Roman"/>
          <w:sz w:val="24"/>
          <w:szCs w:val="24"/>
        </w:rPr>
      </w:pPr>
    </w:p>
    <w:p w:rsidR="00AB6B3C" w:rsidRDefault="00AB6B3C" w:rsidP="00DA471F">
      <w:pPr>
        <w:spacing w:after="0" w:line="240" w:lineRule="auto"/>
        <w:jc w:val="center"/>
        <w:rPr>
          <w:rFonts w:ascii="Times New Roman" w:hAnsi="Times New Roman" w:cs="Times New Roman"/>
          <w:sz w:val="24"/>
          <w:szCs w:val="24"/>
        </w:rPr>
      </w:pPr>
    </w:p>
    <w:p w:rsidR="00DA471F" w:rsidRDefault="00DA471F" w:rsidP="00DA471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DA471F" w:rsidRDefault="00DA471F" w:rsidP="00DA47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 artigo científico tem como principal objetivo trazer ampla compreensão acerca d</w:t>
      </w:r>
      <w:r w:rsidRPr="00991F8C">
        <w:rPr>
          <w:rFonts w:ascii="Times New Roman" w:hAnsi="Times New Roman" w:cs="Times New Roman"/>
          <w:sz w:val="24"/>
          <w:szCs w:val="24"/>
        </w:rPr>
        <w:t>o tema</w:t>
      </w:r>
      <w:r>
        <w:rPr>
          <w:rFonts w:ascii="Times New Roman" w:hAnsi="Times New Roman" w:cs="Times New Roman"/>
          <w:sz w:val="24"/>
          <w:szCs w:val="24"/>
        </w:rPr>
        <w:t xml:space="preserve"> vigência da legislação tributária a partir do advento da </w:t>
      </w:r>
      <w:r w:rsidRPr="00800CB7">
        <w:rPr>
          <w:rFonts w:ascii="Times New Roman" w:hAnsi="Times New Roman" w:cs="Times New Roman"/>
          <w:sz w:val="24"/>
          <w:szCs w:val="24"/>
        </w:rPr>
        <w:t>Emen</w:t>
      </w:r>
      <w:r>
        <w:rPr>
          <w:rFonts w:ascii="Times New Roman" w:hAnsi="Times New Roman" w:cs="Times New Roman"/>
          <w:sz w:val="24"/>
          <w:szCs w:val="24"/>
        </w:rPr>
        <w:t>da Constitucional 87/15 no Imposto sobre Circulação de Mercadorias e Prestação de Serviços (</w:t>
      </w:r>
      <w:r w:rsidRPr="00446DEC">
        <w:rPr>
          <w:rFonts w:ascii="Times New Roman" w:hAnsi="Times New Roman" w:cs="Times New Roman"/>
          <w:sz w:val="24"/>
          <w:szCs w:val="24"/>
        </w:rPr>
        <w:t>ICMS</w:t>
      </w:r>
      <w:r>
        <w:rPr>
          <w:rFonts w:ascii="Times New Roman" w:hAnsi="Times New Roman" w:cs="Times New Roman"/>
          <w:sz w:val="24"/>
          <w:szCs w:val="24"/>
        </w:rPr>
        <w:t>), discutindo</w:t>
      </w:r>
      <w:r w:rsidRPr="00446DEC">
        <w:rPr>
          <w:rFonts w:ascii="Times New Roman" w:hAnsi="Times New Roman" w:cs="Times New Roman"/>
          <w:sz w:val="24"/>
          <w:szCs w:val="24"/>
        </w:rPr>
        <w:t xml:space="preserve"> o</w:t>
      </w:r>
      <w:r>
        <w:rPr>
          <w:rFonts w:ascii="Times New Roman" w:hAnsi="Times New Roman" w:cs="Times New Roman"/>
          <w:sz w:val="24"/>
          <w:szCs w:val="24"/>
        </w:rPr>
        <w:t>s</w:t>
      </w:r>
      <w:r w:rsidRPr="00446DEC">
        <w:rPr>
          <w:rFonts w:ascii="Times New Roman" w:hAnsi="Times New Roman" w:cs="Times New Roman"/>
          <w:sz w:val="24"/>
          <w:szCs w:val="24"/>
        </w:rPr>
        <w:t xml:space="preserve"> impacto</w:t>
      </w:r>
      <w:r>
        <w:rPr>
          <w:rFonts w:ascii="Times New Roman" w:hAnsi="Times New Roman" w:cs="Times New Roman"/>
          <w:sz w:val="24"/>
          <w:szCs w:val="24"/>
        </w:rPr>
        <w:t>s que a referida Emenda Constitucional</w:t>
      </w:r>
      <w:r w:rsidRPr="00446DEC">
        <w:rPr>
          <w:rFonts w:ascii="Times New Roman" w:hAnsi="Times New Roman" w:cs="Times New Roman"/>
          <w:sz w:val="24"/>
          <w:szCs w:val="24"/>
        </w:rPr>
        <w:t xml:space="preserve"> proporcionará aos estados de origem</w:t>
      </w:r>
      <w:r>
        <w:rPr>
          <w:rFonts w:ascii="Times New Roman" w:hAnsi="Times New Roman" w:cs="Times New Roman"/>
          <w:sz w:val="24"/>
          <w:szCs w:val="24"/>
        </w:rPr>
        <w:t xml:space="preserve"> das mercadorias. N</w:t>
      </w:r>
      <w:r w:rsidRPr="00446DEC">
        <w:rPr>
          <w:rFonts w:ascii="Times New Roman" w:hAnsi="Times New Roman" w:cs="Times New Roman"/>
          <w:sz w:val="24"/>
          <w:szCs w:val="24"/>
        </w:rPr>
        <w:t xml:space="preserve">o </w:t>
      </w:r>
      <w:r>
        <w:rPr>
          <w:rFonts w:ascii="Times New Roman" w:hAnsi="Times New Roman" w:cs="Times New Roman"/>
          <w:sz w:val="24"/>
          <w:szCs w:val="24"/>
        </w:rPr>
        <w:t xml:space="preserve">que diz respeito à tributação do </w:t>
      </w:r>
      <w:r w:rsidRPr="00446DEC">
        <w:rPr>
          <w:rFonts w:ascii="Times New Roman" w:hAnsi="Times New Roman" w:cs="Times New Roman"/>
          <w:sz w:val="24"/>
          <w:szCs w:val="24"/>
        </w:rPr>
        <w:t xml:space="preserve">ICMS </w:t>
      </w:r>
      <w:r>
        <w:rPr>
          <w:rFonts w:ascii="Times New Roman" w:hAnsi="Times New Roman" w:cs="Times New Roman"/>
          <w:sz w:val="24"/>
          <w:szCs w:val="24"/>
        </w:rPr>
        <w:t>e dos fatos geradores advindos da aquisição de mercadorias</w:t>
      </w:r>
      <w:r w:rsidRPr="00446DEC">
        <w:rPr>
          <w:rFonts w:ascii="Times New Roman" w:hAnsi="Times New Roman" w:cs="Times New Roman"/>
          <w:sz w:val="24"/>
          <w:szCs w:val="24"/>
        </w:rPr>
        <w:t xml:space="preserve"> por consumidores de outros estados</w:t>
      </w:r>
      <w:r>
        <w:rPr>
          <w:rFonts w:ascii="Times New Roman" w:hAnsi="Times New Roman" w:cs="Times New Roman"/>
          <w:sz w:val="24"/>
          <w:szCs w:val="24"/>
        </w:rPr>
        <w:t>, bem como serão enumerados</w:t>
      </w:r>
      <w:r w:rsidRPr="00446DEC">
        <w:rPr>
          <w:rFonts w:ascii="Times New Roman" w:hAnsi="Times New Roman" w:cs="Times New Roman"/>
          <w:sz w:val="24"/>
          <w:szCs w:val="24"/>
        </w:rPr>
        <w:t xml:space="preserve"> os</w:t>
      </w:r>
      <w:r>
        <w:rPr>
          <w:rFonts w:ascii="Times New Roman" w:hAnsi="Times New Roman" w:cs="Times New Roman"/>
          <w:sz w:val="24"/>
          <w:szCs w:val="24"/>
        </w:rPr>
        <w:t xml:space="preserve"> possíveis</w:t>
      </w:r>
      <w:r w:rsidRPr="00446DEC">
        <w:rPr>
          <w:rFonts w:ascii="Times New Roman" w:hAnsi="Times New Roman" w:cs="Times New Roman"/>
          <w:sz w:val="24"/>
          <w:szCs w:val="24"/>
        </w:rPr>
        <w:t xml:space="preserve"> aspectos positivos e negativos advindos com a sua vigência atual</w:t>
      </w:r>
      <w:r>
        <w:rPr>
          <w:rFonts w:ascii="Times New Roman" w:hAnsi="Times New Roman" w:cs="Times New Roman"/>
          <w:sz w:val="24"/>
          <w:szCs w:val="24"/>
        </w:rPr>
        <w:t>, a qual se dará apenas</w:t>
      </w:r>
      <w:r w:rsidRPr="00446DEC">
        <w:rPr>
          <w:rFonts w:ascii="Times New Roman" w:hAnsi="Times New Roman" w:cs="Times New Roman"/>
          <w:sz w:val="24"/>
          <w:szCs w:val="24"/>
        </w:rPr>
        <w:t xml:space="preserve"> em 2016</w:t>
      </w:r>
      <w:r>
        <w:rPr>
          <w:rFonts w:ascii="Times New Roman" w:hAnsi="Times New Roman" w:cs="Times New Roman"/>
          <w:sz w:val="24"/>
          <w:szCs w:val="24"/>
        </w:rPr>
        <w:t xml:space="preserve">. Desse modo, </w:t>
      </w:r>
      <w:r w:rsidRPr="00284D41">
        <w:rPr>
          <w:rFonts w:ascii="Times New Roman" w:hAnsi="Times New Roman" w:cs="Times New Roman"/>
          <w:sz w:val="24"/>
          <w:szCs w:val="24"/>
        </w:rPr>
        <w:t>cabe</w:t>
      </w:r>
      <w:r>
        <w:rPr>
          <w:rFonts w:ascii="Times New Roman" w:hAnsi="Times New Roman" w:cs="Times New Roman"/>
          <w:sz w:val="24"/>
          <w:szCs w:val="24"/>
        </w:rPr>
        <w:t xml:space="preserve"> ainda analisar a referida emenda constitucional</w:t>
      </w:r>
      <w:r w:rsidRPr="00284D41">
        <w:rPr>
          <w:rFonts w:ascii="Times New Roman" w:hAnsi="Times New Roman" w:cs="Times New Roman"/>
          <w:sz w:val="24"/>
          <w:szCs w:val="24"/>
        </w:rPr>
        <w:t xml:space="preserve"> 87/15, aplican</w:t>
      </w:r>
      <w:r>
        <w:rPr>
          <w:rFonts w:ascii="Times New Roman" w:hAnsi="Times New Roman" w:cs="Times New Roman"/>
          <w:sz w:val="24"/>
          <w:szCs w:val="24"/>
        </w:rPr>
        <w:t xml:space="preserve">do todos os princípios que norteiam o </w:t>
      </w:r>
      <w:r w:rsidRPr="00284D41">
        <w:rPr>
          <w:rFonts w:ascii="Times New Roman" w:hAnsi="Times New Roman" w:cs="Times New Roman"/>
          <w:sz w:val="24"/>
          <w:szCs w:val="24"/>
        </w:rPr>
        <w:t>Direit</w:t>
      </w:r>
      <w:r>
        <w:rPr>
          <w:rFonts w:ascii="Times New Roman" w:hAnsi="Times New Roman" w:cs="Times New Roman"/>
          <w:sz w:val="24"/>
          <w:szCs w:val="24"/>
        </w:rPr>
        <w:t>o Tributário dando grande destaque ao P</w:t>
      </w:r>
      <w:r w:rsidRPr="00284D41">
        <w:rPr>
          <w:rFonts w:ascii="Times New Roman" w:hAnsi="Times New Roman" w:cs="Times New Roman"/>
          <w:sz w:val="24"/>
          <w:szCs w:val="24"/>
        </w:rPr>
        <w:t>rincípi</w:t>
      </w:r>
      <w:r>
        <w:rPr>
          <w:rFonts w:ascii="Times New Roman" w:hAnsi="Times New Roman" w:cs="Times New Roman"/>
          <w:sz w:val="24"/>
          <w:szCs w:val="24"/>
        </w:rPr>
        <w:t>o da Anterioridade, o qual possui</w:t>
      </w:r>
      <w:r w:rsidRPr="00284D41">
        <w:rPr>
          <w:rFonts w:ascii="Times New Roman" w:hAnsi="Times New Roman" w:cs="Times New Roman"/>
          <w:sz w:val="24"/>
          <w:szCs w:val="24"/>
        </w:rPr>
        <w:t xml:space="preserve"> respaldo doutrinário, jurisprudencial e constitucional sobre o tema, levando</w:t>
      </w:r>
      <w:r>
        <w:rPr>
          <w:rFonts w:ascii="Times New Roman" w:hAnsi="Times New Roman" w:cs="Times New Roman"/>
          <w:sz w:val="24"/>
          <w:szCs w:val="24"/>
        </w:rPr>
        <w:t xml:space="preserve"> sempre</w:t>
      </w:r>
      <w:r w:rsidRPr="00284D41">
        <w:rPr>
          <w:rFonts w:ascii="Times New Roman" w:hAnsi="Times New Roman" w:cs="Times New Roman"/>
          <w:sz w:val="24"/>
          <w:szCs w:val="24"/>
        </w:rPr>
        <w:t xml:space="preserve"> em conside</w:t>
      </w:r>
      <w:r>
        <w:rPr>
          <w:rFonts w:ascii="Times New Roman" w:hAnsi="Times New Roman" w:cs="Times New Roman"/>
          <w:sz w:val="24"/>
          <w:szCs w:val="24"/>
        </w:rPr>
        <w:t>ração os benefícios da vigência da referida E</w:t>
      </w:r>
      <w:r w:rsidRPr="00284D41">
        <w:rPr>
          <w:rFonts w:ascii="Times New Roman" w:hAnsi="Times New Roman" w:cs="Times New Roman"/>
          <w:sz w:val="24"/>
          <w:szCs w:val="24"/>
        </w:rPr>
        <w:t>menda</w:t>
      </w:r>
      <w:r>
        <w:rPr>
          <w:rFonts w:ascii="Times New Roman" w:hAnsi="Times New Roman" w:cs="Times New Roman"/>
          <w:sz w:val="24"/>
          <w:szCs w:val="24"/>
        </w:rPr>
        <w:t xml:space="preserve"> Constitucional para a legislação tributária.</w:t>
      </w:r>
    </w:p>
    <w:p w:rsidR="00DA471F" w:rsidRDefault="00DA471F" w:rsidP="00DA471F">
      <w:pPr>
        <w:spacing w:after="0" w:line="360" w:lineRule="auto"/>
        <w:jc w:val="both"/>
        <w:rPr>
          <w:rFonts w:ascii="Times New Roman" w:hAnsi="Times New Roman" w:cs="Times New Roman"/>
          <w:sz w:val="24"/>
          <w:szCs w:val="24"/>
        </w:rPr>
      </w:pPr>
    </w:p>
    <w:p w:rsidR="00DA471F" w:rsidRDefault="00DA471F" w:rsidP="00DA47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sidR="00B76933">
        <w:rPr>
          <w:rFonts w:ascii="Times New Roman" w:hAnsi="Times New Roman" w:cs="Times New Roman"/>
          <w:sz w:val="24"/>
          <w:szCs w:val="24"/>
        </w:rPr>
        <w:t>Vigência. Princípio da Anterioridade</w:t>
      </w:r>
      <w:r>
        <w:rPr>
          <w:rFonts w:ascii="Times New Roman" w:hAnsi="Times New Roman" w:cs="Times New Roman"/>
          <w:sz w:val="24"/>
          <w:szCs w:val="24"/>
        </w:rPr>
        <w:t>. Emenda Constitucional 87/15. ICMS.</w:t>
      </w:r>
    </w:p>
    <w:p w:rsidR="00595613" w:rsidRDefault="00595613" w:rsidP="00DA471F">
      <w:pPr>
        <w:spacing w:after="0" w:line="360" w:lineRule="auto"/>
        <w:jc w:val="both"/>
        <w:rPr>
          <w:rFonts w:ascii="Times New Roman" w:hAnsi="Times New Roman" w:cs="Times New Roman"/>
          <w:sz w:val="24"/>
          <w:szCs w:val="24"/>
        </w:rPr>
      </w:pPr>
    </w:p>
    <w:p w:rsidR="00595613" w:rsidRDefault="00595613" w:rsidP="00595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FD2E0B" w:rsidRPr="00800CB7" w:rsidRDefault="00FD2E0B" w:rsidP="00FD2E0B">
      <w:pPr>
        <w:spacing w:line="360" w:lineRule="auto"/>
        <w:ind w:firstLine="1134"/>
        <w:jc w:val="both"/>
        <w:rPr>
          <w:rFonts w:ascii="Times New Roman" w:hAnsi="Times New Roman" w:cs="Times New Roman"/>
          <w:sz w:val="24"/>
          <w:szCs w:val="24"/>
        </w:rPr>
      </w:pPr>
      <w:r w:rsidRPr="00991F8C">
        <w:rPr>
          <w:rFonts w:ascii="Times New Roman" w:hAnsi="Times New Roman" w:cs="Times New Roman"/>
          <w:sz w:val="24"/>
          <w:szCs w:val="24"/>
        </w:rPr>
        <w:t>O presente artigo pretende traze</w:t>
      </w:r>
      <w:r>
        <w:rPr>
          <w:rFonts w:ascii="Times New Roman" w:hAnsi="Times New Roman" w:cs="Times New Roman"/>
          <w:sz w:val="24"/>
          <w:szCs w:val="24"/>
        </w:rPr>
        <w:t>r</w:t>
      </w:r>
      <w:r w:rsidRPr="00991F8C">
        <w:rPr>
          <w:rFonts w:ascii="Times New Roman" w:hAnsi="Times New Roman" w:cs="Times New Roman"/>
          <w:sz w:val="24"/>
          <w:szCs w:val="24"/>
        </w:rPr>
        <w:t xml:space="preserve"> maior compreensão sobre o tema</w:t>
      </w:r>
      <w:r>
        <w:rPr>
          <w:rFonts w:ascii="Times New Roman" w:hAnsi="Times New Roman" w:cs="Times New Roman"/>
          <w:sz w:val="24"/>
          <w:szCs w:val="24"/>
        </w:rPr>
        <w:t xml:space="preserve"> vigência, aplicação, interpretação e integração da legislação tributária a partir do advento da </w:t>
      </w:r>
      <w:r w:rsidRPr="00800CB7">
        <w:rPr>
          <w:rFonts w:ascii="Times New Roman" w:hAnsi="Times New Roman" w:cs="Times New Roman"/>
          <w:sz w:val="24"/>
          <w:szCs w:val="24"/>
        </w:rPr>
        <w:t>Emenda Constitucional 87/15 no ICMS.</w:t>
      </w:r>
    </w:p>
    <w:p w:rsidR="00FD2E0B" w:rsidRDefault="00FD2E0B" w:rsidP="00FD2E0B">
      <w:pPr>
        <w:spacing w:line="360" w:lineRule="auto"/>
        <w:ind w:firstLine="1134"/>
        <w:jc w:val="both"/>
        <w:rPr>
          <w:rFonts w:ascii="Times New Roman" w:hAnsi="Times New Roman" w:cs="Times New Roman"/>
          <w:sz w:val="24"/>
          <w:szCs w:val="24"/>
        </w:rPr>
      </w:pPr>
      <w:r w:rsidRPr="00800CB7">
        <w:rPr>
          <w:rFonts w:ascii="Times New Roman" w:hAnsi="Times New Roman" w:cs="Times New Roman"/>
          <w:sz w:val="24"/>
          <w:szCs w:val="24"/>
        </w:rPr>
        <w:t xml:space="preserve">É mister salientar que, pela antiga redação do artigo 155, § 2º, VII e VIII a arrecadação do ICMS no que se referia ao consumidor final residente em outro estado </w:t>
      </w:r>
      <w:proofErr w:type="gramStart"/>
      <w:r w:rsidRPr="00800CB7">
        <w:rPr>
          <w:rFonts w:ascii="Times New Roman" w:hAnsi="Times New Roman" w:cs="Times New Roman"/>
          <w:sz w:val="24"/>
          <w:szCs w:val="24"/>
        </w:rPr>
        <w:t>era  destinada</w:t>
      </w:r>
      <w:proofErr w:type="gramEnd"/>
      <w:r w:rsidRPr="00800CB7">
        <w:rPr>
          <w:rFonts w:ascii="Times New Roman" w:hAnsi="Times New Roman" w:cs="Times New Roman"/>
          <w:sz w:val="24"/>
          <w:szCs w:val="24"/>
        </w:rPr>
        <w:t xml:space="preserve"> preponderantemente ao estado origem. </w:t>
      </w:r>
    </w:p>
    <w:p w:rsidR="00FD2E0B" w:rsidRDefault="00FD2E0B" w:rsidP="00FD2E0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Pr="00800CB7">
        <w:rPr>
          <w:rFonts w:ascii="Times New Roman" w:hAnsi="Times New Roman" w:cs="Times New Roman"/>
          <w:sz w:val="24"/>
          <w:szCs w:val="24"/>
        </w:rPr>
        <w:t xml:space="preserve">Com o advento da edição desta Emenda Constitucional, o </w:t>
      </w:r>
      <w:r w:rsidRPr="00800CB7">
        <w:rPr>
          <w:rFonts w:ascii="Times New Roman" w:hAnsi="Times New Roman" w:cs="Times New Roman"/>
          <w:color w:val="000000"/>
          <w:sz w:val="24"/>
          <w:szCs w:val="24"/>
        </w:rPr>
        <w:t xml:space="preserve">Estado destino passou a </w:t>
      </w:r>
      <w:r w:rsidRPr="00EC40A6">
        <w:rPr>
          <w:rFonts w:ascii="Times New Roman" w:hAnsi="Times New Roman" w:cs="Times New Roman"/>
          <w:sz w:val="24"/>
          <w:szCs w:val="24"/>
        </w:rPr>
        <w:t>ter participação do ICMS, sendo ou não o contribuinte consumidor final. Trata-se de uma inovação na arrecadação de receita para os Estados, uma vez que contribuiu significativamente para uma melhora na partilha dos tributos.</w:t>
      </w:r>
    </w:p>
    <w:p w:rsidR="00595613" w:rsidRDefault="00FD2E0B" w:rsidP="00FD2E0B">
      <w:pPr>
        <w:spacing w:after="0" w:line="360" w:lineRule="auto"/>
        <w:ind w:firstLine="1134"/>
        <w:jc w:val="both"/>
        <w:rPr>
          <w:rFonts w:ascii="Times New Roman" w:hAnsi="Times New Roman" w:cs="Times New Roman"/>
          <w:b/>
          <w:sz w:val="24"/>
          <w:szCs w:val="24"/>
        </w:rPr>
      </w:pPr>
      <w:r w:rsidRPr="00446DEC">
        <w:rPr>
          <w:rFonts w:ascii="Times New Roman" w:hAnsi="Times New Roman" w:cs="Times New Roman"/>
          <w:sz w:val="24"/>
          <w:szCs w:val="24"/>
        </w:rPr>
        <w:lastRenderedPageBreak/>
        <w:t xml:space="preserve">Diante do exposto, pretende-se discutir o impacto que a EC 87/15 proporcionará aos estados de origem no que diz respeito à tributação do ICMS das mercadorias adquiridas por consumidores de outros estados, bem como enumerar os aspectos positivos e negativos advindos com a sua vigência atual se dará em 2016, visto que essa mudança se dará de forma gradual, pois a mesma EC 87/15 inseriu o </w:t>
      </w:r>
      <w:r w:rsidRPr="00446DEC">
        <w:rPr>
          <w:rFonts w:ascii="Times New Roman" w:hAnsi="Times New Roman" w:cs="Times New Roman"/>
          <w:spacing w:val="2"/>
          <w:sz w:val="24"/>
          <w:szCs w:val="24"/>
        </w:rPr>
        <w:t>Art. 99 nos Atos das Disposições Constitucionais Transitórias (ADCT) o qual assevera um aumento de 20% para o Estado destino ao ano, começando em 2015 a 2019, ano em que 100% do ICMS será destinado ao Estado destino.</w:t>
      </w:r>
    </w:p>
    <w:p w:rsidR="00595613" w:rsidRDefault="00595613" w:rsidP="00595613">
      <w:pPr>
        <w:spacing w:after="0" w:line="360" w:lineRule="auto"/>
        <w:jc w:val="both"/>
        <w:rPr>
          <w:rFonts w:ascii="Times New Roman" w:hAnsi="Times New Roman" w:cs="Times New Roman"/>
          <w:b/>
          <w:sz w:val="24"/>
          <w:szCs w:val="24"/>
        </w:rPr>
      </w:pPr>
    </w:p>
    <w:p w:rsidR="00595613" w:rsidRDefault="00595613" w:rsidP="00DA47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VIGÊNCIA DA LEGISLAÇÃO TRIBUTÁRIA</w:t>
      </w:r>
    </w:p>
    <w:p w:rsidR="004D003D" w:rsidRDefault="004D003D" w:rsidP="00DA471F">
      <w:pPr>
        <w:spacing w:after="0" w:line="360" w:lineRule="auto"/>
        <w:jc w:val="both"/>
        <w:rPr>
          <w:rFonts w:ascii="Times New Roman" w:hAnsi="Times New Roman" w:cs="Times New Roman"/>
          <w:b/>
          <w:sz w:val="24"/>
          <w:szCs w:val="24"/>
        </w:rPr>
      </w:pPr>
    </w:p>
    <w:p w:rsidR="00FD2E0B" w:rsidRDefault="00FD2E0B" w:rsidP="00FD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uma ampla compreensão acerca da Legislação Tributária se faz mister que se conceitue e se compreenda o conceito de vigência, dessa maneira “vigência é aquele atributo da lei que lhe confere plena disponibilidade para sua aplicação” (SABBAG, 2015, p. 631). </w:t>
      </w:r>
    </w:p>
    <w:p w:rsidR="005F02D1" w:rsidRDefault="005F02D1" w:rsidP="00FD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Isto é, “vigência é aptidão para incidir, vale dizer, para dar significação jurídica dos fatos [...] se a lei é vigente e ocorre a situação nela prevista como hipótese de incidência, inevitavelmente ela incide, a incidência é automática” (MACHADO, 2010, p. 92). </w:t>
      </w:r>
    </w:p>
    <w:p w:rsidR="00FD2E0B" w:rsidRDefault="00FD2E0B" w:rsidP="00FD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Ademais é mister que “quando a lei entra em vigor revela seu potencial para alcançar fatos e o seu desígnio para produzir efeitos jurídicos [...] a lei vigente é o esboço da realidade da norma incidente, como se fosse um rascunho ou borrão de um desenho que ainda está por vir, acompanhando aquele delineamento ali bosquejado” (SABBAG, 2015, p. 631).</w:t>
      </w:r>
    </w:p>
    <w:p w:rsidR="00FD2E0B" w:rsidRDefault="00FD2E0B" w:rsidP="00FD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salientar que para Paulo de Barros “a vigência é a propriedade das regras jurídicas que estão prontas para propagar efeitos, tão logo aconteçam, no mundo fático, os eventos que elas descrevem [...] há normas que existem e que, por conseguinte, são válidas no sistema, mas não dispõe dessa aptidão, dizemos que tais regras não tem vigor, seja porque já o perderam, seja porque ainda não o adquiriram” (CARVALHO, 2014, p. 117). </w:t>
      </w:r>
    </w:p>
    <w:p w:rsidR="00FD2E0B" w:rsidRDefault="00FD2E0B" w:rsidP="00FD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Ademais é mister que “a vigência não se confunde com a eficácia, uma norma pode estar em vigor e não apresentar eficácia técnica e igualmente não ostentar eficácia social, pode por outro lado, não estar em vigor, apresentando, porém, eficácia técnica e eficácia social” (CARVALHO, 2014, p. 117).</w:t>
      </w:r>
    </w:p>
    <w:p w:rsidR="002516E5" w:rsidRDefault="002516E5" w:rsidP="00FD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maneira “a duração da norma e seu campo de incidência é reconhecer que as normas jurídicas positivas existentes no mundo </w:t>
      </w:r>
      <w:proofErr w:type="spellStart"/>
      <w:r>
        <w:rPr>
          <w:rFonts w:ascii="Times New Roman" w:hAnsi="Times New Roman" w:cs="Times New Roman"/>
          <w:sz w:val="24"/>
          <w:szCs w:val="24"/>
        </w:rPr>
        <w:t>fonomênico</w:t>
      </w:r>
      <w:proofErr w:type="spellEnd"/>
      <w:r>
        <w:rPr>
          <w:rFonts w:ascii="Times New Roman" w:hAnsi="Times New Roman" w:cs="Times New Roman"/>
          <w:sz w:val="24"/>
          <w:szCs w:val="24"/>
        </w:rPr>
        <w:t xml:space="preserve"> não são perpétuas nem universais, mas temporais e particulares” (SABBAG, 2015, p. 631).</w:t>
      </w:r>
    </w:p>
    <w:p w:rsidR="00FD2E0B" w:rsidRDefault="00FD2E0B" w:rsidP="002516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Diante disso compreende-se que “a lei em vigor apenas exterioriza no arquétipo legal a aptidão para o ulterior alcance automático da norma, caso se materialize no plano fático a realidade jurídico-social normativamente prenunciada” (SABBAG, 2015, p. 632).</w:t>
      </w:r>
    </w:p>
    <w:p w:rsidR="002516E5" w:rsidRPr="00FD2E0B" w:rsidRDefault="002516E5" w:rsidP="002516E5">
      <w:pPr>
        <w:spacing w:after="0" w:line="360" w:lineRule="auto"/>
        <w:jc w:val="both"/>
        <w:rPr>
          <w:rFonts w:ascii="Times New Roman" w:hAnsi="Times New Roman" w:cs="Times New Roman"/>
          <w:sz w:val="24"/>
          <w:szCs w:val="24"/>
        </w:rPr>
      </w:pPr>
    </w:p>
    <w:p w:rsidR="00595613" w:rsidRDefault="00595613" w:rsidP="00DA47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980E5F">
        <w:rPr>
          <w:rFonts w:ascii="Times New Roman" w:hAnsi="Times New Roman" w:cs="Times New Roman"/>
          <w:b/>
          <w:sz w:val="24"/>
          <w:szCs w:val="24"/>
        </w:rPr>
        <w:t>Vigência no tempo e no espaço</w:t>
      </w:r>
    </w:p>
    <w:p w:rsidR="004D003D" w:rsidRDefault="004D003D" w:rsidP="00DA471F">
      <w:pPr>
        <w:spacing w:after="0" w:line="360" w:lineRule="auto"/>
        <w:jc w:val="both"/>
        <w:rPr>
          <w:rFonts w:ascii="Times New Roman" w:hAnsi="Times New Roman" w:cs="Times New Roman"/>
          <w:b/>
          <w:sz w:val="24"/>
          <w:szCs w:val="24"/>
        </w:rPr>
      </w:pPr>
    </w:p>
    <w:p w:rsidR="00E233E6" w:rsidRDefault="003C0737" w:rsidP="002516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tange</w:t>
      </w:r>
      <w:r w:rsidR="002516E5">
        <w:rPr>
          <w:rFonts w:ascii="Times New Roman" w:hAnsi="Times New Roman" w:cs="Times New Roman"/>
          <w:sz w:val="24"/>
          <w:szCs w:val="24"/>
        </w:rPr>
        <w:t xml:space="preserve"> à vigência no tempo Paulo de Barros</w:t>
      </w:r>
      <w:r w:rsidR="00B64DD0">
        <w:rPr>
          <w:rFonts w:ascii="Times New Roman" w:hAnsi="Times New Roman" w:cs="Times New Roman"/>
          <w:sz w:val="24"/>
          <w:szCs w:val="24"/>
        </w:rPr>
        <w:t xml:space="preserve"> (2014)</w:t>
      </w:r>
      <w:r w:rsidR="002516E5">
        <w:rPr>
          <w:rFonts w:ascii="Times New Roman" w:hAnsi="Times New Roman" w:cs="Times New Roman"/>
          <w:sz w:val="24"/>
          <w:szCs w:val="24"/>
        </w:rPr>
        <w:t xml:space="preserve"> destaca que “o vigor das leis, no tempo, está sob a diretriz genérica fixada pelo art. 1º da Lei de Introdução ao Código Civil [...] sendo assim as normas tributárias entram em vigor, salvo disposição em contrário, 45 dias após haverem sido publicadas, esse lapso temporal denomina-se </w:t>
      </w:r>
      <w:proofErr w:type="spellStart"/>
      <w:r w:rsidR="002516E5">
        <w:rPr>
          <w:rFonts w:ascii="Times New Roman" w:hAnsi="Times New Roman" w:cs="Times New Roman"/>
          <w:i/>
          <w:sz w:val="24"/>
          <w:szCs w:val="24"/>
        </w:rPr>
        <w:t>vacatio</w:t>
      </w:r>
      <w:proofErr w:type="spellEnd"/>
      <w:r w:rsidR="002516E5">
        <w:rPr>
          <w:rFonts w:ascii="Times New Roman" w:hAnsi="Times New Roman" w:cs="Times New Roman"/>
          <w:i/>
          <w:sz w:val="24"/>
          <w:szCs w:val="24"/>
        </w:rPr>
        <w:t xml:space="preserve"> legis</w:t>
      </w:r>
      <w:r w:rsidR="002516E5">
        <w:rPr>
          <w:rFonts w:ascii="Times New Roman" w:hAnsi="Times New Roman" w:cs="Times New Roman"/>
          <w:sz w:val="24"/>
          <w:szCs w:val="24"/>
        </w:rPr>
        <w:t>” (CARVALHO, 2014, p. 119).</w:t>
      </w:r>
      <w:r>
        <w:rPr>
          <w:rFonts w:ascii="Times New Roman" w:hAnsi="Times New Roman" w:cs="Times New Roman"/>
          <w:sz w:val="24"/>
          <w:szCs w:val="24"/>
        </w:rPr>
        <w:t xml:space="preserve"> </w:t>
      </w:r>
      <w:r w:rsidR="00E233E6">
        <w:rPr>
          <w:rFonts w:ascii="Times New Roman" w:hAnsi="Times New Roman" w:cs="Times New Roman"/>
          <w:sz w:val="24"/>
          <w:szCs w:val="24"/>
        </w:rPr>
        <w:t>Ademais, se faz mister que “quando a vigência da lei não coincide com a da publicação, o período que se intercala entre a publicação e a vigência é chamado de ‘</w:t>
      </w:r>
      <w:proofErr w:type="spellStart"/>
      <w:r w:rsidR="00E233E6">
        <w:rPr>
          <w:rFonts w:ascii="Times New Roman" w:hAnsi="Times New Roman" w:cs="Times New Roman"/>
          <w:sz w:val="24"/>
          <w:szCs w:val="24"/>
        </w:rPr>
        <w:t>vacatio</w:t>
      </w:r>
      <w:proofErr w:type="spellEnd"/>
      <w:r w:rsidR="00E233E6">
        <w:rPr>
          <w:rFonts w:ascii="Times New Roman" w:hAnsi="Times New Roman" w:cs="Times New Roman"/>
          <w:sz w:val="24"/>
          <w:szCs w:val="24"/>
        </w:rPr>
        <w:t xml:space="preserve"> legis’, isto é, vacância da lei” (SABBAG, 2015, p. 633).  </w:t>
      </w:r>
    </w:p>
    <w:p w:rsidR="00B64DD0" w:rsidRPr="00B64DD0" w:rsidRDefault="00B64DD0" w:rsidP="002516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ressaltar que “as normas tributárias que instituem ou majorem tributos [...] hão de respeitar outro limite, qual seja, aquele sobranceiramente enunciado no corpo do artigo 150, III, </w:t>
      </w:r>
      <w:r>
        <w:rPr>
          <w:rFonts w:ascii="Times New Roman" w:hAnsi="Times New Roman" w:cs="Times New Roman"/>
          <w:i/>
          <w:sz w:val="24"/>
          <w:szCs w:val="24"/>
        </w:rPr>
        <w:t>b</w:t>
      </w:r>
      <w:r>
        <w:rPr>
          <w:rFonts w:ascii="Times New Roman" w:hAnsi="Times New Roman" w:cs="Times New Roman"/>
          <w:sz w:val="24"/>
          <w:szCs w:val="24"/>
        </w:rPr>
        <w:t>, e que consiste na necessidade de terem sido publicadas antes do início do exercício financeiro em que se pretenda cobrar a exação” (CARVALHO, 2014, p. 119).</w:t>
      </w:r>
    </w:p>
    <w:p w:rsidR="003C0737" w:rsidRDefault="00012F6B" w:rsidP="002516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exposto,</w:t>
      </w:r>
      <w:r w:rsidR="003C0737">
        <w:rPr>
          <w:rFonts w:ascii="Times New Roman" w:hAnsi="Times New Roman" w:cs="Times New Roman"/>
          <w:sz w:val="24"/>
          <w:szCs w:val="24"/>
        </w:rPr>
        <w:t xml:space="preserve"> compreende-se que no que diz respeito a Emenda Constitucional </w:t>
      </w:r>
      <w:r w:rsidR="00E233E6">
        <w:rPr>
          <w:rFonts w:ascii="Times New Roman" w:hAnsi="Times New Roman" w:cs="Times New Roman"/>
          <w:sz w:val="24"/>
          <w:szCs w:val="24"/>
        </w:rPr>
        <w:t>87/15, de acordo com o próprio dispositivo artigo 3º a presente emenda é vigente desde sua publicação, no entanto, a mesma só alcançará</w:t>
      </w:r>
      <w:r w:rsidR="00B76933">
        <w:rPr>
          <w:rFonts w:ascii="Times New Roman" w:hAnsi="Times New Roman" w:cs="Times New Roman"/>
          <w:sz w:val="24"/>
          <w:szCs w:val="24"/>
        </w:rPr>
        <w:t xml:space="preserve"> os seus efeitos </w:t>
      </w:r>
      <w:r w:rsidR="00E233E6">
        <w:rPr>
          <w:rFonts w:ascii="Times New Roman" w:hAnsi="Times New Roman" w:cs="Times New Roman"/>
          <w:sz w:val="24"/>
          <w:szCs w:val="24"/>
        </w:rPr>
        <w:t>90 dias após o ano seguinte.</w:t>
      </w:r>
      <w:r w:rsidR="002516E5">
        <w:rPr>
          <w:rFonts w:ascii="Times New Roman" w:hAnsi="Times New Roman" w:cs="Times New Roman"/>
          <w:sz w:val="24"/>
          <w:szCs w:val="24"/>
        </w:rPr>
        <w:t xml:space="preserve"> </w:t>
      </w:r>
      <w:r>
        <w:rPr>
          <w:rFonts w:ascii="Times New Roman" w:hAnsi="Times New Roman" w:cs="Times New Roman"/>
          <w:sz w:val="24"/>
          <w:szCs w:val="24"/>
        </w:rPr>
        <w:t xml:space="preserve">Isso porque “essa norma, embora vigente, não incidirá sem que se respeite o princípio da anterioridade” </w:t>
      </w:r>
      <w:r w:rsidR="00B76933">
        <w:rPr>
          <w:rFonts w:ascii="Times New Roman" w:hAnsi="Times New Roman" w:cs="Times New Roman"/>
          <w:sz w:val="24"/>
          <w:szCs w:val="24"/>
        </w:rPr>
        <w:t>(SABBAG, 2015, p. 635).</w:t>
      </w:r>
    </w:p>
    <w:p w:rsidR="00AB6B3C" w:rsidRDefault="00012F6B" w:rsidP="007551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Cabe ainda ressaltar que “a vigência da lei cessa por duas formas: a) total pela revogação; e b) parcial pela derrogação [...] na revogação temos a cessação total dos efeitos pela lei revogadora [...] na derrogação temos a cessação parcial dos efeitos pela lei derrogadora, coexistindo está com a lei derrogada” (SABBAG, 2015, p. 636). </w:t>
      </w:r>
    </w:p>
    <w:p w:rsidR="00E233E6" w:rsidRDefault="00012F6B" w:rsidP="007551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Ademais é importante ressaltar que “na revogação, a lei perde, concomitantemente, a vigência e a eficácia, é uma lei morta</w:t>
      </w:r>
      <w:r w:rsidR="00755121">
        <w:rPr>
          <w:rFonts w:ascii="Times New Roman" w:hAnsi="Times New Roman" w:cs="Times New Roman"/>
          <w:sz w:val="24"/>
          <w:szCs w:val="24"/>
        </w:rPr>
        <w:t>, na derrogação, a lei perde a eficácia, momentaneamente para determinada situação, mas continua vigente, e por vez eficaz, para outras situações, é uma lei ferida, mas viva” (SABBAG,2015, p. 636).</w:t>
      </w:r>
    </w:p>
    <w:p w:rsidR="00B64DD0" w:rsidRDefault="002516E5" w:rsidP="002516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relação a vigência no espaço</w:t>
      </w:r>
      <w:r w:rsidR="00B76933">
        <w:rPr>
          <w:rFonts w:ascii="Times New Roman" w:hAnsi="Times New Roman" w:cs="Times New Roman"/>
          <w:sz w:val="24"/>
          <w:szCs w:val="24"/>
        </w:rPr>
        <w:t xml:space="preserve"> o doutrinador</w:t>
      </w:r>
      <w:r w:rsidR="00B64DD0">
        <w:rPr>
          <w:rFonts w:ascii="Times New Roman" w:hAnsi="Times New Roman" w:cs="Times New Roman"/>
          <w:sz w:val="24"/>
          <w:szCs w:val="24"/>
        </w:rPr>
        <w:t xml:space="preserve"> Hugo de Brito (2010) corrobora</w:t>
      </w:r>
      <w:r w:rsidR="008C522F">
        <w:rPr>
          <w:rFonts w:ascii="Times New Roman" w:hAnsi="Times New Roman" w:cs="Times New Roman"/>
          <w:sz w:val="24"/>
          <w:szCs w:val="24"/>
        </w:rPr>
        <w:t xml:space="preserve"> </w:t>
      </w:r>
      <w:r w:rsidR="003931EC">
        <w:rPr>
          <w:rFonts w:ascii="Times New Roman" w:hAnsi="Times New Roman" w:cs="Times New Roman"/>
          <w:sz w:val="24"/>
          <w:szCs w:val="24"/>
        </w:rPr>
        <w:t xml:space="preserve">dizendo que </w:t>
      </w:r>
      <w:r w:rsidR="008C522F">
        <w:rPr>
          <w:rFonts w:ascii="Times New Roman" w:hAnsi="Times New Roman" w:cs="Times New Roman"/>
          <w:sz w:val="24"/>
          <w:szCs w:val="24"/>
        </w:rPr>
        <w:t xml:space="preserve">“em regra, a legislação tributária vigora nos limites do território da pessoa jurídica que edita a norma [...] assim é que a legislação federal vigora em todo território nacional; a </w:t>
      </w:r>
      <w:r w:rsidR="008C522F">
        <w:rPr>
          <w:rFonts w:ascii="Times New Roman" w:hAnsi="Times New Roman" w:cs="Times New Roman"/>
          <w:sz w:val="24"/>
          <w:szCs w:val="24"/>
        </w:rPr>
        <w:lastRenderedPageBreak/>
        <w:t>legislação dos Estados e a legislação dos Municípios, no território de cada um deles” (MACHADO, 2010, p. 92).</w:t>
      </w:r>
      <w:r w:rsidR="00B64DD0">
        <w:rPr>
          <w:rFonts w:ascii="Times New Roman" w:hAnsi="Times New Roman" w:cs="Times New Roman"/>
          <w:sz w:val="24"/>
          <w:szCs w:val="24"/>
        </w:rPr>
        <w:t xml:space="preserve"> </w:t>
      </w:r>
    </w:p>
    <w:p w:rsidR="002516E5" w:rsidRDefault="002516E5" w:rsidP="002516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Eduardo </w:t>
      </w:r>
      <w:proofErr w:type="spellStart"/>
      <w:r>
        <w:rPr>
          <w:rFonts w:ascii="Times New Roman" w:hAnsi="Times New Roman" w:cs="Times New Roman"/>
          <w:sz w:val="24"/>
          <w:szCs w:val="24"/>
        </w:rPr>
        <w:t>Sabbag</w:t>
      </w:r>
      <w:proofErr w:type="spellEnd"/>
      <w:r>
        <w:rPr>
          <w:rFonts w:ascii="Times New Roman" w:hAnsi="Times New Roman" w:cs="Times New Roman"/>
          <w:sz w:val="24"/>
          <w:szCs w:val="24"/>
        </w:rPr>
        <w:t xml:space="preserve"> explana que “a legislação tributária submete-se ao princípio da territorialidade, assim, ela vale em tese, nos limites do território da pessoa jurídica que edita a norma” (SABBAG, 2015, p. 642).</w:t>
      </w:r>
    </w:p>
    <w:p w:rsidR="008C522F" w:rsidRDefault="00B76933" w:rsidP="002516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entanto se faz mister que “o Código Tributário Nacional admite a extraterritorialidade da norma tributária, excepcionalmente, desde que haja convênio entre as pessoas jurídicas de Direito Público interno interessadas</w:t>
      </w:r>
      <w:r w:rsidR="005F4BEE">
        <w:rPr>
          <w:rFonts w:ascii="Times New Roman" w:hAnsi="Times New Roman" w:cs="Times New Roman"/>
          <w:sz w:val="24"/>
          <w:szCs w:val="24"/>
        </w:rPr>
        <w:t xml:space="preserve">, ou desde que existam tratados ou convenções firmados pela União” (SABBAG, 2015, p. 643). </w:t>
      </w:r>
      <w:r w:rsidR="008C522F">
        <w:rPr>
          <w:rFonts w:ascii="Times New Roman" w:hAnsi="Times New Roman" w:cs="Times New Roman"/>
          <w:sz w:val="24"/>
          <w:szCs w:val="24"/>
        </w:rPr>
        <w:t>Dessa maneira “a legislação tributária dos Estados, do Distrito Federal e dos Municípios vigora, no pais, fora dos respectivos territórios, nos limites em que lhe reconheçam extraterritorialidade os convênios de que participem, ou do que disponha o próprio código” (MACHADO, 2010, p. 92).</w:t>
      </w:r>
    </w:p>
    <w:p w:rsidR="005F4BEE" w:rsidRDefault="00040573" w:rsidP="0004057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mister que a referida </w:t>
      </w:r>
      <w:r w:rsidR="005F4BEE">
        <w:rPr>
          <w:rFonts w:ascii="Times New Roman" w:hAnsi="Times New Roman" w:cs="Times New Roman"/>
          <w:sz w:val="24"/>
          <w:szCs w:val="24"/>
        </w:rPr>
        <w:t>exceção encontra respaldo no ar</w:t>
      </w:r>
      <w:r w:rsidR="008C522F">
        <w:rPr>
          <w:rFonts w:ascii="Times New Roman" w:hAnsi="Times New Roman" w:cs="Times New Roman"/>
          <w:sz w:val="24"/>
          <w:szCs w:val="24"/>
        </w:rPr>
        <w:t>tigo 102 do Código Tributário Nacional</w:t>
      </w:r>
      <w:r w:rsidR="005F4BEE">
        <w:rPr>
          <w:rFonts w:ascii="Times New Roman" w:hAnsi="Times New Roman" w:cs="Times New Roman"/>
          <w:sz w:val="24"/>
          <w:szCs w:val="24"/>
        </w:rPr>
        <w:t>, dessa forma “este artigo possibilita, de forma, excepcional, a aplicação de normas tributárias fora de seu território, admitindo assim, o caráter extraterritorial nos termos dos convênios ou em obediência ás leis complementares” (SABBAG, 2015, p. 643).</w:t>
      </w:r>
    </w:p>
    <w:p w:rsidR="002516E5" w:rsidRDefault="002516E5" w:rsidP="002516E5">
      <w:pPr>
        <w:spacing w:after="0" w:line="360" w:lineRule="auto"/>
        <w:ind w:firstLine="1134"/>
        <w:jc w:val="both"/>
        <w:rPr>
          <w:rFonts w:ascii="Times New Roman" w:hAnsi="Times New Roman" w:cs="Times New Roman"/>
          <w:b/>
          <w:sz w:val="24"/>
          <w:szCs w:val="24"/>
        </w:rPr>
      </w:pPr>
    </w:p>
    <w:p w:rsidR="00595613" w:rsidRDefault="00595613" w:rsidP="00DA4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 Vigência e o princípio da anterioridade</w:t>
      </w:r>
    </w:p>
    <w:p w:rsidR="004D003D" w:rsidRDefault="004D003D" w:rsidP="00DA471F">
      <w:pPr>
        <w:spacing w:after="0" w:line="360" w:lineRule="auto"/>
        <w:jc w:val="both"/>
        <w:rPr>
          <w:rFonts w:ascii="Times New Roman" w:hAnsi="Times New Roman" w:cs="Times New Roman"/>
          <w:sz w:val="24"/>
          <w:szCs w:val="24"/>
        </w:rPr>
      </w:pPr>
    </w:p>
    <w:p w:rsidR="003D3AFE" w:rsidRDefault="00040573" w:rsidP="0004057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tange o Princípio da Anterioridade é mister ressa</w:t>
      </w:r>
      <w:r w:rsidR="003D3AFE">
        <w:rPr>
          <w:rFonts w:ascii="Times New Roman" w:hAnsi="Times New Roman" w:cs="Times New Roman"/>
          <w:sz w:val="24"/>
          <w:szCs w:val="24"/>
        </w:rPr>
        <w:t xml:space="preserve">ltar que este dispositivo </w:t>
      </w:r>
      <w:r>
        <w:rPr>
          <w:rFonts w:ascii="Times New Roman" w:hAnsi="Times New Roman" w:cs="Times New Roman"/>
          <w:sz w:val="24"/>
          <w:szCs w:val="24"/>
        </w:rPr>
        <w:t>encontra previsão</w:t>
      </w:r>
      <w:r w:rsidR="003D3AFE">
        <w:rPr>
          <w:rFonts w:ascii="Times New Roman" w:hAnsi="Times New Roman" w:cs="Times New Roman"/>
          <w:sz w:val="24"/>
          <w:szCs w:val="24"/>
        </w:rPr>
        <w:t xml:space="preserve"> legal</w:t>
      </w:r>
      <w:r>
        <w:rPr>
          <w:rFonts w:ascii="Times New Roman" w:hAnsi="Times New Roman" w:cs="Times New Roman"/>
          <w:sz w:val="24"/>
          <w:szCs w:val="24"/>
        </w:rPr>
        <w:t xml:space="preserve"> no artigo 150, III, b da Constituição Federal, esse Princípio “proíbe a cobrança do tributo no mesmo exercício em que tenha sido publicada a lei que instituiu ou aumentou” (MACHADO, 2010, p. 95).</w:t>
      </w:r>
    </w:p>
    <w:p w:rsidR="00040573" w:rsidRDefault="003D3AFE" w:rsidP="0004057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É mister que “os respectivos tributos só serão exigíveis a partir do 1º dia útil do ano seguinte àquele em que for publicado tal lei [...] como é cediço, o princípio da anterioridade não alcança todas as leis tributárias, mas tão somente aquelas que instituem ou majore tributo” (SABBAG, 2015, p. 637).</w:t>
      </w:r>
    </w:p>
    <w:p w:rsidR="003D3AFE" w:rsidRDefault="003D3AFE" w:rsidP="0004057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entanto, cabe enfatizar que o Princípio da Anterioridade comporta exceções, isso porque “constituem exceções ao princípio da anterioridade</w:t>
      </w:r>
      <w:r w:rsidR="00823179">
        <w:rPr>
          <w:rFonts w:ascii="Times New Roman" w:hAnsi="Times New Roman" w:cs="Times New Roman"/>
          <w:sz w:val="24"/>
          <w:szCs w:val="24"/>
        </w:rPr>
        <w:t>, entre outras introduzidas por emendas constitucionais, as indicadas no § 1º do artigo 150 da Constituição Federal [...] constituem exceções a) importação de produtos estrangeiros, b) exportação para o exterior de produtos nacionais ou nacionalizados, c) produtos industrializados, d) operações de crédito, câmbio e seguro, f) imposto extraordinário de guerra” (MACHADO, 2010, p. 96).</w:t>
      </w:r>
    </w:p>
    <w:p w:rsidR="00905F7E" w:rsidRDefault="00905F7E" w:rsidP="00040573">
      <w:pPr>
        <w:spacing w:after="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lastRenderedPageBreak/>
        <w:t>Desta forma “essas são as hipóteses em que não se aplica o princípio da anterioridade [...] a lei que cria esses tributos ou os aumentam tem eficácia a partir da sua publicação, ou seja, no mesmo exercício financeiro da sua criação ou majoração” (</w:t>
      </w:r>
      <w:r w:rsidRPr="00905F7E">
        <w:rPr>
          <w:rFonts w:ascii="Times New Roman" w:hAnsi="Times New Roman" w:cs="Times New Roman"/>
          <w:bCs/>
          <w:sz w:val="24"/>
          <w:szCs w:val="24"/>
        </w:rPr>
        <w:t>PICOLIN</w:t>
      </w:r>
      <w:r>
        <w:rPr>
          <w:rFonts w:ascii="Times New Roman" w:hAnsi="Times New Roman" w:cs="Times New Roman"/>
          <w:bCs/>
          <w:sz w:val="24"/>
          <w:szCs w:val="24"/>
        </w:rPr>
        <w:t>, 2007, p. [?]).</w:t>
      </w:r>
    </w:p>
    <w:p w:rsidR="00905F7E" w:rsidRDefault="00905F7E" w:rsidP="0004057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É mister que “justifica-se a não-aplicação da anterioridade aos impostos com uma função nitidamente emergencial [...] não porém, para o imposto sobre os produtos industrializados que, embora tenha função extrafiscal no que diz respeito à seletividade, não exige alterações urgentes” (MACHADO, 2010, p. 97).</w:t>
      </w:r>
    </w:p>
    <w:p w:rsidR="00905F7E" w:rsidRDefault="00426113" w:rsidP="0004057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Ademais é mister que “não se aplica o princípio da anterioridade às contribuições de seguridade social, que podem ser cobradas após decorridos 90 dias da data da publicação da lei que houver instituído ou modificado” (MACHADO, 2010, p. 97).</w:t>
      </w:r>
    </w:p>
    <w:p w:rsidR="00426113" w:rsidRDefault="00426113" w:rsidP="0004057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Deste modo “se constata que a eficácia da lei que cria ou majora contribuição social só se torna exigível após 90 dias da publicação da respectiva lei [...] o princípio da anterioridade é direito fundamental muito embora não explicitado nos setenta e cinco incisos do artigo 5º da Constituição Federal, trata-se de direito implícito” (</w:t>
      </w:r>
      <w:r w:rsidRPr="00426113">
        <w:rPr>
          <w:rFonts w:ascii="Times New Roman" w:hAnsi="Times New Roman" w:cs="Times New Roman"/>
          <w:bCs/>
          <w:sz w:val="24"/>
          <w:szCs w:val="24"/>
        </w:rPr>
        <w:t>PICOLIN</w:t>
      </w:r>
      <w:r>
        <w:rPr>
          <w:rFonts w:ascii="Times New Roman" w:hAnsi="Times New Roman" w:cs="Times New Roman"/>
          <w:bCs/>
          <w:sz w:val="24"/>
          <w:szCs w:val="24"/>
        </w:rPr>
        <w:t>, 2007, p. [?]).</w:t>
      </w:r>
    </w:p>
    <w:p w:rsidR="00595613" w:rsidRDefault="00426113" w:rsidP="008B3D0C">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Dessa maneira “observa-se que o princípio da anterioridade da lei tributária é uma garantia que a Constituição oferece ao contribuinte </w:t>
      </w:r>
      <w:r w:rsidR="008B3D0C">
        <w:rPr>
          <w:rFonts w:ascii="Times New Roman" w:hAnsi="Times New Roman" w:cs="Times New Roman"/>
          <w:bCs/>
          <w:sz w:val="24"/>
          <w:szCs w:val="24"/>
        </w:rPr>
        <w:t xml:space="preserve">contra o Estado, limitando o poder de tributar a este inerente [...] assim, ele não se aplica às leis que extinguem ou reduzem tributos” (MACHADO, 2010, p. 97). </w:t>
      </w:r>
    </w:p>
    <w:p w:rsidR="00AB6B3C" w:rsidRDefault="00AB6B3C" w:rsidP="008B3D0C">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É mister que a anterioridade deve refletir um lapso temporal para que o cidadão possa antecipar a forma e os meios com os quais vai contribuir para o custeio coletivo das despesas da sociedade e não para que o governo possa exercer o seu poder arrecadador” (ARANHA, 2006, p. [?]).</w:t>
      </w:r>
    </w:p>
    <w:p w:rsidR="008B3D0C" w:rsidRPr="008B3D0C" w:rsidRDefault="008B3D0C" w:rsidP="008B3D0C">
      <w:pPr>
        <w:spacing w:after="0" w:line="360" w:lineRule="auto"/>
        <w:ind w:firstLine="1134"/>
        <w:jc w:val="both"/>
        <w:rPr>
          <w:rFonts w:ascii="Times New Roman" w:hAnsi="Times New Roman" w:cs="Times New Roman"/>
          <w:bCs/>
          <w:sz w:val="24"/>
          <w:szCs w:val="24"/>
        </w:rPr>
      </w:pPr>
    </w:p>
    <w:p w:rsidR="00595613" w:rsidRDefault="00595613" w:rsidP="00DA47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A74702">
        <w:rPr>
          <w:rFonts w:ascii="Times New Roman" w:hAnsi="Times New Roman" w:cs="Times New Roman"/>
          <w:b/>
          <w:sz w:val="24"/>
          <w:szCs w:val="24"/>
        </w:rPr>
        <w:t>Vigência do ICMS a partir do advento da EC 87/15</w:t>
      </w:r>
    </w:p>
    <w:p w:rsidR="004D003D" w:rsidRDefault="004D003D" w:rsidP="00DA471F">
      <w:pPr>
        <w:spacing w:after="0" w:line="360" w:lineRule="auto"/>
        <w:jc w:val="both"/>
        <w:rPr>
          <w:rFonts w:ascii="Times New Roman" w:hAnsi="Times New Roman" w:cs="Times New Roman"/>
          <w:b/>
          <w:sz w:val="24"/>
          <w:szCs w:val="24"/>
        </w:rPr>
      </w:pPr>
    </w:p>
    <w:p w:rsidR="00E05AB9" w:rsidRDefault="00782183" w:rsidP="00E05AB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uma ampla compreensão acerca do tema em análise, se faz</w:t>
      </w:r>
      <w:r w:rsidR="006E1DB9">
        <w:rPr>
          <w:rFonts w:ascii="Times New Roman" w:hAnsi="Times New Roman" w:cs="Times New Roman"/>
          <w:sz w:val="24"/>
          <w:szCs w:val="24"/>
        </w:rPr>
        <w:t xml:space="preserve"> mister conceituar </w:t>
      </w:r>
      <w:r>
        <w:rPr>
          <w:rFonts w:ascii="Times New Roman" w:hAnsi="Times New Roman" w:cs="Times New Roman"/>
          <w:sz w:val="24"/>
          <w:szCs w:val="24"/>
        </w:rPr>
        <w:t>o Imposto sobre Circulação de Mercadorias e Prestação de Serviços (ICMS), dessa maneira é</w:t>
      </w:r>
      <w:r w:rsidR="00E05AB9">
        <w:rPr>
          <w:rFonts w:ascii="Times New Roman" w:hAnsi="Times New Roman" w:cs="Times New Roman"/>
          <w:sz w:val="24"/>
          <w:szCs w:val="24"/>
        </w:rPr>
        <w:t xml:space="preserve"> sabido que o ICMS trata-se de um imposto estadual que possui como fatos geradores “a circulação</w:t>
      </w:r>
      <w:r w:rsidR="007D293A">
        <w:rPr>
          <w:rFonts w:ascii="Times New Roman" w:hAnsi="Times New Roman" w:cs="Times New Roman"/>
          <w:sz w:val="24"/>
          <w:szCs w:val="24"/>
        </w:rPr>
        <w:t xml:space="preserve"> de mercadoria, a prestação do serviço de transporte e a prestação do serviço de comunicação</w:t>
      </w:r>
      <w:r w:rsidR="00E05AB9">
        <w:rPr>
          <w:rFonts w:ascii="Times New Roman" w:hAnsi="Times New Roman" w:cs="Times New Roman"/>
          <w:sz w:val="24"/>
          <w:szCs w:val="24"/>
        </w:rPr>
        <w:t xml:space="preserve">” (SABBAG, 2015, p. 1061). </w:t>
      </w:r>
    </w:p>
    <w:p w:rsidR="006E1DB9" w:rsidRDefault="006E1DB9" w:rsidP="00516FA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tange a Emenda Constit</w:t>
      </w:r>
      <w:r w:rsidR="00207277">
        <w:rPr>
          <w:rFonts w:ascii="Times New Roman" w:hAnsi="Times New Roman" w:cs="Times New Roman"/>
          <w:sz w:val="24"/>
          <w:szCs w:val="24"/>
        </w:rPr>
        <w:t>ucional</w:t>
      </w:r>
      <w:r w:rsidR="00516FA5">
        <w:rPr>
          <w:rFonts w:ascii="Times New Roman" w:hAnsi="Times New Roman" w:cs="Times New Roman"/>
          <w:sz w:val="24"/>
          <w:szCs w:val="24"/>
        </w:rPr>
        <w:t xml:space="preserve"> é mister que “a EC alterou o § 2º do artigo 155 da CF/88 e incluiu o artigo 99 no ADCT tara tratar da sistemática de cobrança do ICMS </w:t>
      </w:r>
      <w:r w:rsidR="00516FA5">
        <w:rPr>
          <w:rFonts w:ascii="Times New Roman" w:hAnsi="Times New Roman" w:cs="Times New Roman"/>
          <w:sz w:val="24"/>
          <w:szCs w:val="24"/>
        </w:rPr>
        <w:lastRenderedPageBreak/>
        <w:t>incidente sobre as operações e prestações que destinem bens e serviços a consumidor final, contribuinte ou não do imposto” (ALUISIO NETO, 2015, p. [?]). Dessa forma compreende-se que a EC</w:t>
      </w:r>
      <w:r w:rsidR="00207277">
        <w:rPr>
          <w:rFonts w:ascii="Times New Roman" w:hAnsi="Times New Roman" w:cs="Times New Roman"/>
          <w:sz w:val="24"/>
          <w:szCs w:val="24"/>
        </w:rPr>
        <w:t xml:space="preserve"> 87/15 é mister que a referida </w:t>
      </w:r>
      <w:r>
        <w:rPr>
          <w:rFonts w:ascii="Times New Roman" w:hAnsi="Times New Roman" w:cs="Times New Roman"/>
          <w:sz w:val="24"/>
          <w:szCs w:val="24"/>
        </w:rPr>
        <w:t>emenda “alterou de a forma de repartição do ICMS entre os Estados de Origem e Destino da Mercadora, introduzindo o diferencial de alíquotas nas operações de venda, através de comercio eletrônico para não contribuintes” (ANTONIO, 2015, p. [?]).</w:t>
      </w:r>
    </w:p>
    <w:p w:rsidR="00797886" w:rsidRDefault="007D293A" w:rsidP="00516FA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mister que q</w:t>
      </w:r>
      <w:r w:rsidR="00E05AB9">
        <w:rPr>
          <w:rFonts w:ascii="Times New Roman" w:hAnsi="Times New Roman" w:cs="Times New Roman"/>
          <w:sz w:val="24"/>
          <w:szCs w:val="24"/>
        </w:rPr>
        <w:t xml:space="preserve">uando se tratava de vendas entre estados distintos o antigo texto constitucional em seu artigo 155, §2º, VII fazia distinção entre o destinatário ser contribuinte ou não do imposto, isso porque se o destinatário não for contribuinte “o imposto caberá integralmente ao estado de origem da operação, devendo ser calculado pela alíquota interna do estado de origem” (SABBAG, 2015, p. 1067). Mas se o destinatário for contribuinte da mercadoria “o imposto caberá aos Estados de origem e de destino” (SABBAG, 2015, p. 1068). </w:t>
      </w:r>
    </w:p>
    <w:p w:rsidR="00516FA5" w:rsidRDefault="00516FA5" w:rsidP="00516FA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ressaltar que c</w:t>
      </w:r>
      <w:r w:rsidRPr="00800CB7">
        <w:rPr>
          <w:rFonts w:ascii="Times New Roman" w:hAnsi="Times New Roman" w:cs="Times New Roman"/>
          <w:sz w:val="24"/>
          <w:szCs w:val="24"/>
        </w:rPr>
        <w:t>om o advento da edição desta Emenda Constitucional</w:t>
      </w:r>
      <w:r>
        <w:rPr>
          <w:rFonts w:ascii="Times New Roman" w:hAnsi="Times New Roman" w:cs="Times New Roman"/>
          <w:sz w:val="24"/>
          <w:szCs w:val="24"/>
        </w:rPr>
        <w:t xml:space="preserve"> a qual a pesar de já ser vigente</w:t>
      </w:r>
      <w:r w:rsidRPr="00800CB7">
        <w:rPr>
          <w:rFonts w:ascii="Times New Roman" w:hAnsi="Times New Roman" w:cs="Times New Roman"/>
          <w:sz w:val="24"/>
          <w:szCs w:val="24"/>
        </w:rPr>
        <w:t>,</w:t>
      </w:r>
      <w:r>
        <w:rPr>
          <w:rFonts w:ascii="Times New Roman" w:hAnsi="Times New Roman" w:cs="Times New Roman"/>
          <w:sz w:val="24"/>
          <w:szCs w:val="24"/>
        </w:rPr>
        <w:t xml:space="preserve"> mas que em decorrência do Princípio da Anterioridade só terá aplicabilidade a parti de 2016,</w:t>
      </w:r>
      <w:r w:rsidRPr="00800CB7">
        <w:rPr>
          <w:rFonts w:ascii="Times New Roman" w:hAnsi="Times New Roman" w:cs="Times New Roman"/>
          <w:sz w:val="24"/>
          <w:szCs w:val="24"/>
        </w:rPr>
        <w:t xml:space="preserve"> o </w:t>
      </w:r>
      <w:r w:rsidRPr="00800CB7">
        <w:rPr>
          <w:rFonts w:ascii="Times New Roman" w:hAnsi="Times New Roman" w:cs="Times New Roman"/>
          <w:color w:val="000000"/>
          <w:sz w:val="24"/>
          <w:szCs w:val="24"/>
        </w:rPr>
        <w:t xml:space="preserve">Estado destino passou a </w:t>
      </w:r>
      <w:r w:rsidRPr="00EC40A6">
        <w:rPr>
          <w:rFonts w:ascii="Times New Roman" w:hAnsi="Times New Roman" w:cs="Times New Roman"/>
          <w:sz w:val="24"/>
          <w:szCs w:val="24"/>
        </w:rPr>
        <w:t xml:space="preserve">ter participação do ICMS, sendo ou não o contribuinte consumidor final. </w:t>
      </w:r>
      <w:r>
        <w:rPr>
          <w:rFonts w:ascii="Times New Roman" w:hAnsi="Times New Roman" w:cs="Times New Roman"/>
          <w:sz w:val="24"/>
          <w:szCs w:val="24"/>
        </w:rPr>
        <w:t>É sabido que tal emenda trata-se</w:t>
      </w:r>
      <w:r w:rsidRPr="00EC40A6">
        <w:rPr>
          <w:rFonts w:ascii="Times New Roman" w:hAnsi="Times New Roman" w:cs="Times New Roman"/>
          <w:sz w:val="24"/>
          <w:szCs w:val="24"/>
        </w:rPr>
        <w:t xml:space="preserve"> de uma inovação na arrecadação de receita para os Estados, uma vez que contribuiu significativamente para uma melhora na partilha dos tributos.</w:t>
      </w:r>
    </w:p>
    <w:p w:rsidR="00E05AB9" w:rsidRPr="00460EEC" w:rsidRDefault="00207277" w:rsidP="0079788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ressaltar que a</w:t>
      </w:r>
      <w:r w:rsidR="007D293A">
        <w:rPr>
          <w:rFonts w:ascii="Times New Roman" w:hAnsi="Times New Roman" w:cs="Times New Roman"/>
          <w:sz w:val="24"/>
          <w:szCs w:val="24"/>
        </w:rPr>
        <w:t xml:space="preserve"> </w:t>
      </w:r>
      <w:r w:rsidR="00E05AB9">
        <w:rPr>
          <w:rFonts w:ascii="Times New Roman" w:hAnsi="Times New Roman" w:cs="Times New Roman"/>
          <w:sz w:val="24"/>
          <w:szCs w:val="24"/>
        </w:rPr>
        <w:t>Emenda Constitucional 87/15 apenas produzirá seus efeitos, isto é terá aplicação da legislação tributária a partir de 2016, isso porque, o advento da edição de tal emenda constitucional poderá trazer aumento da carga tributária para determinados lugares, e em respeito d</w:t>
      </w:r>
      <w:r>
        <w:rPr>
          <w:rFonts w:ascii="Times New Roman" w:hAnsi="Times New Roman" w:cs="Times New Roman"/>
          <w:sz w:val="24"/>
          <w:szCs w:val="24"/>
        </w:rPr>
        <w:t>o Princípio da Anterioridade o qual assevera que se “proíbe a cobrança do tributo no mesmo exercício em que tenha sido publicada a lei que instituiu ou aumentou” (MACHADO, 2010, p. 95).</w:t>
      </w:r>
      <w:r w:rsidR="00797886">
        <w:rPr>
          <w:rFonts w:ascii="Times New Roman" w:hAnsi="Times New Roman" w:cs="Times New Roman"/>
          <w:sz w:val="24"/>
          <w:szCs w:val="24"/>
        </w:rPr>
        <w:t xml:space="preserve"> Dessa maneira compreende-se que</w:t>
      </w:r>
      <w:r w:rsidR="00E05AB9">
        <w:rPr>
          <w:rFonts w:ascii="Times New Roman" w:hAnsi="Times New Roman" w:cs="Times New Roman"/>
          <w:sz w:val="24"/>
          <w:szCs w:val="24"/>
        </w:rPr>
        <w:t xml:space="preserve"> não se pode aumentar e cobrar tributo no mesmo ano, visto que as pessoas precisam de certa antecedência para colocarem a incidência de tal imposto em seus orçamentos.</w:t>
      </w:r>
    </w:p>
    <w:p w:rsidR="00E05AB9" w:rsidRDefault="00E05AB9" w:rsidP="00E05AB9">
      <w:pPr>
        <w:spacing w:after="0" w:line="360" w:lineRule="auto"/>
        <w:ind w:firstLine="1134"/>
        <w:jc w:val="both"/>
        <w:rPr>
          <w:rFonts w:ascii="Times New Roman" w:hAnsi="Times New Roman" w:cs="Times New Roman"/>
          <w:b/>
          <w:sz w:val="24"/>
          <w:szCs w:val="24"/>
        </w:rPr>
      </w:pPr>
      <w:r w:rsidRPr="00800CB7">
        <w:rPr>
          <w:rFonts w:ascii="Times New Roman" w:hAnsi="Times New Roman" w:cs="Times New Roman"/>
          <w:sz w:val="24"/>
          <w:szCs w:val="24"/>
        </w:rPr>
        <w:t xml:space="preserve">É mister salientar que, pela antiga redação do artigo 155, § 2º, VII e VIII a arrecadação do ICMS no que se referia ao consumidor final residente em outro estado era destinada preponderantemente ao estado origem. </w:t>
      </w:r>
    </w:p>
    <w:p w:rsidR="00E05AB9" w:rsidRPr="00D4379D" w:rsidRDefault="00307A0A" w:rsidP="00E05AB9">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É sabido que </w:t>
      </w:r>
      <w:r w:rsidR="00E05AB9" w:rsidRPr="00446DEC">
        <w:rPr>
          <w:rFonts w:ascii="Times New Roman" w:hAnsi="Times New Roman" w:cs="Times New Roman"/>
          <w:sz w:val="24"/>
          <w:szCs w:val="24"/>
        </w:rPr>
        <w:t>que essa mudança</w:t>
      </w:r>
      <w:r>
        <w:rPr>
          <w:rFonts w:ascii="Times New Roman" w:hAnsi="Times New Roman" w:cs="Times New Roman"/>
          <w:sz w:val="24"/>
          <w:szCs w:val="24"/>
        </w:rPr>
        <w:t xml:space="preserve"> estabelecida pela Emenda Constitucional 87/15</w:t>
      </w:r>
      <w:r w:rsidR="00E05AB9" w:rsidRPr="00446DEC">
        <w:rPr>
          <w:rFonts w:ascii="Times New Roman" w:hAnsi="Times New Roman" w:cs="Times New Roman"/>
          <w:sz w:val="24"/>
          <w:szCs w:val="24"/>
        </w:rPr>
        <w:t xml:space="preserve"> se dará de forma gradual, pois a mesma EC 87/15 inseriu o </w:t>
      </w:r>
      <w:r w:rsidR="00E05AB9" w:rsidRPr="00446DEC">
        <w:rPr>
          <w:rFonts w:ascii="Times New Roman" w:hAnsi="Times New Roman" w:cs="Times New Roman"/>
          <w:spacing w:val="2"/>
          <w:sz w:val="24"/>
          <w:szCs w:val="24"/>
        </w:rPr>
        <w:t xml:space="preserve">Art. 99 nos Atos das Disposições Constitucionais Transitórias (ADCT) o qual assevera um aumento de 20% para o Estado </w:t>
      </w:r>
      <w:r w:rsidR="00E05AB9" w:rsidRPr="00446DEC">
        <w:rPr>
          <w:rFonts w:ascii="Times New Roman" w:hAnsi="Times New Roman" w:cs="Times New Roman"/>
          <w:spacing w:val="2"/>
          <w:sz w:val="24"/>
          <w:szCs w:val="24"/>
        </w:rPr>
        <w:lastRenderedPageBreak/>
        <w:t>destino ao ano, começando em 2015 a 2019, ano em que 100% do ICMS será destinado ao Estado destino.</w:t>
      </w:r>
    </w:p>
    <w:p w:rsidR="00E05AB9" w:rsidRDefault="00E05AB9" w:rsidP="00E05AB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w:t>
      </w:r>
      <w:r w:rsidR="00307A0A">
        <w:rPr>
          <w:rFonts w:ascii="Times New Roman" w:hAnsi="Times New Roman" w:cs="Times New Roman"/>
          <w:sz w:val="24"/>
          <w:szCs w:val="24"/>
        </w:rPr>
        <w:t xml:space="preserve"> ressaltar que tal emenda</w:t>
      </w:r>
      <w:r>
        <w:rPr>
          <w:rFonts w:ascii="Times New Roman" w:hAnsi="Times New Roman" w:cs="Times New Roman"/>
          <w:sz w:val="24"/>
          <w:szCs w:val="24"/>
        </w:rPr>
        <w:t xml:space="preserve"> </w:t>
      </w:r>
      <w:r w:rsidRPr="001B4EE5">
        <w:rPr>
          <w:rFonts w:ascii="Times New Roman" w:hAnsi="Times New Roman" w:cs="Times New Roman"/>
          <w:sz w:val="24"/>
          <w:szCs w:val="24"/>
        </w:rPr>
        <w:t xml:space="preserve">“visa </w:t>
      </w:r>
      <w:r>
        <w:rPr>
          <w:rFonts w:ascii="Times New Roman" w:hAnsi="Times New Roman" w:cs="Times New Roman"/>
          <w:sz w:val="24"/>
          <w:szCs w:val="24"/>
        </w:rPr>
        <w:t>beneficiar</w:t>
      </w:r>
      <w:r w:rsidRPr="001B4EE5">
        <w:rPr>
          <w:rFonts w:ascii="Times New Roman" w:hAnsi="Times New Roman" w:cs="Times New Roman"/>
          <w:sz w:val="24"/>
          <w:szCs w:val="24"/>
        </w:rPr>
        <w:t xml:space="preserve"> o Estado que recebe a mercadoria (destinatário), já que antes o imposto fica</w:t>
      </w:r>
      <w:r>
        <w:rPr>
          <w:rFonts w:ascii="Times New Roman" w:hAnsi="Times New Roman" w:cs="Times New Roman"/>
          <w:sz w:val="24"/>
          <w:szCs w:val="24"/>
        </w:rPr>
        <w:t>va todo para o Estado remetente, d</w:t>
      </w:r>
      <w:r w:rsidRPr="001B4EE5">
        <w:rPr>
          <w:rFonts w:ascii="Times New Roman" w:hAnsi="Times New Roman" w:cs="Times New Roman"/>
          <w:sz w:val="24"/>
          <w:szCs w:val="24"/>
        </w:rPr>
        <w:t>esta forma traz um equilíbrio maior e equipara as operações de vendas interestadua</w:t>
      </w:r>
      <w:r>
        <w:rPr>
          <w:rFonts w:ascii="Times New Roman" w:hAnsi="Times New Roman" w:cs="Times New Roman"/>
          <w:sz w:val="24"/>
          <w:szCs w:val="24"/>
        </w:rPr>
        <w:t>is” (ANTONIO, 2015, p. [?]).</w:t>
      </w:r>
      <w:r w:rsidR="00195780">
        <w:rPr>
          <w:rFonts w:ascii="Times New Roman" w:hAnsi="Times New Roman" w:cs="Times New Roman"/>
          <w:sz w:val="24"/>
          <w:szCs w:val="24"/>
        </w:rPr>
        <w:t xml:space="preserve"> Em resumo, é mister que a referida Emenda Constitucional </w:t>
      </w:r>
      <w:r w:rsidR="00516FA5">
        <w:rPr>
          <w:rFonts w:ascii="Times New Roman" w:hAnsi="Times New Roman" w:cs="Times New Roman"/>
          <w:sz w:val="24"/>
          <w:szCs w:val="24"/>
        </w:rPr>
        <w:t xml:space="preserve">possibilitou que </w:t>
      </w:r>
      <w:r w:rsidR="00195780">
        <w:rPr>
          <w:rFonts w:ascii="Times New Roman" w:hAnsi="Times New Roman" w:cs="Times New Roman"/>
          <w:sz w:val="24"/>
          <w:szCs w:val="24"/>
        </w:rPr>
        <w:t>“</w:t>
      </w:r>
      <w:r w:rsidR="00516FA5">
        <w:rPr>
          <w:rFonts w:ascii="Times New Roman" w:hAnsi="Times New Roman" w:cs="Times New Roman"/>
          <w:sz w:val="24"/>
          <w:szCs w:val="24"/>
        </w:rPr>
        <w:t>a totalidade do recolhimento do ICMS incidente sobre o comércio eletrônico deixará de ser recolhido em sua totalidade aos Estados de origem e passará, até 2019, a ser destinado também ao Estado de destino das mercadorias” (ALUISIO NETO, 2015, p[?]).</w:t>
      </w:r>
    </w:p>
    <w:p w:rsidR="00E05AB9" w:rsidRDefault="00E05AB9" w:rsidP="00E05AB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Ademais,</w:t>
      </w:r>
      <w:r w:rsidR="00307A0A">
        <w:rPr>
          <w:rFonts w:ascii="Times New Roman" w:hAnsi="Times New Roman" w:cs="Times New Roman"/>
          <w:sz w:val="24"/>
          <w:szCs w:val="24"/>
        </w:rPr>
        <w:t xml:space="preserve"> é mister que</w:t>
      </w:r>
      <w:r>
        <w:rPr>
          <w:rFonts w:ascii="Times New Roman" w:hAnsi="Times New Roman" w:cs="Times New Roman"/>
          <w:sz w:val="24"/>
          <w:szCs w:val="24"/>
        </w:rPr>
        <w:t xml:space="preserve"> com a redação anterior a Emenda Constitucional, Camargo e </w:t>
      </w:r>
      <w:proofErr w:type="spellStart"/>
      <w:r>
        <w:rPr>
          <w:rFonts w:ascii="Times New Roman" w:hAnsi="Times New Roman" w:cs="Times New Roman"/>
          <w:sz w:val="24"/>
          <w:szCs w:val="24"/>
        </w:rPr>
        <w:t>Predolim</w:t>
      </w:r>
      <w:proofErr w:type="spellEnd"/>
      <w:r>
        <w:rPr>
          <w:rFonts w:ascii="Times New Roman" w:hAnsi="Times New Roman" w:cs="Times New Roman"/>
          <w:sz w:val="24"/>
          <w:szCs w:val="24"/>
        </w:rPr>
        <w:t xml:space="preserve"> afirmam que:</w:t>
      </w:r>
    </w:p>
    <w:p w:rsidR="00E05AB9" w:rsidRDefault="00E05AB9" w:rsidP="00E05AB9">
      <w:pPr>
        <w:ind w:left="2268"/>
        <w:jc w:val="both"/>
        <w:rPr>
          <w:rFonts w:ascii="Times New Roman" w:hAnsi="Times New Roman" w:cs="Times New Roman"/>
          <w:sz w:val="20"/>
          <w:szCs w:val="20"/>
        </w:rPr>
      </w:pPr>
      <w:r w:rsidRPr="00460EEC">
        <w:rPr>
          <w:rFonts w:ascii="Times New Roman" w:hAnsi="Times New Roman" w:cs="Times New Roman"/>
          <w:sz w:val="20"/>
          <w:szCs w:val="20"/>
        </w:rPr>
        <w:t>Para os estados que na maioria das vezes são consumidores somente, há um prejuízo. Isto porque não recebem o tributo na transação comercial em si, e mais, não têm a movimentação interna de mercadorias, não gerando novos impostos, diminuindo o mercado local. (</w:t>
      </w:r>
      <w:r>
        <w:rPr>
          <w:rFonts w:ascii="Times New Roman" w:hAnsi="Times New Roman" w:cs="Times New Roman"/>
          <w:sz w:val="20"/>
          <w:szCs w:val="20"/>
        </w:rPr>
        <w:t xml:space="preserve">CAMARGO; PREDOLIM. Disponível </w:t>
      </w:r>
      <w:r w:rsidRPr="00460EEC">
        <w:rPr>
          <w:rFonts w:ascii="Times New Roman" w:hAnsi="Times New Roman" w:cs="Times New Roman"/>
          <w:sz w:val="20"/>
          <w:szCs w:val="20"/>
        </w:rPr>
        <w:t xml:space="preserve">em: </w:t>
      </w:r>
      <w:hyperlink r:id="rId7" w:history="1">
        <w:r w:rsidRPr="00460EEC">
          <w:rPr>
            <w:rStyle w:val="Hyperlink"/>
            <w:rFonts w:ascii="Times New Roman" w:hAnsi="Times New Roman" w:cs="Times New Roman"/>
            <w:color w:val="auto"/>
            <w:sz w:val="20"/>
            <w:szCs w:val="20"/>
            <w:u w:val="none"/>
          </w:rPr>
          <w:t>www.migalhas.com.br/dePeso/16,MI220353,31047EC+8715+O+que+muda+no+ICMS+para+as+vendas+online</w:t>
        </w:r>
      </w:hyperlink>
      <w:r w:rsidRPr="00460EEC">
        <w:rPr>
          <w:rFonts w:ascii="Times New Roman" w:hAnsi="Times New Roman" w:cs="Times New Roman"/>
          <w:sz w:val="20"/>
          <w:szCs w:val="20"/>
        </w:rPr>
        <w:t>. Acesso em 1 set, 2015).</w:t>
      </w:r>
    </w:p>
    <w:p w:rsidR="00D016A2" w:rsidRDefault="00E05AB9" w:rsidP="00D016A2">
      <w:pPr>
        <w:spacing w:line="360" w:lineRule="auto"/>
        <w:ind w:firstLine="1134"/>
        <w:jc w:val="both"/>
        <w:rPr>
          <w:rFonts w:ascii="Times New Roman" w:hAnsi="Times New Roman" w:cs="Times New Roman"/>
          <w:sz w:val="24"/>
          <w:szCs w:val="24"/>
        </w:rPr>
      </w:pPr>
      <w:r w:rsidRPr="000A4176">
        <w:rPr>
          <w:rFonts w:ascii="Times New Roman" w:hAnsi="Times New Roman" w:cs="Times New Roman"/>
          <w:sz w:val="24"/>
          <w:szCs w:val="24"/>
        </w:rPr>
        <w:t>Contudo, Velloso</w:t>
      </w:r>
      <w:r>
        <w:rPr>
          <w:rFonts w:ascii="Times New Roman" w:hAnsi="Times New Roman" w:cs="Times New Roman"/>
          <w:sz w:val="24"/>
          <w:szCs w:val="24"/>
        </w:rPr>
        <w:t xml:space="preserve"> defende que </w:t>
      </w:r>
      <w:r w:rsidRPr="000A4176">
        <w:rPr>
          <w:rFonts w:ascii="Times New Roman" w:hAnsi="Times New Roman" w:cs="Times New Roman"/>
          <w:sz w:val="24"/>
          <w:szCs w:val="24"/>
        </w:rPr>
        <w:t>“</w:t>
      </w:r>
      <w:r>
        <w:rPr>
          <w:rFonts w:ascii="Times New Roman" w:hAnsi="Times New Roman" w:cs="Times New Roman"/>
          <w:sz w:val="24"/>
          <w:szCs w:val="24"/>
        </w:rPr>
        <w:t xml:space="preserve">a </w:t>
      </w:r>
      <w:r w:rsidRPr="000A4176">
        <w:rPr>
          <w:rFonts w:ascii="Times New Roman" w:hAnsi="Times New Roman" w:cs="Times New Roman"/>
          <w:sz w:val="24"/>
          <w:szCs w:val="24"/>
        </w:rPr>
        <w:t>EC</w:t>
      </w:r>
      <w:r>
        <w:rPr>
          <w:rFonts w:ascii="Times New Roman" w:hAnsi="Times New Roman" w:cs="Times New Roman"/>
          <w:sz w:val="24"/>
          <w:szCs w:val="24"/>
        </w:rPr>
        <w:t xml:space="preserve"> instaurou</w:t>
      </w:r>
      <w:r w:rsidRPr="000A4176">
        <w:rPr>
          <w:rFonts w:ascii="Times New Roman" w:hAnsi="Times New Roman" w:cs="Times New Roman"/>
          <w:sz w:val="24"/>
          <w:szCs w:val="24"/>
        </w:rPr>
        <w:t>, um problema atinente à repartição de receitas financeiras e ao princípio da anterioridade. Por força desse princípio, as alterações gravosas do ICMS somente podem ser aplicadas no exercício financeiro subsequente à publicação da emenda constitucional correlata” (VELLOSO, 2015, p. [?]).</w:t>
      </w:r>
      <w:r>
        <w:rPr>
          <w:rFonts w:ascii="Times New Roman" w:hAnsi="Times New Roman" w:cs="Times New Roman"/>
          <w:sz w:val="24"/>
          <w:szCs w:val="24"/>
        </w:rPr>
        <w:t xml:space="preserve"> </w:t>
      </w:r>
    </w:p>
    <w:p w:rsidR="00E05AB9" w:rsidRDefault="00E05AB9" w:rsidP="00D016A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Isso porque o Princípio da Anterioridade sustenta que “a lei que crie ou aumente o tributo seja anterior ao exercício financeiro em que o tributo será cobrado [...] que se observe a antecedência mínima de 90 dias entre a data de publicação da lei que o instituiu ou aumentou e a data que passa a aplicar-se” (SABBAG, 2015, p. 94).</w:t>
      </w:r>
    </w:p>
    <w:p w:rsidR="00E05AB9" w:rsidRDefault="00E05AB9" w:rsidP="009C105F">
      <w:pPr>
        <w:spacing w:line="360" w:lineRule="auto"/>
        <w:ind w:firstLine="1134"/>
        <w:jc w:val="both"/>
        <w:rPr>
          <w:rFonts w:ascii="Times New Roman" w:hAnsi="Times New Roman" w:cs="Times New Roman"/>
          <w:sz w:val="24"/>
          <w:szCs w:val="24"/>
        </w:rPr>
      </w:pPr>
      <w:r w:rsidRPr="009A124D">
        <w:rPr>
          <w:rFonts w:ascii="Times New Roman" w:hAnsi="Times New Roman" w:cs="Times New Roman"/>
          <w:sz w:val="24"/>
          <w:szCs w:val="24"/>
        </w:rPr>
        <w:t>É respeitando esse Princípio que Antônio sustenta que “Essa mudança</w:t>
      </w:r>
      <w:r>
        <w:rPr>
          <w:rFonts w:ascii="Times New Roman" w:hAnsi="Times New Roman" w:cs="Times New Roman"/>
          <w:sz w:val="24"/>
          <w:szCs w:val="24"/>
        </w:rPr>
        <w:t xml:space="preserve"> é</w:t>
      </w:r>
      <w:r w:rsidRPr="009A124D">
        <w:rPr>
          <w:rFonts w:ascii="Times New Roman" w:hAnsi="Times New Roman" w:cs="Times New Roman"/>
          <w:sz w:val="24"/>
          <w:szCs w:val="24"/>
        </w:rPr>
        <w:t xml:space="preserve"> gradual e bem fácil de lembrar, pois de um ano para outro a mudança será sempre de 20%. Além disso, apesar do art. 99 do ADCT citar os percentuais do ano de 2015, vemos pelo art. 3º da Emenda que sua vigência só ocorrerá a partir do ano de 2016.” </w:t>
      </w:r>
      <w:r>
        <w:rPr>
          <w:rFonts w:ascii="Times New Roman" w:hAnsi="Times New Roman" w:cs="Times New Roman"/>
          <w:sz w:val="24"/>
          <w:szCs w:val="24"/>
        </w:rPr>
        <w:t>(ANTONIO, 2015, p. [?]).</w:t>
      </w:r>
    </w:p>
    <w:p w:rsidR="00123455" w:rsidRPr="00123455" w:rsidRDefault="00123455" w:rsidP="0012345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ainda que “as regras advindas com a edição desta emenda se aplicam apenas aos casos de operações e de prestações que se destinem bens e </w:t>
      </w:r>
      <w:proofErr w:type="spellStart"/>
      <w:r>
        <w:rPr>
          <w:rFonts w:ascii="Times New Roman" w:hAnsi="Times New Roman" w:cs="Times New Roman"/>
          <w:sz w:val="24"/>
          <w:szCs w:val="24"/>
        </w:rPr>
        <w:t>servoços</w:t>
      </w:r>
      <w:proofErr w:type="spellEnd"/>
      <w:r>
        <w:rPr>
          <w:rFonts w:ascii="Times New Roman" w:hAnsi="Times New Roman" w:cs="Times New Roman"/>
          <w:sz w:val="24"/>
          <w:szCs w:val="24"/>
        </w:rPr>
        <w:t xml:space="preserve"> a consumidor final localizado em outro Estado [...] assim as operações e prestações normais não foram afetadas pelas novas regras” (ALUISIO NETO, 2015, p. [?]).</w:t>
      </w:r>
    </w:p>
    <w:p w:rsidR="00595613" w:rsidRDefault="00595613" w:rsidP="00DA471F">
      <w:pPr>
        <w:spacing w:after="0" w:line="360" w:lineRule="auto"/>
        <w:jc w:val="both"/>
        <w:rPr>
          <w:rFonts w:ascii="Times New Roman" w:hAnsi="Times New Roman" w:cs="Times New Roman"/>
          <w:b/>
          <w:sz w:val="24"/>
          <w:szCs w:val="24"/>
        </w:rPr>
      </w:pPr>
      <w:r>
        <w:rPr>
          <w:rFonts w:ascii="Times New Roman" w:hAnsi="Times New Roman" w:cs="Times New Roman"/>
          <w:b/>
          <w:sz w:val="23"/>
          <w:szCs w:val="23"/>
        </w:rPr>
        <w:lastRenderedPageBreak/>
        <w:t xml:space="preserve">3.1 </w:t>
      </w:r>
      <w:r w:rsidRPr="00123455">
        <w:rPr>
          <w:rFonts w:ascii="Times New Roman" w:hAnsi="Times New Roman" w:cs="Times New Roman"/>
          <w:b/>
          <w:sz w:val="24"/>
          <w:szCs w:val="24"/>
        </w:rPr>
        <w:t>Aspectos positivos e negativos da vigência a partir da EC 87/15</w:t>
      </w:r>
    </w:p>
    <w:p w:rsidR="00123455" w:rsidRPr="00123455" w:rsidRDefault="00123455" w:rsidP="00DA471F">
      <w:pPr>
        <w:spacing w:after="0" w:line="360" w:lineRule="auto"/>
        <w:jc w:val="both"/>
        <w:rPr>
          <w:rFonts w:ascii="Times New Roman" w:hAnsi="Times New Roman" w:cs="Times New Roman"/>
          <w:b/>
          <w:sz w:val="24"/>
          <w:szCs w:val="24"/>
        </w:rPr>
      </w:pPr>
    </w:p>
    <w:p w:rsidR="002A362A" w:rsidRDefault="00123455" w:rsidP="00123455">
      <w:pPr>
        <w:spacing w:after="0" w:line="360" w:lineRule="auto"/>
        <w:ind w:firstLine="1134"/>
        <w:jc w:val="both"/>
        <w:rPr>
          <w:rFonts w:ascii="Times New Roman" w:hAnsi="Times New Roman" w:cs="Times New Roman"/>
          <w:sz w:val="24"/>
          <w:szCs w:val="24"/>
        </w:rPr>
      </w:pPr>
      <w:r w:rsidRPr="00123455">
        <w:rPr>
          <w:rFonts w:ascii="Times New Roman" w:hAnsi="Times New Roman" w:cs="Times New Roman"/>
          <w:sz w:val="24"/>
          <w:szCs w:val="24"/>
        </w:rPr>
        <w:t>Com relação aos aspectos positivos, cabe ressaltar que está Emenda Constitucional “visa beneficiar o Estado que recebe a mercadoria (destinatário), já que antes o imposto ficava todo para o Estado remetente, desta forma traz um equilíbrio maior e equipara as operações de vendas interestaduais” (ANTONIO,</w:t>
      </w:r>
      <w:r>
        <w:rPr>
          <w:rFonts w:ascii="Times New Roman" w:hAnsi="Times New Roman" w:cs="Times New Roman"/>
          <w:sz w:val="24"/>
          <w:szCs w:val="24"/>
        </w:rPr>
        <w:t xml:space="preserve"> 2015, p. [?]).</w:t>
      </w:r>
      <w:r w:rsidR="002A362A">
        <w:rPr>
          <w:rFonts w:ascii="Times New Roman" w:hAnsi="Times New Roman" w:cs="Times New Roman"/>
          <w:sz w:val="24"/>
          <w:szCs w:val="24"/>
        </w:rPr>
        <w:t xml:space="preserve"> </w:t>
      </w:r>
    </w:p>
    <w:p w:rsidR="002A362A" w:rsidRPr="00123455" w:rsidRDefault="002A362A" w:rsidP="003B16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 aspecto positivo se dará primordialmente porque “pela nova redação, não teremos diferenciação entre as operações destinadas a consumidores finais, ou seja, tanto faz se forem contribuintes ou não. Em ambos os casos será dividido o diferencial de alíquota para o Estado destinatário” (ANTONIO, 2015, p. [?]). Ademais, é importante ressaltar que outro aspecto positivo com a edição de tal emenda refere-se “a segurança jurídica para as empresas” (ELIAS, 2015, p. [?]). </w:t>
      </w:r>
    </w:p>
    <w:p w:rsidR="003B16F4" w:rsidRDefault="00E05AB9" w:rsidP="003B16F4">
      <w:pPr>
        <w:spacing w:line="360" w:lineRule="auto"/>
        <w:ind w:firstLine="1134"/>
        <w:jc w:val="both"/>
        <w:rPr>
          <w:rFonts w:ascii="Times New Roman" w:hAnsi="Times New Roman" w:cs="Times New Roman"/>
          <w:sz w:val="24"/>
          <w:szCs w:val="24"/>
        </w:rPr>
      </w:pPr>
      <w:r w:rsidRPr="00B31A5F">
        <w:rPr>
          <w:rFonts w:ascii="Times New Roman" w:hAnsi="Times New Roman" w:cs="Times New Roman"/>
          <w:sz w:val="24"/>
          <w:szCs w:val="24"/>
        </w:rPr>
        <w:t xml:space="preserve">No </w:t>
      </w:r>
      <w:r>
        <w:rPr>
          <w:rFonts w:ascii="Times New Roman" w:hAnsi="Times New Roman" w:cs="Times New Roman"/>
          <w:sz w:val="24"/>
          <w:szCs w:val="24"/>
        </w:rPr>
        <w:t xml:space="preserve">que diz respeito aos aspectos negativos da vigência </w:t>
      </w:r>
      <w:r w:rsidRPr="00B31A5F">
        <w:rPr>
          <w:rFonts w:ascii="Times New Roman" w:hAnsi="Times New Roman" w:cs="Times New Roman"/>
          <w:sz w:val="24"/>
          <w:szCs w:val="24"/>
        </w:rPr>
        <w:t>da referida Emenda</w:t>
      </w:r>
      <w:r>
        <w:rPr>
          <w:rFonts w:ascii="Times New Roman" w:hAnsi="Times New Roman" w:cs="Times New Roman"/>
          <w:sz w:val="24"/>
          <w:szCs w:val="24"/>
        </w:rPr>
        <w:t xml:space="preserve"> Constitucional a partir de 2016,</w:t>
      </w:r>
      <w:r w:rsidRPr="00B31A5F">
        <w:rPr>
          <w:rFonts w:ascii="Times New Roman" w:hAnsi="Times New Roman" w:cs="Times New Roman"/>
          <w:sz w:val="24"/>
          <w:szCs w:val="24"/>
        </w:rPr>
        <w:t xml:space="preserve"> Eduardo Arrieiro assevera que “alguns estados, sobretudo os da região Sudeste, perderão arrecadação, e certamente tentarão compensar esta perda com outras medidas fiscais. É o caso dos estados de Minas Gerais e São Paulo”</w:t>
      </w:r>
      <w:r>
        <w:rPr>
          <w:rFonts w:ascii="Times New Roman" w:hAnsi="Times New Roman" w:cs="Times New Roman"/>
          <w:sz w:val="24"/>
          <w:szCs w:val="24"/>
        </w:rPr>
        <w:t xml:space="preserve"> </w:t>
      </w:r>
      <w:r w:rsidR="003B16F4">
        <w:rPr>
          <w:rFonts w:ascii="Times New Roman" w:hAnsi="Times New Roman" w:cs="Times New Roman"/>
          <w:sz w:val="24"/>
          <w:szCs w:val="24"/>
        </w:rPr>
        <w:t>(ELIAS, 2015, p. [?]).</w:t>
      </w:r>
    </w:p>
    <w:p w:rsidR="003B16F4" w:rsidRPr="00E05AB9" w:rsidRDefault="003B16F4" w:rsidP="003B16F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Deste modo, compreende-se que em decorrência de tal emenda à perda da</w:t>
      </w:r>
      <w:r w:rsidRPr="00B228C5">
        <w:rPr>
          <w:rFonts w:ascii="Times New Roman" w:hAnsi="Times New Roman" w:cs="Times New Roman"/>
          <w:sz w:val="24"/>
          <w:szCs w:val="24"/>
        </w:rPr>
        <w:t xml:space="preserve"> arrecadação dos tributos por parte dos estados de origem dos produtos vendidos, que por sua vez trará impactos negativos para a economia dos estados de origem dos produtos vendidos para estado diverso que segundo Elias (2015) “buscarão compensar tal perda com outras medidas fiscais”.</w:t>
      </w:r>
    </w:p>
    <w:p w:rsidR="00595613" w:rsidRDefault="00595613" w:rsidP="00DA4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3.2.1 Motivação para a edição da Emenda Constitucional 87/15</w:t>
      </w:r>
    </w:p>
    <w:p w:rsidR="00123455" w:rsidRDefault="00123455" w:rsidP="00DA471F">
      <w:pPr>
        <w:spacing w:after="0" w:line="360" w:lineRule="auto"/>
        <w:jc w:val="both"/>
        <w:rPr>
          <w:rFonts w:ascii="Times New Roman" w:hAnsi="Times New Roman" w:cs="Times New Roman"/>
          <w:sz w:val="24"/>
          <w:szCs w:val="24"/>
        </w:rPr>
      </w:pPr>
    </w:p>
    <w:p w:rsidR="00E05AB9" w:rsidRDefault="00E05AB9" w:rsidP="00E05AB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mister salientar que a principal motivação para a edição de tal Emenda Constitucional foi o combate à guerra fiscal, visto que conforme Camargo e </w:t>
      </w:r>
      <w:proofErr w:type="spellStart"/>
      <w:r>
        <w:rPr>
          <w:rFonts w:ascii="Times New Roman" w:hAnsi="Times New Roman" w:cs="Times New Roman"/>
          <w:sz w:val="24"/>
          <w:szCs w:val="24"/>
        </w:rPr>
        <w:t>Predolim</w:t>
      </w:r>
      <w:proofErr w:type="spellEnd"/>
      <w:r>
        <w:rPr>
          <w:rFonts w:ascii="Times New Roman" w:hAnsi="Times New Roman" w:cs="Times New Roman"/>
          <w:sz w:val="24"/>
          <w:szCs w:val="24"/>
        </w:rPr>
        <w:t>:</w:t>
      </w:r>
    </w:p>
    <w:p w:rsidR="00E05AB9" w:rsidRDefault="00E05AB9" w:rsidP="00E05AB9">
      <w:pPr>
        <w:ind w:left="2268"/>
        <w:jc w:val="both"/>
        <w:rPr>
          <w:rFonts w:ascii="Times New Roman" w:hAnsi="Times New Roman" w:cs="Times New Roman"/>
          <w:sz w:val="20"/>
          <w:szCs w:val="20"/>
        </w:rPr>
      </w:pPr>
      <w:r w:rsidRPr="00257181">
        <w:rPr>
          <w:rFonts w:ascii="Times New Roman" w:hAnsi="Times New Roman" w:cs="Times New Roman"/>
          <w:sz w:val="20"/>
          <w:szCs w:val="20"/>
        </w:rPr>
        <w:t>A EC 87/15 é uma medida que veio atender aos anseios dos estados menos favorecidos com a crescente tendência mundial de virtualização das vendas por meio da internet. Em certo ponto, nos parece benéfico para pacificar o entendimento e, melhorar a repartição dos tributos estaduais</w:t>
      </w:r>
      <w:r>
        <w:rPr>
          <w:rFonts w:ascii="Times New Roman" w:hAnsi="Times New Roman" w:cs="Times New Roman"/>
          <w:sz w:val="20"/>
          <w:szCs w:val="20"/>
        </w:rPr>
        <w:t>. (CAMARGO; PREDOLIM, 2015, p. [?]).</w:t>
      </w:r>
    </w:p>
    <w:p w:rsidR="00D016A2" w:rsidRDefault="00AC117F" w:rsidP="004D003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necessário ainda que se ressalte que outra motivação com o advento desta emenda seria a participação do estado destino</w:t>
      </w:r>
      <w:r w:rsidRPr="00B228C5">
        <w:rPr>
          <w:rFonts w:ascii="Times New Roman" w:hAnsi="Times New Roman" w:cs="Times New Roman"/>
          <w:sz w:val="24"/>
          <w:szCs w:val="24"/>
        </w:rPr>
        <w:t xml:space="preserve"> no ICMS, sendo ou não </w:t>
      </w:r>
      <w:r>
        <w:rPr>
          <w:rFonts w:ascii="Times New Roman" w:hAnsi="Times New Roman" w:cs="Times New Roman"/>
          <w:sz w:val="24"/>
          <w:szCs w:val="24"/>
        </w:rPr>
        <w:t xml:space="preserve">o contribuinte consumidor final, </w:t>
      </w:r>
      <w:r w:rsidRPr="00B228C5">
        <w:rPr>
          <w:rFonts w:ascii="Times New Roman" w:hAnsi="Times New Roman" w:cs="Times New Roman"/>
          <w:sz w:val="24"/>
          <w:szCs w:val="24"/>
        </w:rPr>
        <w:lastRenderedPageBreak/>
        <w:t>tratando-se de uma inovação na arrecadação da receita que visa</w:t>
      </w:r>
      <w:r>
        <w:rPr>
          <w:rFonts w:ascii="Times New Roman" w:hAnsi="Times New Roman" w:cs="Times New Roman"/>
          <w:sz w:val="24"/>
          <w:szCs w:val="24"/>
        </w:rPr>
        <w:t xml:space="preserve"> a cima de tudo</w:t>
      </w:r>
      <w:r w:rsidRPr="00B228C5">
        <w:rPr>
          <w:rFonts w:ascii="Times New Roman" w:hAnsi="Times New Roman" w:cs="Times New Roman"/>
          <w:sz w:val="24"/>
          <w:szCs w:val="24"/>
        </w:rPr>
        <w:t xml:space="preserve"> a melhoria na partilha dos tribut</w:t>
      </w:r>
      <w:r>
        <w:rPr>
          <w:rFonts w:ascii="Times New Roman" w:hAnsi="Times New Roman" w:cs="Times New Roman"/>
          <w:sz w:val="24"/>
          <w:szCs w:val="24"/>
        </w:rPr>
        <w:t>os, bem como o</w:t>
      </w:r>
      <w:r w:rsidRPr="00B228C5">
        <w:rPr>
          <w:rFonts w:ascii="Times New Roman" w:hAnsi="Times New Roman" w:cs="Times New Roman"/>
          <w:sz w:val="24"/>
          <w:szCs w:val="24"/>
        </w:rPr>
        <w:t xml:space="preserve"> equilíbrio nas operações de vendas interestaduais. </w:t>
      </w:r>
    </w:p>
    <w:p w:rsidR="00595613" w:rsidRDefault="00595613" w:rsidP="00DA47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CONCLUSÃO</w:t>
      </w:r>
    </w:p>
    <w:p w:rsidR="00734962" w:rsidRDefault="004D003D" w:rsidP="004D00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o exposto é mister que está pesquisa cumpriu os seus objetivos, vez que no capítulo </w:t>
      </w:r>
      <w:r w:rsidR="00734962">
        <w:rPr>
          <w:rFonts w:ascii="Times New Roman" w:hAnsi="Times New Roman" w:cs="Times New Roman"/>
          <w:sz w:val="24"/>
          <w:szCs w:val="24"/>
        </w:rPr>
        <w:t>Vigência</w:t>
      </w:r>
      <w:r>
        <w:rPr>
          <w:rFonts w:ascii="Times New Roman" w:hAnsi="Times New Roman" w:cs="Times New Roman"/>
          <w:sz w:val="24"/>
          <w:szCs w:val="24"/>
        </w:rPr>
        <w:t xml:space="preserve"> da legislação tributária procurou-se da</w:t>
      </w:r>
      <w:r w:rsidR="00734962">
        <w:rPr>
          <w:rFonts w:ascii="Times New Roman" w:hAnsi="Times New Roman" w:cs="Times New Roman"/>
          <w:sz w:val="24"/>
          <w:szCs w:val="24"/>
        </w:rPr>
        <w:t>r</w:t>
      </w:r>
      <w:r>
        <w:rPr>
          <w:rFonts w:ascii="Times New Roman" w:hAnsi="Times New Roman" w:cs="Times New Roman"/>
          <w:sz w:val="24"/>
          <w:szCs w:val="24"/>
        </w:rPr>
        <w:t xml:space="preserve"> ampla compreensão ao tema, com a corroboração de diversos doutrinadores como, por exemplo, o Eduardo </w:t>
      </w:r>
      <w:proofErr w:type="spellStart"/>
      <w:r>
        <w:rPr>
          <w:rFonts w:ascii="Times New Roman" w:hAnsi="Times New Roman" w:cs="Times New Roman"/>
          <w:sz w:val="24"/>
          <w:szCs w:val="24"/>
        </w:rPr>
        <w:t>Sabbag</w:t>
      </w:r>
      <w:proofErr w:type="spellEnd"/>
      <w:r>
        <w:rPr>
          <w:rFonts w:ascii="Times New Roman" w:hAnsi="Times New Roman" w:cs="Times New Roman"/>
          <w:sz w:val="24"/>
          <w:szCs w:val="24"/>
        </w:rPr>
        <w:t xml:space="preserve"> (2015), o qual assevera que “vigência é aquele atributo da lei que lhe confere plena disponibilidade para sua aplicação” (SABBAG, 2015, p. 631). Ademais se faz mister que pelos sub tópicos foi possível a </w:t>
      </w:r>
      <w:r w:rsidR="00734962">
        <w:rPr>
          <w:rFonts w:ascii="Times New Roman" w:hAnsi="Times New Roman" w:cs="Times New Roman"/>
          <w:sz w:val="24"/>
          <w:szCs w:val="24"/>
        </w:rPr>
        <w:t xml:space="preserve">compressão da vigência no tempo e no espaço, bem como do princípio da anterioridade. </w:t>
      </w:r>
    </w:p>
    <w:p w:rsidR="004D003D" w:rsidRDefault="00734962" w:rsidP="004D00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mister a partir sub tópico vigência no tempo e no espaço foi possível o entendimento do conceito, bem como compreender como se dão, sobre a questão vigência no tempo, Paulo de Barros (2014) corroborou dizendo que “o vigor das leis no tempo está sob a diretriz fixada pelo 1º da Lei de Introdução do Código Civil, sendo assim as normas tributárias entram em vigor, salvo disposição em contrário 45 dias após sua publicação” (CARVALHO, 2014, p. 119). No que diz respeito a vigência no espaço Eduardo </w:t>
      </w:r>
      <w:proofErr w:type="spellStart"/>
      <w:r>
        <w:rPr>
          <w:rFonts w:ascii="Times New Roman" w:hAnsi="Times New Roman" w:cs="Times New Roman"/>
          <w:sz w:val="24"/>
          <w:szCs w:val="24"/>
        </w:rPr>
        <w:t>Sabbag</w:t>
      </w:r>
      <w:proofErr w:type="spellEnd"/>
      <w:r>
        <w:rPr>
          <w:rFonts w:ascii="Times New Roman" w:hAnsi="Times New Roman" w:cs="Times New Roman"/>
          <w:sz w:val="24"/>
          <w:szCs w:val="24"/>
        </w:rPr>
        <w:t xml:space="preserve"> nos disse que “a legislação tributária submete-se ao princípio da territorialidade, assim, ela vale em tese, nos limites do território da pessoa jurídica que edita a norma” (SABBAG, 2015, p. 642). No </w:t>
      </w:r>
      <w:r w:rsidR="008828A6">
        <w:rPr>
          <w:rFonts w:ascii="Times New Roman" w:hAnsi="Times New Roman" w:cs="Times New Roman"/>
          <w:sz w:val="24"/>
          <w:szCs w:val="24"/>
        </w:rPr>
        <w:t>entanto, foi demostrado na pesquisa que essa territorialidade comporta exceções.</w:t>
      </w:r>
    </w:p>
    <w:p w:rsidR="008828A6" w:rsidRDefault="008828A6" w:rsidP="008828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Cabe ainda ressaltar, que pelo capítulo Vigência do ICMS a partir do advento da Emenda Constitucional 87/17 foi analisado que o Estado destino passou a ter participação do ICMS, sendo ou não contribuinte o consumidor final, e que a referida Emenda apenas terá sua vigência em 2016, visto que ela poderá acarretar o aumento pra carga tributária, e em respeito ao princípio da anterioridade, uma lei não pode aumentar e cobrar tributo no mesmo exercício financeiro, por isso ela passará a viger a partir de 2016. Ademais tal emenda vai trazer está mudança de forma gradual, visto que a mesma acrescentou o artigo 99 ao ADCT, o qual foi analisado na pesquisa em questão. </w:t>
      </w:r>
    </w:p>
    <w:p w:rsidR="00D016A2" w:rsidRPr="00521F23" w:rsidRDefault="008828A6" w:rsidP="00521F2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ainda ressaltar, que foi analisado os aspectos positivos e negativos da referida emenda. No que tange os aspectos positivos foi </w:t>
      </w:r>
      <w:r w:rsidR="00521F23">
        <w:rPr>
          <w:rFonts w:ascii="Times New Roman" w:hAnsi="Times New Roman" w:cs="Times New Roman"/>
          <w:sz w:val="24"/>
          <w:szCs w:val="24"/>
        </w:rPr>
        <w:t>citado que o advento desta emenda caracterizou uma inovação na arrecadação de receita para os Estados, uma vez que contribuiu significativamente para uma melhora na partilha dos tributos. Já com relação aos aspectos negativos foi abordado que tal emenda acabou gerando a perda de arrecadação dos tributos, por parte dos estados de origem dos produtos vendidos, que por sua vez impactos negativos para a economia dos estados de origem.</w:t>
      </w:r>
    </w:p>
    <w:p w:rsidR="004E4172" w:rsidRDefault="008B3D0C" w:rsidP="009F621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9F6215" w:rsidRDefault="009F6215" w:rsidP="009F6215">
      <w:pPr>
        <w:spacing w:after="0" w:line="360" w:lineRule="auto"/>
        <w:jc w:val="center"/>
        <w:rPr>
          <w:rFonts w:ascii="Times New Roman" w:hAnsi="Times New Roman" w:cs="Times New Roman"/>
          <w:b/>
          <w:sz w:val="24"/>
          <w:szCs w:val="24"/>
        </w:rPr>
      </w:pPr>
    </w:p>
    <w:p w:rsidR="009F6215" w:rsidRPr="009F6215" w:rsidRDefault="009F6215" w:rsidP="009F6215">
      <w:pPr>
        <w:spacing w:after="0" w:line="240" w:lineRule="auto"/>
        <w:rPr>
          <w:rFonts w:ascii="Times New Roman" w:hAnsi="Times New Roman" w:cs="Times New Roman"/>
          <w:sz w:val="24"/>
          <w:szCs w:val="24"/>
        </w:rPr>
      </w:pPr>
      <w:r w:rsidRPr="009F6215">
        <w:rPr>
          <w:rFonts w:ascii="Times New Roman" w:hAnsi="Times New Roman" w:cs="Times New Roman"/>
          <w:sz w:val="24"/>
          <w:szCs w:val="24"/>
        </w:rPr>
        <w:t xml:space="preserve">ALUISO NETO. </w:t>
      </w:r>
      <w:r w:rsidRPr="009F6215">
        <w:rPr>
          <w:rFonts w:ascii="Times New Roman" w:hAnsi="Times New Roman" w:cs="Times New Roman"/>
          <w:b/>
          <w:sz w:val="24"/>
          <w:szCs w:val="24"/>
        </w:rPr>
        <w:t>Comentários à EC 87/2015 – ICMS</w:t>
      </w:r>
      <w:r w:rsidRPr="009F6215">
        <w:rPr>
          <w:rFonts w:ascii="Times New Roman" w:hAnsi="Times New Roman" w:cs="Times New Roman"/>
          <w:sz w:val="24"/>
          <w:szCs w:val="24"/>
        </w:rPr>
        <w:t xml:space="preserve">. Disponível em: </w:t>
      </w:r>
      <w:hyperlink r:id="rId8" w:history="1">
        <w:r w:rsidRPr="009F6215">
          <w:rPr>
            <w:rStyle w:val="Hyperlink"/>
            <w:rFonts w:ascii="Times New Roman" w:hAnsi="Times New Roman" w:cs="Times New Roman"/>
            <w:color w:val="auto"/>
            <w:sz w:val="24"/>
            <w:szCs w:val="24"/>
            <w:u w:val="none"/>
          </w:rPr>
          <w:t>http://www.estrategiaconcursos.com.br/blog/comentarios-a-ec-no-872015-icms/</w:t>
        </w:r>
      </w:hyperlink>
      <w:r w:rsidRPr="009F6215">
        <w:rPr>
          <w:rFonts w:ascii="Times New Roman" w:hAnsi="Times New Roman" w:cs="Times New Roman"/>
          <w:sz w:val="24"/>
          <w:szCs w:val="24"/>
        </w:rPr>
        <w:t>. Acesso em: 26 set, 2015.</w:t>
      </w:r>
    </w:p>
    <w:p w:rsidR="009F6215" w:rsidRDefault="009F6215" w:rsidP="00B63EFF">
      <w:pPr>
        <w:pStyle w:val="NormalWeb"/>
        <w:shd w:val="clear" w:color="auto" w:fill="FFFFFF"/>
        <w:spacing w:before="0" w:beforeAutospacing="0" w:after="0" w:afterAutospacing="0"/>
        <w:textAlignment w:val="baseline"/>
      </w:pPr>
    </w:p>
    <w:p w:rsidR="004E4172" w:rsidRPr="00B63EFF" w:rsidRDefault="004E4172" w:rsidP="00B63EFF">
      <w:pPr>
        <w:pStyle w:val="NormalWeb"/>
        <w:shd w:val="clear" w:color="auto" w:fill="FFFFFF"/>
        <w:spacing w:before="0" w:beforeAutospacing="0" w:after="0" w:afterAutospacing="0"/>
        <w:textAlignment w:val="baseline"/>
        <w:rPr>
          <w:rStyle w:val="Hyperlink"/>
          <w:rFonts w:eastAsiaTheme="majorEastAsia"/>
          <w:color w:val="auto"/>
          <w:spacing w:val="2"/>
          <w:u w:val="none"/>
        </w:rPr>
      </w:pPr>
      <w:r w:rsidRPr="00B63EFF">
        <w:t xml:space="preserve">ANTONIO, Luciana de Freitas. </w:t>
      </w:r>
      <w:r w:rsidRPr="00B63EFF">
        <w:rPr>
          <w:b/>
        </w:rPr>
        <w:t xml:space="preserve">ICMS – EC 87/15 – novas regras para o comércio eletrônico de não contribuintes. </w:t>
      </w:r>
      <w:r w:rsidRPr="00B63EFF">
        <w:t xml:space="preserve">Disponível em: </w:t>
      </w:r>
      <w:hyperlink r:id="rId9" w:history="1">
        <w:r w:rsidRPr="00B63EFF">
          <w:rPr>
            <w:rStyle w:val="Hyperlink"/>
            <w:rFonts w:eastAsiaTheme="majorEastAsia"/>
            <w:color w:val="auto"/>
            <w:spacing w:val="2"/>
            <w:u w:val="none"/>
          </w:rPr>
          <w:t>http://tdn.totvs.com/pages/releaseview.action;jsessionid=54C3FCCE9580E91DB570050725F046F4?pageId=189301460</w:t>
        </w:r>
      </w:hyperlink>
      <w:r w:rsidRPr="00B63EFF">
        <w:rPr>
          <w:rStyle w:val="Hyperlink"/>
          <w:rFonts w:eastAsiaTheme="majorEastAsia"/>
          <w:color w:val="auto"/>
          <w:spacing w:val="2"/>
          <w:u w:val="none"/>
        </w:rPr>
        <w:t>. Acesso em: 29 set, 2015.</w:t>
      </w:r>
    </w:p>
    <w:p w:rsidR="009F6215" w:rsidRDefault="009F6215" w:rsidP="009F6215">
      <w:pPr>
        <w:spacing w:after="0" w:line="240" w:lineRule="auto"/>
        <w:rPr>
          <w:rFonts w:ascii="Times New Roman" w:hAnsi="Times New Roman" w:cs="Times New Roman"/>
          <w:sz w:val="24"/>
          <w:szCs w:val="24"/>
        </w:rPr>
      </w:pPr>
    </w:p>
    <w:p w:rsidR="009F6215" w:rsidRPr="009F6215" w:rsidRDefault="009F6215" w:rsidP="009F6215">
      <w:pPr>
        <w:spacing w:after="0" w:line="240" w:lineRule="auto"/>
        <w:rPr>
          <w:rFonts w:ascii="Times New Roman" w:hAnsi="Times New Roman" w:cs="Times New Roman"/>
          <w:sz w:val="24"/>
          <w:szCs w:val="24"/>
        </w:rPr>
      </w:pPr>
      <w:r w:rsidRPr="009F6215">
        <w:rPr>
          <w:rFonts w:ascii="Times New Roman" w:hAnsi="Times New Roman" w:cs="Times New Roman"/>
          <w:sz w:val="24"/>
          <w:szCs w:val="24"/>
        </w:rPr>
        <w:t xml:space="preserve">ARANHA, Marcelo de Araújo. </w:t>
      </w:r>
      <w:r w:rsidRPr="009F6215">
        <w:rPr>
          <w:rFonts w:ascii="Times New Roman" w:hAnsi="Times New Roman" w:cs="Times New Roman"/>
          <w:b/>
          <w:sz w:val="24"/>
          <w:szCs w:val="24"/>
        </w:rPr>
        <w:t>O princípio da anterioridade tributária.</w:t>
      </w:r>
      <w:r w:rsidRPr="009F6215">
        <w:rPr>
          <w:rFonts w:ascii="Times New Roman" w:hAnsi="Times New Roman" w:cs="Times New Roman"/>
          <w:sz w:val="24"/>
          <w:szCs w:val="24"/>
        </w:rPr>
        <w:t xml:space="preserve"> Disponível em: </w:t>
      </w:r>
      <w:hyperlink r:id="rId10" w:history="1">
        <w:r w:rsidRPr="009F6215">
          <w:rPr>
            <w:rStyle w:val="Hyperlink"/>
            <w:rFonts w:ascii="Times New Roman" w:hAnsi="Times New Roman" w:cs="Times New Roman"/>
            <w:b/>
            <w:color w:val="auto"/>
            <w:sz w:val="24"/>
            <w:szCs w:val="24"/>
            <w:u w:val="none"/>
          </w:rPr>
          <w:t>http://www.direitonet.com.br/artigos/exibir/2821/O-Principio-da-Anterioridade-Tributaria</w:t>
        </w:r>
      </w:hyperlink>
      <w:r w:rsidRPr="009F6215">
        <w:rPr>
          <w:rStyle w:val="Hyperlink"/>
          <w:rFonts w:ascii="Times New Roman" w:hAnsi="Times New Roman" w:cs="Times New Roman"/>
          <w:b/>
          <w:color w:val="auto"/>
          <w:sz w:val="24"/>
          <w:szCs w:val="24"/>
          <w:u w:val="none"/>
        </w:rPr>
        <w:t xml:space="preserve">. </w:t>
      </w:r>
      <w:r w:rsidRPr="009F6215">
        <w:rPr>
          <w:rStyle w:val="Hyperlink"/>
          <w:rFonts w:ascii="Times New Roman" w:hAnsi="Times New Roman" w:cs="Times New Roman"/>
          <w:color w:val="auto"/>
          <w:sz w:val="24"/>
          <w:szCs w:val="24"/>
          <w:u w:val="none"/>
        </w:rPr>
        <w:t>Acesso em: 29 set, 2015.</w:t>
      </w:r>
    </w:p>
    <w:p w:rsidR="004E4172" w:rsidRPr="00B63EFF" w:rsidRDefault="004E4172" w:rsidP="00B63EFF">
      <w:pPr>
        <w:pStyle w:val="NormalWeb"/>
        <w:shd w:val="clear" w:color="auto" w:fill="FFFFFF"/>
        <w:spacing w:before="0" w:beforeAutospacing="0" w:after="0" w:afterAutospacing="0"/>
        <w:textAlignment w:val="baseline"/>
        <w:rPr>
          <w:rStyle w:val="nfase"/>
          <w:i w:val="0"/>
          <w:iCs w:val="0"/>
        </w:rPr>
      </w:pPr>
    </w:p>
    <w:p w:rsidR="004E4172" w:rsidRPr="00B63EFF" w:rsidRDefault="004E4172" w:rsidP="00B63EFF">
      <w:pPr>
        <w:spacing w:line="240" w:lineRule="auto"/>
        <w:rPr>
          <w:rFonts w:ascii="Times New Roman" w:hAnsi="Times New Roman" w:cs="Times New Roman"/>
          <w:sz w:val="24"/>
          <w:szCs w:val="24"/>
        </w:rPr>
      </w:pPr>
      <w:r w:rsidRPr="00B63EFF">
        <w:rPr>
          <w:rStyle w:val="nfase"/>
          <w:rFonts w:ascii="Times New Roman" w:hAnsi="Times New Roman" w:cs="Times New Roman"/>
          <w:i w:val="0"/>
          <w:spacing w:val="2"/>
          <w:sz w:val="24"/>
          <w:szCs w:val="24"/>
          <w:bdr w:val="none" w:sz="0" w:space="0" w:color="auto" w:frame="1"/>
        </w:rPr>
        <w:t xml:space="preserve">CAMARGO, Coriolano Almeida; PREDOLIM, Emerson Alvarez. </w:t>
      </w:r>
      <w:r w:rsidRPr="00B63EFF">
        <w:rPr>
          <w:rStyle w:val="nfase"/>
          <w:rFonts w:ascii="Times New Roman" w:hAnsi="Times New Roman" w:cs="Times New Roman"/>
          <w:b/>
          <w:i w:val="0"/>
          <w:spacing w:val="2"/>
          <w:sz w:val="24"/>
          <w:szCs w:val="24"/>
          <w:bdr w:val="none" w:sz="0" w:space="0" w:color="auto" w:frame="1"/>
        </w:rPr>
        <w:t>EC 87/15 o que muda no ICMS para vendas online</w:t>
      </w:r>
      <w:r w:rsidRPr="00B63EFF">
        <w:rPr>
          <w:rStyle w:val="nfase"/>
          <w:rFonts w:ascii="Times New Roman" w:hAnsi="Times New Roman" w:cs="Times New Roman"/>
          <w:i w:val="0"/>
          <w:spacing w:val="2"/>
          <w:sz w:val="24"/>
          <w:szCs w:val="24"/>
          <w:bdr w:val="none" w:sz="0" w:space="0" w:color="auto" w:frame="1"/>
        </w:rPr>
        <w:t xml:space="preserve">. Disponível em: </w:t>
      </w:r>
      <w:hyperlink r:id="rId11" w:history="1">
        <w:r w:rsidRPr="00B63EFF">
          <w:rPr>
            <w:rStyle w:val="Hyperlink"/>
            <w:rFonts w:ascii="Times New Roman" w:hAnsi="Times New Roman" w:cs="Times New Roman"/>
            <w:color w:val="auto"/>
            <w:spacing w:val="2"/>
            <w:sz w:val="24"/>
            <w:szCs w:val="24"/>
            <w:u w:val="none"/>
            <w:bdr w:val="none" w:sz="0" w:space="0" w:color="auto" w:frame="1"/>
          </w:rPr>
          <w:t>http://www.migalhas.com.br/dePeso/16,MI220353,31047-EC+8715+O+que+muda+no+ICMS+para+as+vendas+online</w:t>
        </w:r>
      </w:hyperlink>
      <w:r w:rsidRPr="00B63EFF">
        <w:rPr>
          <w:rStyle w:val="nfase"/>
          <w:rFonts w:ascii="Times New Roman" w:hAnsi="Times New Roman" w:cs="Times New Roman"/>
          <w:sz w:val="24"/>
          <w:szCs w:val="24"/>
        </w:rPr>
        <w:t>.</w:t>
      </w:r>
      <w:r w:rsidRPr="00B63EFF">
        <w:rPr>
          <w:rStyle w:val="nfase"/>
          <w:rFonts w:ascii="Times New Roman" w:hAnsi="Times New Roman" w:cs="Times New Roman"/>
          <w:i w:val="0"/>
          <w:sz w:val="24"/>
          <w:szCs w:val="24"/>
        </w:rPr>
        <w:t xml:space="preserve"> Acesso em: 29 set, 2015</w:t>
      </w:r>
    </w:p>
    <w:p w:rsidR="004E4172" w:rsidRPr="00B63EFF" w:rsidRDefault="004E4172" w:rsidP="00B63EFF">
      <w:pPr>
        <w:spacing w:line="240" w:lineRule="auto"/>
        <w:rPr>
          <w:rFonts w:ascii="Times New Roman" w:hAnsi="Times New Roman" w:cs="Times New Roman"/>
          <w:sz w:val="24"/>
          <w:szCs w:val="24"/>
        </w:rPr>
      </w:pPr>
      <w:r w:rsidRPr="00B63EFF">
        <w:rPr>
          <w:rFonts w:ascii="Times New Roman" w:hAnsi="Times New Roman" w:cs="Times New Roman"/>
          <w:sz w:val="24"/>
          <w:szCs w:val="24"/>
        </w:rPr>
        <w:t xml:space="preserve">CARVALHO, Paulo de Barros. </w:t>
      </w:r>
      <w:r w:rsidRPr="00B63EFF">
        <w:rPr>
          <w:rFonts w:ascii="Times New Roman" w:hAnsi="Times New Roman" w:cs="Times New Roman"/>
          <w:b/>
          <w:sz w:val="24"/>
          <w:szCs w:val="24"/>
        </w:rPr>
        <w:t>Curso de direito tributário</w:t>
      </w:r>
      <w:r w:rsidRPr="00B63EFF">
        <w:rPr>
          <w:rFonts w:ascii="Times New Roman" w:hAnsi="Times New Roman" w:cs="Times New Roman"/>
          <w:sz w:val="24"/>
          <w:szCs w:val="24"/>
        </w:rPr>
        <w:t>. 17ª ed. São Paulo: Saraiva, 2006.</w:t>
      </w:r>
    </w:p>
    <w:p w:rsidR="002A362A" w:rsidRPr="00B63EFF" w:rsidRDefault="002A362A" w:rsidP="00B63EFF">
      <w:pPr>
        <w:spacing w:line="240" w:lineRule="auto"/>
        <w:rPr>
          <w:rFonts w:ascii="Times New Roman" w:hAnsi="Times New Roman" w:cs="Times New Roman"/>
          <w:sz w:val="24"/>
          <w:szCs w:val="24"/>
        </w:rPr>
      </w:pPr>
      <w:r w:rsidRPr="00B63EFF">
        <w:rPr>
          <w:rFonts w:ascii="Times New Roman" w:hAnsi="Times New Roman" w:cs="Times New Roman"/>
          <w:sz w:val="24"/>
          <w:szCs w:val="24"/>
        </w:rPr>
        <w:t xml:space="preserve">ELIAS, Eduardo Arrieiro. </w:t>
      </w:r>
      <w:r w:rsidRPr="00B63EFF">
        <w:rPr>
          <w:rFonts w:ascii="Times New Roman" w:hAnsi="Times New Roman" w:cs="Times New Roman"/>
          <w:b/>
          <w:sz w:val="24"/>
          <w:szCs w:val="24"/>
        </w:rPr>
        <w:t xml:space="preserve">ICMS no comércio eletrônico: estados prejudicados compensarão perdas com outras medidas fiscais. </w:t>
      </w:r>
      <w:r w:rsidRPr="00B63EFF">
        <w:rPr>
          <w:rFonts w:ascii="Times New Roman" w:hAnsi="Times New Roman" w:cs="Times New Roman"/>
          <w:sz w:val="24"/>
          <w:szCs w:val="24"/>
        </w:rPr>
        <w:t xml:space="preserve">Disponível em: </w:t>
      </w:r>
      <w:hyperlink r:id="rId12" w:history="1">
        <w:r w:rsidRPr="00B63EFF">
          <w:rPr>
            <w:rStyle w:val="Hyperlink"/>
            <w:rFonts w:ascii="Times New Roman" w:hAnsi="Times New Roman" w:cs="Times New Roman"/>
            <w:color w:val="auto"/>
            <w:sz w:val="24"/>
            <w:szCs w:val="24"/>
            <w:u w:val="none"/>
          </w:rPr>
          <w:t>http://www.andradesilva.com.br/artigos/icms-no-comercio-eletronico-estados-prejudicados-compensarao-perdas-com-outras-medidas-fiscais/</w:t>
        </w:r>
      </w:hyperlink>
      <w:r w:rsidRPr="00B63EFF">
        <w:rPr>
          <w:rFonts w:ascii="Times New Roman" w:hAnsi="Times New Roman" w:cs="Times New Roman"/>
          <w:sz w:val="24"/>
          <w:szCs w:val="24"/>
        </w:rPr>
        <w:t>. Acesso em: 29 set, 2015.</w:t>
      </w:r>
    </w:p>
    <w:p w:rsidR="009F6215" w:rsidRDefault="00521F23" w:rsidP="009F6215">
      <w:pPr>
        <w:spacing w:after="0" w:line="360" w:lineRule="auto"/>
        <w:rPr>
          <w:rFonts w:ascii="Times New Roman" w:hAnsi="Times New Roman" w:cs="Times New Roman"/>
          <w:sz w:val="24"/>
          <w:szCs w:val="24"/>
        </w:rPr>
      </w:pPr>
      <w:r w:rsidRPr="00B63EFF">
        <w:rPr>
          <w:rFonts w:ascii="Times New Roman" w:hAnsi="Times New Roman" w:cs="Times New Roman"/>
          <w:sz w:val="24"/>
          <w:szCs w:val="24"/>
        </w:rPr>
        <w:t xml:space="preserve">MACHADO, Hugo de Brito. </w:t>
      </w:r>
      <w:r w:rsidRPr="00B63EFF">
        <w:rPr>
          <w:rFonts w:ascii="Times New Roman" w:hAnsi="Times New Roman" w:cs="Times New Roman"/>
          <w:b/>
          <w:sz w:val="24"/>
          <w:szCs w:val="24"/>
        </w:rPr>
        <w:t>Curso de direito tributário</w:t>
      </w:r>
      <w:r w:rsidRPr="00B63EFF">
        <w:rPr>
          <w:rFonts w:ascii="Times New Roman" w:hAnsi="Times New Roman" w:cs="Times New Roman"/>
          <w:sz w:val="24"/>
          <w:szCs w:val="24"/>
        </w:rPr>
        <w:t xml:space="preserve">. 30ª ed. </w:t>
      </w:r>
      <w:r w:rsidR="00B63EFF" w:rsidRPr="00B63EFF">
        <w:rPr>
          <w:rFonts w:ascii="Times New Roman" w:hAnsi="Times New Roman" w:cs="Times New Roman"/>
          <w:sz w:val="24"/>
          <w:szCs w:val="24"/>
        </w:rPr>
        <w:t>São Paulo: Malheiros, 2010.</w:t>
      </w:r>
      <w:r w:rsidR="009F6215" w:rsidRPr="009F6215">
        <w:rPr>
          <w:rFonts w:ascii="Times New Roman" w:hAnsi="Times New Roman" w:cs="Times New Roman"/>
          <w:sz w:val="24"/>
          <w:szCs w:val="24"/>
        </w:rPr>
        <w:t xml:space="preserve"> </w:t>
      </w:r>
    </w:p>
    <w:p w:rsidR="00521F23" w:rsidRDefault="009F6215" w:rsidP="009F6215">
      <w:pPr>
        <w:spacing w:after="0" w:line="240" w:lineRule="auto"/>
        <w:rPr>
          <w:rFonts w:ascii="Times New Roman" w:hAnsi="Times New Roman" w:cs="Times New Roman"/>
          <w:sz w:val="24"/>
          <w:szCs w:val="24"/>
        </w:rPr>
      </w:pPr>
      <w:r w:rsidRPr="009F6215">
        <w:rPr>
          <w:rFonts w:ascii="Times New Roman" w:hAnsi="Times New Roman" w:cs="Times New Roman"/>
          <w:sz w:val="24"/>
          <w:szCs w:val="24"/>
        </w:rPr>
        <w:t xml:space="preserve">PICOLIN, Rodrigo Gustavo. </w:t>
      </w:r>
      <w:r w:rsidRPr="009F6215">
        <w:rPr>
          <w:rFonts w:ascii="Times New Roman" w:hAnsi="Times New Roman" w:cs="Times New Roman"/>
          <w:b/>
          <w:sz w:val="24"/>
          <w:szCs w:val="24"/>
        </w:rPr>
        <w:t>Exceções ao princípio da anterioridade.</w:t>
      </w:r>
      <w:r w:rsidRPr="009F6215">
        <w:rPr>
          <w:rFonts w:ascii="Times New Roman" w:hAnsi="Times New Roman" w:cs="Times New Roman"/>
          <w:sz w:val="24"/>
          <w:szCs w:val="24"/>
        </w:rPr>
        <w:t xml:space="preserve"> Disponível em: </w:t>
      </w:r>
      <w:hyperlink r:id="rId13" w:history="1">
        <w:r w:rsidRPr="009F6215">
          <w:rPr>
            <w:rStyle w:val="Hyperlink"/>
            <w:rFonts w:ascii="Times New Roman" w:hAnsi="Times New Roman" w:cs="Times New Roman"/>
            <w:color w:val="auto"/>
            <w:sz w:val="24"/>
            <w:szCs w:val="24"/>
            <w:u w:val="none"/>
          </w:rPr>
          <w:t>http</w:t>
        </w:r>
        <w:r w:rsidRPr="009F6215">
          <w:rPr>
            <w:rStyle w:val="Hyperlink"/>
            <w:rFonts w:ascii="Times New Roman" w:hAnsi="Times New Roman" w:cs="Times New Roman"/>
            <w:b/>
            <w:color w:val="auto"/>
            <w:sz w:val="24"/>
            <w:szCs w:val="24"/>
            <w:u w:val="none"/>
          </w:rPr>
          <w:t>://www.jurisway.org.br/v2/dhall.asp?id_dh=153</w:t>
        </w:r>
      </w:hyperlink>
      <w:r w:rsidRPr="009F6215">
        <w:rPr>
          <w:rFonts w:ascii="Times New Roman" w:hAnsi="Times New Roman" w:cs="Times New Roman"/>
          <w:b/>
          <w:sz w:val="24"/>
          <w:szCs w:val="24"/>
        </w:rPr>
        <w:t xml:space="preserve">. </w:t>
      </w:r>
      <w:r w:rsidRPr="009F6215">
        <w:rPr>
          <w:rFonts w:ascii="Times New Roman" w:hAnsi="Times New Roman" w:cs="Times New Roman"/>
          <w:sz w:val="24"/>
          <w:szCs w:val="24"/>
        </w:rPr>
        <w:t>Acesso em: 21, set 2015.</w:t>
      </w:r>
    </w:p>
    <w:p w:rsidR="009F6215" w:rsidRPr="00B63EFF" w:rsidRDefault="009F6215" w:rsidP="009F6215">
      <w:pPr>
        <w:spacing w:after="0" w:line="240" w:lineRule="auto"/>
        <w:rPr>
          <w:rFonts w:ascii="Times New Roman" w:hAnsi="Times New Roman" w:cs="Times New Roman"/>
          <w:sz w:val="24"/>
          <w:szCs w:val="24"/>
        </w:rPr>
      </w:pPr>
    </w:p>
    <w:p w:rsidR="002A362A" w:rsidRPr="00B63EFF" w:rsidRDefault="002A362A" w:rsidP="00B63EFF">
      <w:pPr>
        <w:spacing w:line="240" w:lineRule="auto"/>
        <w:rPr>
          <w:rFonts w:ascii="Times New Roman" w:hAnsi="Times New Roman" w:cs="Times New Roman"/>
          <w:sz w:val="24"/>
          <w:szCs w:val="24"/>
        </w:rPr>
      </w:pPr>
      <w:r w:rsidRPr="00B63EFF">
        <w:rPr>
          <w:rFonts w:ascii="Times New Roman" w:hAnsi="Times New Roman" w:cs="Times New Roman"/>
          <w:sz w:val="24"/>
          <w:szCs w:val="24"/>
        </w:rPr>
        <w:t xml:space="preserve">SABBAG, Eduardo. </w:t>
      </w:r>
      <w:r w:rsidRPr="00B63EFF">
        <w:rPr>
          <w:rFonts w:ascii="Times New Roman" w:hAnsi="Times New Roman" w:cs="Times New Roman"/>
          <w:b/>
          <w:sz w:val="24"/>
          <w:szCs w:val="24"/>
        </w:rPr>
        <w:t>Manual de direito tributário</w:t>
      </w:r>
      <w:r w:rsidRPr="00B63EFF">
        <w:rPr>
          <w:rFonts w:ascii="Times New Roman" w:hAnsi="Times New Roman" w:cs="Times New Roman"/>
          <w:sz w:val="24"/>
          <w:szCs w:val="24"/>
        </w:rPr>
        <w:t>. 7ª ed. Saraiva, 2015.</w:t>
      </w:r>
    </w:p>
    <w:p w:rsidR="002A362A" w:rsidRPr="00B63EFF" w:rsidRDefault="002A362A" w:rsidP="00B63EFF">
      <w:pPr>
        <w:spacing w:line="240" w:lineRule="auto"/>
        <w:rPr>
          <w:rFonts w:ascii="Times New Roman" w:hAnsi="Times New Roman" w:cs="Times New Roman"/>
          <w:sz w:val="24"/>
          <w:szCs w:val="24"/>
        </w:rPr>
      </w:pPr>
      <w:r w:rsidRPr="00B63EFF">
        <w:rPr>
          <w:rFonts w:ascii="Times New Roman" w:hAnsi="Times New Roman" w:cs="Times New Roman"/>
          <w:spacing w:val="2"/>
          <w:sz w:val="24"/>
          <w:szCs w:val="24"/>
        </w:rPr>
        <w:t xml:space="preserve">VELLOSO, Andrei </w:t>
      </w:r>
      <w:proofErr w:type="spellStart"/>
      <w:r w:rsidRPr="00B63EFF">
        <w:rPr>
          <w:rFonts w:ascii="Times New Roman" w:hAnsi="Times New Roman" w:cs="Times New Roman"/>
          <w:spacing w:val="2"/>
          <w:sz w:val="24"/>
          <w:szCs w:val="24"/>
        </w:rPr>
        <w:t>Pitten</w:t>
      </w:r>
      <w:proofErr w:type="spellEnd"/>
      <w:r w:rsidRPr="00B63EFF">
        <w:rPr>
          <w:rFonts w:ascii="Times New Roman" w:hAnsi="Times New Roman" w:cs="Times New Roman"/>
          <w:spacing w:val="2"/>
          <w:sz w:val="24"/>
          <w:szCs w:val="24"/>
        </w:rPr>
        <w:t xml:space="preserve">. </w:t>
      </w:r>
      <w:r w:rsidRPr="00B63EFF">
        <w:rPr>
          <w:rFonts w:ascii="Times New Roman" w:hAnsi="Times New Roman" w:cs="Times New Roman"/>
          <w:b/>
          <w:spacing w:val="2"/>
          <w:sz w:val="24"/>
          <w:szCs w:val="24"/>
        </w:rPr>
        <w:t xml:space="preserve">Novo regime do ICMS nas operações interestaduais (EC 87/2015). </w:t>
      </w:r>
      <w:r w:rsidRPr="00B63EFF">
        <w:rPr>
          <w:rFonts w:ascii="Times New Roman" w:hAnsi="Times New Roman" w:cs="Times New Roman"/>
          <w:spacing w:val="2"/>
          <w:sz w:val="24"/>
          <w:szCs w:val="24"/>
        </w:rPr>
        <w:t xml:space="preserve">Disponível em: </w:t>
      </w:r>
      <w:hyperlink r:id="rId14" w:history="1">
        <w:r w:rsidRPr="00B63EFF">
          <w:rPr>
            <w:rStyle w:val="Hyperlink"/>
            <w:rFonts w:ascii="Times New Roman" w:hAnsi="Times New Roman" w:cs="Times New Roman"/>
            <w:color w:val="auto"/>
            <w:spacing w:val="2"/>
            <w:sz w:val="24"/>
            <w:szCs w:val="24"/>
            <w:u w:val="none"/>
          </w:rPr>
          <w:t>http://www.cartaforense.com.br/conteudo/colunas/novo-regime-do-icms-nas-operacoes-interestaduais-ec-872015/15286</w:t>
        </w:r>
      </w:hyperlink>
      <w:r w:rsidRPr="00B63EFF">
        <w:rPr>
          <w:rFonts w:ascii="Times New Roman" w:hAnsi="Times New Roman" w:cs="Times New Roman"/>
          <w:spacing w:val="2"/>
          <w:sz w:val="24"/>
          <w:szCs w:val="24"/>
        </w:rPr>
        <w:t>. Acesso em: 29 set, 2015.</w:t>
      </w:r>
    </w:p>
    <w:p w:rsidR="008B3D0C" w:rsidRPr="008B3D0C" w:rsidRDefault="008B3D0C" w:rsidP="009F6215">
      <w:pPr>
        <w:spacing w:after="0" w:line="240" w:lineRule="auto"/>
        <w:rPr>
          <w:b/>
        </w:rPr>
      </w:pPr>
      <w:bookmarkStart w:id="0" w:name="_GoBack"/>
      <w:bookmarkEnd w:id="0"/>
    </w:p>
    <w:sectPr w:rsidR="008B3D0C" w:rsidRPr="008B3D0C" w:rsidSect="00D016A2">
      <w:headerReference w:type="default" r:id="rId15"/>
      <w:headerReference w:type="first" r:id="rId16"/>
      <w:pgSz w:w="11906" w:h="16838"/>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8AF" w:rsidRDefault="00BF78AF" w:rsidP="00DA471F">
      <w:pPr>
        <w:spacing w:after="0" w:line="240" w:lineRule="auto"/>
      </w:pPr>
      <w:r>
        <w:separator/>
      </w:r>
    </w:p>
  </w:endnote>
  <w:endnote w:type="continuationSeparator" w:id="0">
    <w:p w:rsidR="00BF78AF" w:rsidRDefault="00BF78AF" w:rsidP="00DA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8AF" w:rsidRDefault="00BF78AF" w:rsidP="00DA471F">
      <w:pPr>
        <w:spacing w:after="0" w:line="240" w:lineRule="auto"/>
      </w:pPr>
      <w:r>
        <w:separator/>
      </w:r>
    </w:p>
  </w:footnote>
  <w:footnote w:type="continuationSeparator" w:id="0">
    <w:p w:rsidR="00BF78AF" w:rsidRDefault="00BF78AF" w:rsidP="00DA471F">
      <w:pPr>
        <w:spacing w:after="0" w:line="240" w:lineRule="auto"/>
      </w:pPr>
      <w:r>
        <w:continuationSeparator/>
      </w:r>
    </w:p>
  </w:footnote>
  <w:footnote w:id="1">
    <w:p w:rsidR="00DA471F" w:rsidRDefault="00DA471F">
      <w:pPr>
        <w:pStyle w:val="Textodenotaderodap"/>
      </w:pPr>
      <w:r>
        <w:rPr>
          <w:rStyle w:val="Refdenotaderodap"/>
        </w:rPr>
        <w:footnoteRef/>
      </w:r>
      <w:r>
        <w:t xml:space="preserve"> </w:t>
      </w:r>
      <w:proofErr w:type="spellStart"/>
      <w:r>
        <w:t>P</w:t>
      </w:r>
      <w:r>
        <w:rPr>
          <w:rFonts w:ascii="Times New Roman" w:hAnsi="Times New Roman" w:cs="Times New Roman"/>
        </w:rPr>
        <w:t>aper</w:t>
      </w:r>
      <w:proofErr w:type="spellEnd"/>
      <w:r w:rsidRPr="00C576F2">
        <w:rPr>
          <w:rFonts w:ascii="Times New Roman" w:hAnsi="Times New Roman" w:cs="Times New Roman"/>
        </w:rPr>
        <w:t xml:space="preserve"> apresentado à disciplina Direito Tributário I, da Unidade de Ensino Superior Dom Bosco – UNDB.</w:t>
      </w:r>
    </w:p>
  </w:footnote>
  <w:footnote w:id="2">
    <w:p w:rsidR="00DA471F" w:rsidRDefault="00DA471F">
      <w:pPr>
        <w:pStyle w:val="Textodenotaderodap"/>
      </w:pPr>
      <w:r>
        <w:rPr>
          <w:rStyle w:val="Refdenotaderodap"/>
        </w:rPr>
        <w:footnoteRef/>
      </w:r>
      <w:r>
        <w:t xml:space="preserve"> Alunas do 7º período do Curso de Direito da UNDB.</w:t>
      </w:r>
    </w:p>
  </w:footnote>
  <w:footnote w:id="3">
    <w:p w:rsidR="00DA471F" w:rsidRDefault="00DA471F">
      <w:pPr>
        <w:pStyle w:val="Textodenotaderodap"/>
      </w:pPr>
      <w:r>
        <w:rPr>
          <w:rStyle w:val="Refdenotaderodap"/>
        </w:rPr>
        <w:footnoteRef/>
      </w:r>
      <w:r>
        <w:t xml:space="preserve"> Professor Mestre,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1F" w:rsidRPr="00DA471F" w:rsidRDefault="00DA471F" w:rsidP="00DA471F">
    <w:pPr>
      <w:pStyle w:val="Cabealho"/>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1F" w:rsidRDefault="00DA471F" w:rsidP="00DA471F">
    <w:pPr>
      <w:pStyle w:val="Cabealho"/>
      <w:jc w:val="center"/>
    </w:pPr>
    <w:r>
      <w:rPr>
        <w:noProof/>
        <w:lang w:eastAsia="pt-BR"/>
      </w:rPr>
      <w:drawing>
        <wp:inline distT="0" distB="0" distL="0" distR="0" wp14:anchorId="0A4DF22B" wp14:editId="7B542D3F">
          <wp:extent cx="2085975" cy="809625"/>
          <wp:effectExtent l="0" t="0" r="9525" b="9525"/>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809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1F"/>
    <w:rsid w:val="00012F6B"/>
    <w:rsid w:val="00040573"/>
    <w:rsid w:val="00094914"/>
    <w:rsid w:val="000E7800"/>
    <w:rsid w:val="00123455"/>
    <w:rsid w:val="00195780"/>
    <w:rsid w:val="001A132D"/>
    <w:rsid w:val="00207277"/>
    <w:rsid w:val="002516E5"/>
    <w:rsid w:val="002A362A"/>
    <w:rsid w:val="00307A0A"/>
    <w:rsid w:val="003931EC"/>
    <w:rsid w:val="003B16F4"/>
    <w:rsid w:val="003C0737"/>
    <w:rsid w:val="003D3AFE"/>
    <w:rsid w:val="00426113"/>
    <w:rsid w:val="004D003D"/>
    <w:rsid w:val="004E4172"/>
    <w:rsid w:val="00516FA5"/>
    <w:rsid w:val="00521F23"/>
    <w:rsid w:val="00595613"/>
    <w:rsid w:val="005F02D1"/>
    <w:rsid w:val="005F4BEE"/>
    <w:rsid w:val="006E1DB9"/>
    <w:rsid w:val="00734962"/>
    <w:rsid w:val="00735CBD"/>
    <w:rsid w:val="00755121"/>
    <w:rsid w:val="00782183"/>
    <w:rsid w:val="00797886"/>
    <w:rsid w:val="007D293A"/>
    <w:rsid w:val="00823179"/>
    <w:rsid w:val="008828A6"/>
    <w:rsid w:val="008B3D0C"/>
    <w:rsid w:val="008C522F"/>
    <w:rsid w:val="00905F7E"/>
    <w:rsid w:val="009C105F"/>
    <w:rsid w:val="009F6215"/>
    <w:rsid w:val="00AB6B3C"/>
    <w:rsid w:val="00AC117F"/>
    <w:rsid w:val="00AE39E7"/>
    <w:rsid w:val="00B63EFF"/>
    <w:rsid w:val="00B64DD0"/>
    <w:rsid w:val="00B76933"/>
    <w:rsid w:val="00BF78AF"/>
    <w:rsid w:val="00CA3C37"/>
    <w:rsid w:val="00D016A2"/>
    <w:rsid w:val="00DA471F"/>
    <w:rsid w:val="00E05AB9"/>
    <w:rsid w:val="00E233E6"/>
    <w:rsid w:val="00F73D2C"/>
    <w:rsid w:val="00FD2E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6551A-9843-4A3A-A8DB-2247E5B6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Pr>
      <w:rFonts w:asciiTheme="majorHAnsi" w:eastAsiaTheme="majorEastAsia" w:hAnsiTheme="majorHAnsi" w:cstheme="majorBidi"/>
      <w:i/>
      <w:iCs/>
      <w:color w:val="4F81BD" w:themeColor="accent1"/>
      <w:spacing w:val="15"/>
      <w:sz w:val="24"/>
      <w:szCs w:val="24"/>
    </w:rPr>
  </w:style>
  <w:style w:type="character" w:styleId="nfaseSutil">
    <w:name w:val="Subtle Emphasis"/>
    <w:basedOn w:val="Fontepargpadro"/>
    <w:uiPriority w:val="19"/>
    <w:qFormat/>
    <w:rPr>
      <w:i/>
      <w:iCs/>
      <w:color w:val="808080" w:themeColor="text1" w:themeTint="7F"/>
    </w:rPr>
  </w:style>
  <w:style w:type="character" w:styleId="nfase">
    <w:name w:val="Emphasis"/>
    <w:basedOn w:val="Fontepargpadro"/>
    <w:uiPriority w:val="20"/>
    <w:qFormat/>
    <w:rPr>
      <w:i/>
      <w:iCs/>
    </w:rPr>
  </w:style>
  <w:style w:type="character" w:styleId="nfaseIntensa">
    <w:name w:val="Intense Emphasis"/>
    <w:basedOn w:val="Fontepargpadro"/>
    <w:uiPriority w:val="21"/>
    <w:qFormat/>
    <w:rPr>
      <w:b/>
      <w:bCs/>
      <w:i/>
      <w:iCs/>
      <w:color w:val="4F81BD" w:themeColor="accent1"/>
    </w:rPr>
  </w:style>
  <w:style w:type="character" w:styleId="Forte">
    <w:name w:val="Strong"/>
    <w:basedOn w:val="Fontepargpadro"/>
    <w:uiPriority w:val="22"/>
    <w:qFormat/>
    <w:rPr>
      <w:b/>
      <w:bCs/>
    </w:rPr>
  </w:style>
  <w:style w:type="paragraph" w:styleId="Citao">
    <w:name w:val="Quote"/>
    <w:basedOn w:val="Normal"/>
    <w:next w:val="Normal"/>
    <w:link w:val="CitaoChar"/>
    <w:uiPriority w:val="29"/>
    <w:qFormat/>
    <w:rPr>
      <w:i/>
      <w:iCs/>
      <w:color w:val="000000" w:themeColor="text1"/>
    </w:rPr>
  </w:style>
  <w:style w:type="character" w:customStyle="1" w:styleId="CitaoChar">
    <w:name w:val="Citação Char"/>
    <w:basedOn w:val="Fontepargpadro"/>
    <w:link w:val="Citao"/>
    <w:uiPriority w:val="29"/>
    <w:rPr>
      <w:i/>
      <w:iCs/>
      <w:color w:val="000000" w:themeColor="text1"/>
    </w:rPr>
  </w:style>
  <w:style w:type="paragraph" w:styleId="CitaoIntensa">
    <w:name w:val="Intense Quote"/>
    <w:basedOn w:val="Normal"/>
    <w:next w:val="Normal"/>
    <w:link w:val="CitaoIntensa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Pr>
      <w:b/>
      <w:bCs/>
      <w:i/>
      <w:iCs/>
      <w:color w:val="4F81BD" w:themeColor="accent1"/>
    </w:rPr>
  </w:style>
  <w:style w:type="character" w:styleId="RefernciaSutil">
    <w:name w:val="Subtle Reference"/>
    <w:basedOn w:val="Fontepargpadro"/>
    <w:uiPriority w:val="31"/>
    <w:qFormat/>
    <w:rPr>
      <w:smallCaps/>
      <w:color w:val="C0504D" w:themeColor="accent2"/>
      <w:u w:val="single"/>
    </w:rPr>
  </w:style>
  <w:style w:type="character" w:styleId="RefernciaIntensa">
    <w:name w:val="Intense Reference"/>
    <w:basedOn w:val="Fontepargpadro"/>
    <w:uiPriority w:val="32"/>
    <w:qFormat/>
    <w:rPr>
      <w:b/>
      <w:bCs/>
      <w:smallCaps/>
      <w:color w:val="C0504D" w:themeColor="accent2"/>
      <w:spacing w:val="5"/>
      <w:u w:val="single"/>
    </w:rPr>
  </w:style>
  <w:style w:type="character" w:styleId="TtulodoLivro">
    <w:name w:val="Book Title"/>
    <w:basedOn w:val="Fontepargpadro"/>
    <w:uiPriority w:val="33"/>
    <w:qFormat/>
    <w:rPr>
      <w:b/>
      <w:bCs/>
      <w:smallCaps/>
      <w:spacing w:val="5"/>
    </w:r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unhideWhenUsed/>
    <w:rPr>
      <w:color w:val="800080" w:themeColor="followedHyperlink"/>
      <w:u w:val="single"/>
    </w:rPr>
  </w:style>
  <w:style w:type="paragraph" w:styleId="Cabealho">
    <w:name w:val="header"/>
    <w:basedOn w:val="Normal"/>
    <w:link w:val="CabealhoChar"/>
    <w:uiPriority w:val="99"/>
    <w:unhideWhenUsed/>
    <w:rsid w:val="00DA47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471F"/>
  </w:style>
  <w:style w:type="paragraph" w:styleId="Rodap">
    <w:name w:val="footer"/>
    <w:basedOn w:val="Normal"/>
    <w:link w:val="RodapChar"/>
    <w:uiPriority w:val="99"/>
    <w:unhideWhenUsed/>
    <w:rsid w:val="00DA471F"/>
    <w:pPr>
      <w:tabs>
        <w:tab w:val="center" w:pos="4252"/>
        <w:tab w:val="right" w:pos="8504"/>
      </w:tabs>
      <w:spacing w:after="0" w:line="240" w:lineRule="auto"/>
    </w:pPr>
  </w:style>
  <w:style w:type="character" w:customStyle="1" w:styleId="RodapChar">
    <w:name w:val="Rodapé Char"/>
    <w:basedOn w:val="Fontepargpadro"/>
    <w:link w:val="Rodap"/>
    <w:uiPriority w:val="99"/>
    <w:rsid w:val="00DA471F"/>
  </w:style>
  <w:style w:type="paragraph" w:styleId="Textodenotaderodap">
    <w:name w:val="footnote text"/>
    <w:basedOn w:val="Normal"/>
    <w:link w:val="TextodenotaderodapChar"/>
    <w:uiPriority w:val="99"/>
    <w:semiHidden/>
    <w:unhideWhenUsed/>
    <w:rsid w:val="00DA47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471F"/>
    <w:rPr>
      <w:sz w:val="20"/>
      <w:szCs w:val="20"/>
    </w:rPr>
  </w:style>
  <w:style w:type="character" w:styleId="Refdenotaderodap">
    <w:name w:val="footnote reference"/>
    <w:basedOn w:val="Fontepargpadro"/>
    <w:uiPriority w:val="99"/>
    <w:semiHidden/>
    <w:unhideWhenUsed/>
    <w:rsid w:val="00DA471F"/>
    <w:rPr>
      <w:vertAlign w:val="superscript"/>
    </w:rPr>
  </w:style>
  <w:style w:type="paragraph" w:styleId="NormalWeb">
    <w:name w:val="Normal (Web)"/>
    <w:basedOn w:val="Normal"/>
    <w:uiPriority w:val="99"/>
    <w:unhideWhenUsed/>
    <w:rsid w:val="004E41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rategiaconcursos.com.br/blog/comentarios-a-ec-no-872015-icms/" TargetMode="External"/><Relationship Id="rId13" Type="http://schemas.openxmlformats.org/officeDocument/2006/relationships/hyperlink" Target="http://www.jurisway.org.br/v2/dhall.asp?id_dh=15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alhas.com.br/dePeso/16,MI220353,31047EC+8715+O+que+muda+no+ICMS+para+as+vendas+online" TargetMode="External"/><Relationship Id="rId12" Type="http://schemas.openxmlformats.org/officeDocument/2006/relationships/hyperlink" Target="http://www.andradesilva.com.br/artigos/icms-no-comercio-eletronico-estados-prejudicados-compensarao-perdas-com-outras-medidas-fiscai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igalhas.com.br/dePeso/16,MI220353,31047-EC+8715+O+que+muda+no+ICMS+para+as+vendas+onlin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ireitonet.com.br/artigos/exibir/2821/O-Principio-da-Anterioridade-Tributaria" TargetMode="External"/><Relationship Id="rId4" Type="http://schemas.openxmlformats.org/officeDocument/2006/relationships/webSettings" Target="webSettings.xml"/><Relationship Id="rId9" Type="http://schemas.openxmlformats.org/officeDocument/2006/relationships/hyperlink" Target="http://tdn.totvs.com/pages/releaseview.action;jsessionid=54C3FCCE9580E91DB570050725F046F4?pageId=189301460" TargetMode="External"/><Relationship Id="rId14" Type="http://schemas.openxmlformats.org/officeDocument/2006/relationships/hyperlink" Target="http://www.cartaforense.com.br/conteudo/colunas/novo-regime-do-icms-nas-operacoes-interestaduais-ec-872015/1528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5257-70B8-4155-BB84-836CE0E1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369</TotalTime>
  <Pages>10</Pages>
  <Words>3885</Words>
  <Characters>20981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dc:creator>
  <cp:keywords/>
  <dc:description/>
  <cp:lastModifiedBy>Natacha</cp:lastModifiedBy>
  <cp:revision>10</cp:revision>
  <dcterms:created xsi:type="dcterms:W3CDTF">2015-10-20T11:17:00Z</dcterms:created>
  <dcterms:modified xsi:type="dcterms:W3CDTF">2015-10-27T13:02:00Z</dcterms:modified>
</cp:coreProperties>
</file>