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0CFC" w:rsidRPr="006719F9" w:rsidRDefault="00010CFC" w:rsidP="00264D85">
      <w:pPr>
        <w:autoSpaceDE w:val="0"/>
        <w:autoSpaceDN w:val="0"/>
        <w:adjustRightInd w:val="0"/>
        <w:spacing w:after="0"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INDICIAMENTO NO INQUÉRITO POLICIAL</w:t>
      </w:r>
      <w:r>
        <w:rPr>
          <w:rFonts w:ascii="Times New Roman" w:hAnsi="Times New Roman" w:cs="Times New Roman"/>
          <w:bCs/>
          <w:color w:val="000000"/>
          <w:sz w:val="24"/>
          <w:szCs w:val="24"/>
        </w:rPr>
        <w:t xml:space="preserve"> </w:t>
      </w:r>
      <w:r>
        <w:rPr>
          <w:rStyle w:val="Refdenotaderodap"/>
          <w:rFonts w:ascii="Times New Roman" w:hAnsi="Times New Roman" w:cs="Times New Roman"/>
          <w:bCs/>
          <w:color w:val="000000"/>
          <w:sz w:val="24"/>
          <w:szCs w:val="24"/>
        </w:rPr>
        <w:footnoteReference w:id="1"/>
      </w:r>
    </w:p>
    <w:p w:rsidR="00010CFC" w:rsidRDefault="00010CFC" w:rsidP="00010CFC">
      <w:pPr>
        <w:autoSpaceDE w:val="0"/>
        <w:autoSpaceDN w:val="0"/>
        <w:adjustRightInd w:val="0"/>
        <w:spacing w:after="0" w:line="360" w:lineRule="auto"/>
        <w:jc w:val="center"/>
        <w:rPr>
          <w:rFonts w:ascii="Times New Roman" w:hAnsi="Times New Roman" w:cs="Times New Roman"/>
          <w:bCs/>
          <w:color w:val="000000"/>
          <w:sz w:val="24"/>
          <w:szCs w:val="24"/>
        </w:rPr>
      </w:pPr>
    </w:p>
    <w:p w:rsidR="00010CFC" w:rsidRPr="00216526" w:rsidRDefault="00010CFC" w:rsidP="00010CFC">
      <w:pPr>
        <w:autoSpaceDE w:val="0"/>
        <w:autoSpaceDN w:val="0"/>
        <w:adjustRightInd w:val="0"/>
        <w:spacing w:after="0" w:line="360" w:lineRule="auto"/>
        <w:jc w:val="right"/>
        <w:rPr>
          <w:rFonts w:ascii="Times New Roman" w:hAnsi="Times New Roman" w:cs="Times New Roman"/>
          <w:bCs/>
          <w:i/>
          <w:color w:val="000000"/>
          <w:sz w:val="20"/>
          <w:szCs w:val="20"/>
        </w:rPr>
      </w:pPr>
      <w:r w:rsidRPr="00216526">
        <w:rPr>
          <w:rFonts w:ascii="Times New Roman" w:hAnsi="Times New Roman" w:cs="Times New Roman"/>
          <w:bCs/>
          <w:i/>
          <w:color w:val="000000"/>
          <w:sz w:val="20"/>
          <w:szCs w:val="20"/>
        </w:rPr>
        <w:t>Darla de Medeiros Gonçalves Gaspar</w:t>
      </w:r>
      <w:r w:rsidRPr="00216526">
        <w:rPr>
          <w:rStyle w:val="Refdenotaderodap"/>
          <w:rFonts w:ascii="Times New Roman" w:hAnsi="Times New Roman" w:cs="Times New Roman"/>
          <w:bCs/>
          <w:i/>
          <w:color w:val="000000"/>
          <w:sz w:val="20"/>
          <w:szCs w:val="20"/>
        </w:rPr>
        <w:footnoteReference w:id="2"/>
      </w:r>
    </w:p>
    <w:p w:rsidR="00010CFC" w:rsidRPr="00216526" w:rsidRDefault="00010CFC" w:rsidP="00010CFC">
      <w:pPr>
        <w:autoSpaceDE w:val="0"/>
        <w:autoSpaceDN w:val="0"/>
        <w:adjustRightInd w:val="0"/>
        <w:spacing w:after="0" w:line="360" w:lineRule="auto"/>
        <w:jc w:val="right"/>
        <w:rPr>
          <w:rFonts w:ascii="Times New Roman" w:hAnsi="Times New Roman" w:cs="Times New Roman"/>
          <w:bCs/>
          <w:i/>
          <w:color w:val="000000"/>
          <w:sz w:val="20"/>
          <w:szCs w:val="20"/>
        </w:rPr>
      </w:pPr>
      <w:r w:rsidRPr="00216526">
        <w:rPr>
          <w:rFonts w:ascii="Times New Roman" w:hAnsi="Times New Roman" w:cs="Times New Roman"/>
          <w:bCs/>
          <w:i/>
          <w:color w:val="000000"/>
          <w:sz w:val="20"/>
          <w:szCs w:val="20"/>
        </w:rPr>
        <w:t>Thaís Rodrigues da Silva</w:t>
      </w:r>
      <w:r w:rsidRPr="00216526">
        <w:rPr>
          <w:rStyle w:val="Refdenotaderodap"/>
          <w:rFonts w:ascii="Times New Roman" w:hAnsi="Times New Roman" w:cs="Times New Roman"/>
          <w:bCs/>
          <w:i/>
          <w:color w:val="000000"/>
          <w:sz w:val="20"/>
          <w:szCs w:val="20"/>
        </w:rPr>
        <w:footnoteReference w:id="3"/>
      </w:r>
    </w:p>
    <w:p w:rsidR="00010CFC" w:rsidRPr="00216526" w:rsidRDefault="00010CFC" w:rsidP="00010CFC">
      <w:pPr>
        <w:autoSpaceDE w:val="0"/>
        <w:autoSpaceDN w:val="0"/>
        <w:adjustRightInd w:val="0"/>
        <w:spacing w:after="0" w:line="360" w:lineRule="auto"/>
        <w:jc w:val="right"/>
        <w:rPr>
          <w:rFonts w:ascii="Times New Roman" w:hAnsi="Times New Roman" w:cs="Times New Roman"/>
          <w:bCs/>
          <w:i/>
          <w:color w:val="000000"/>
          <w:sz w:val="20"/>
          <w:szCs w:val="20"/>
        </w:rPr>
      </w:pPr>
      <w:r>
        <w:rPr>
          <w:rFonts w:ascii="Times New Roman" w:hAnsi="Times New Roman" w:cs="Times New Roman"/>
          <w:bCs/>
          <w:i/>
          <w:color w:val="000000"/>
          <w:sz w:val="20"/>
          <w:szCs w:val="20"/>
        </w:rPr>
        <w:t>Cleopas Isaías Santo</w:t>
      </w:r>
      <w:r w:rsidRPr="00216526">
        <w:rPr>
          <w:rFonts w:ascii="Times New Roman" w:hAnsi="Times New Roman" w:cs="Times New Roman"/>
          <w:bCs/>
          <w:i/>
          <w:color w:val="000000"/>
          <w:sz w:val="20"/>
          <w:szCs w:val="20"/>
        </w:rPr>
        <w:t>s</w:t>
      </w:r>
      <w:r w:rsidRPr="00216526">
        <w:rPr>
          <w:rStyle w:val="Refdenotaderodap"/>
          <w:rFonts w:ascii="Times New Roman" w:hAnsi="Times New Roman" w:cs="Times New Roman"/>
          <w:bCs/>
          <w:i/>
          <w:color w:val="000000"/>
          <w:sz w:val="20"/>
          <w:szCs w:val="20"/>
        </w:rPr>
        <w:footnoteReference w:id="4"/>
      </w:r>
    </w:p>
    <w:p w:rsidR="00010CFC" w:rsidRDefault="00010CFC" w:rsidP="00010CFC">
      <w:pPr>
        <w:autoSpaceDE w:val="0"/>
        <w:autoSpaceDN w:val="0"/>
        <w:adjustRightInd w:val="0"/>
        <w:spacing w:after="0" w:line="360" w:lineRule="auto"/>
        <w:jc w:val="right"/>
        <w:rPr>
          <w:rFonts w:ascii="Times New Roman" w:hAnsi="Times New Roman" w:cs="Times New Roman"/>
          <w:bCs/>
          <w:color w:val="000000"/>
          <w:sz w:val="20"/>
          <w:szCs w:val="20"/>
        </w:rPr>
      </w:pPr>
    </w:p>
    <w:p w:rsidR="00010CFC" w:rsidRDefault="00010CFC" w:rsidP="00010CFC">
      <w:pPr>
        <w:spacing w:after="0" w:line="240" w:lineRule="auto"/>
        <w:ind w:left="3402"/>
        <w:jc w:val="both"/>
        <w:rPr>
          <w:rFonts w:ascii="Times New Roman" w:hAnsi="Times New Roman" w:cs="Times New Roman"/>
          <w:bCs/>
          <w:sz w:val="20"/>
          <w:szCs w:val="20"/>
        </w:rPr>
      </w:pPr>
      <w:r>
        <w:rPr>
          <w:rFonts w:ascii="Times New Roman" w:hAnsi="Times New Roman" w:cs="Times New Roman"/>
          <w:bCs/>
          <w:sz w:val="20"/>
          <w:szCs w:val="20"/>
        </w:rPr>
        <w:t>Sumário: Introdução; 1 Noções introdutórias acerca do Inquérito Policial;</w:t>
      </w:r>
      <w:r w:rsidR="00B20B6F">
        <w:rPr>
          <w:rFonts w:ascii="Times New Roman" w:hAnsi="Times New Roman" w:cs="Times New Roman"/>
          <w:bCs/>
          <w:sz w:val="20"/>
          <w:szCs w:val="20"/>
        </w:rPr>
        <w:t xml:space="preserve"> 1.1 Características do Inquérito Policial;</w:t>
      </w:r>
      <w:r>
        <w:rPr>
          <w:rFonts w:ascii="Times New Roman" w:hAnsi="Times New Roman" w:cs="Times New Roman"/>
          <w:bCs/>
          <w:sz w:val="20"/>
          <w:szCs w:val="20"/>
        </w:rPr>
        <w:t xml:space="preserve"> </w:t>
      </w:r>
      <w:r w:rsidR="00520765">
        <w:rPr>
          <w:rFonts w:ascii="Times New Roman" w:hAnsi="Times New Roman" w:cs="Times New Roman"/>
          <w:bCs/>
          <w:sz w:val="20"/>
          <w:szCs w:val="20"/>
        </w:rPr>
        <w:t xml:space="preserve">1.1.1 </w:t>
      </w:r>
      <w:r w:rsidR="00520765" w:rsidRPr="00520765">
        <w:rPr>
          <w:rFonts w:ascii="Times New Roman" w:hAnsi="Times New Roman" w:cs="Times New Roman"/>
          <w:bCs/>
          <w:sz w:val="20"/>
          <w:szCs w:val="20"/>
        </w:rPr>
        <w:t>Inquisitivo</w:t>
      </w:r>
      <w:r w:rsidR="00520765">
        <w:rPr>
          <w:rFonts w:ascii="Times New Roman" w:hAnsi="Times New Roman" w:cs="Times New Roman"/>
          <w:bCs/>
          <w:sz w:val="20"/>
          <w:szCs w:val="20"/>
        </w:rPr>
        <w:t>;</w:t>
      </w:r>
      <w:r w:rsidR="00520765" w:rsidRPr="00520765">
        <w:t xml:space="preserve"> </w:t>
      </w:r>
      <w:r w:rsidR="00520765">
        <w:rPr>
          <w:rFonts w:ascii="Times New Roman" w:hAnsi="Times New Roman" w:cs="Times New Roman"/>
          <w:bCs/>
          <w:sz w:val="20"/>
          <w:szCs w:val="20"/>
        </w:rPr>
        <w:t xml:space="preserve">1.1.2 </w:t>
      </w:r>
      <w:r w:rsidR="00520765" w:rsidRPr="00520765">
        <w:rPr>
          <w:rFonts w:ascii="Times New Roman" w:hAnsi="Times New Roman" w:cs="Times New Roman"/>
          <w:bCs/>
          <w:sz w:val="20"/>
          <w:szCs w:val="20"/>
        </w:rPr>
        <w:t>Formal</w:t>
      </w:r>
      <w:r w:rsidR="00520765">
        <w:rPr>
          <w:rFonts w:ascii="Times New Roman" w:hAnsi="Times New Roman" w:cs="Times New Roman"/>
          <w:bCs/>
          <w:sz w:val="20"/>
          <w:szCs w:val="20"/>
        </w:rPr>
        <w:t xml:space="preserve">; 1.1.3 Sistemático; 1.1.4 Administrativo; 1.1.5 Sigiloso; 1.1.6 Discricionário; 1.1.7 Indisponível; 1.1.8 Oficial; </w:t>
      </w:r>
      <w:r>
        <w:rPr>
          <w:rFonts w:ascii="Times New Roman" w:hAnsi="Times New Roman" w:cs="Times New Roman"/>
          <w:bCs/>
          <w:sz w:val="20"/>
          <w:szCs w:val="20"/>
        </w:rPr>
        <w:t>2 Aspectos da evolução histórica do Indiciamento no Inquérito Policial;</w:t>
      </w:r>
      <w:r w:rsidR="0007256C">
        <w:rPr>
          <w:rFonts w:ascii="Times New Roman" w:hAnsi="Times New Roman" w:cs="Times New Roman"/>
          <w:bCs/>
          <w:sz w:val="20"/>
          <w:szCs w:val="20"/>
        </w:rPr>
        <w:t xml:space="preserve"> </w:t>
      </w:r>
      <w:r>
        <w:rPr>
          <w:rFonts w:ascii="Times New Roman" w:hAnsi="Times New Roman" w:cs="Times New Roman"/>
          <w:bCs/>
          <w:sz w:val="20"/>
          <w:szCs w:val="20"/>
        </w:rPr>
        <w:t>3 A importância do Indiciamento no Processo Penal Brasileiro; 4 Identificando as etapas procedimentais do Indiciamento; Considerações Finais e Referências.</w:t>
      </w:r>
    </w:p>
    <w:p w:rsidR="00010CFC" w:rsidRPr="006272B8" w:rsidRDefault="00010CFC" w:rsidP="00010CFC">
      <w:pPr>
        <w:autoSpaceDE w:val="0"/>
        <w:autoSpaceDN w:val="0"/>
        <w:adjustRightInd w:val="0"/>
        <w:spacing w:after="0" w:line="360" w:lineRule="auto"/>
        <w:jc w:val="right"/>
        <w:rPr>
          <w:rFonts w:ascii="Times New Roman" w:hAnsi="Times New Roman" w:cs="Times New Roman"/>
          <w:bCs/>
          <w:color w:val="000000"/>
          <w:sz w:val="20"/>
          <w:szCs w:val="20"/>
        </w:rPr>
      </w:pPr>
    </w:p>
    <w:p w:rsidR="00010CFC" w:rsidRDefault="00010CFC" w:rsidP="00010CFC">
      <w:pPr>
        <w:autoSpaceDE w:val="0"/>
        <w:autoSpaceDN w:val="0"/>
        <w:adjustRightInd w:val="0"/>
        <w:spacing w:after="0" w:line="360" w:lineRule="auto"/>
        <w:jc w:val="both"/>
        <w:rPr>
          <w:rFonts w:ascii="Times New Roman" w:hAnsi="Times New Roman" w:cs="Times New Roman"/>
          <w:bCs/>
          <w:color w:val="000000"/>
          <w:sz w:val="24"/>
          <w:szCs w:val="24"/>
        </w:rPr>
      </w:pPr>
    </w:p>
    <w:p w:rsidR="00010CFC" w:rsidRDefault="00010CFC" w:rsidP="00971228">
      <w:pPr>
        <w:autoSpaceDE w:val="0"/>
        <w:autoSpaceDN w:val="0"/>
        <w:adjustRightInd w:val="0"/>
        <w:spacing w:after="0"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RESUMO</w:t>
      </w:r>
    </w:p>
    <w:p w:rsidR="00010CFC" w:rsidRDefault="00010CFC" w:rsidP="00010CF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O Código de Processo Penal Brasileiro dedica o Título II para tratar do Inquérito Policial, dada sua importância dentro dos trâmites procedimentais para uma correta aplicação da norma jurídica. Dessa forma, o</w:t>
      </w:r>
      <w:r>
        <w:rPr>
          <w:rFonts w:ascii="Times New Roman" w:hAnsi="Times New Roman" w:cs="Times New Roman"/>
          <w:bCs/>
          <w:color w:val="000000"/>
          <w:sz w:val="24"/>
          <w:szCs w:val="24"/>
        </w:rPr>
        <w:t xml:space="preserve"> presente artigo tem como objetivo expor como se dá o procedimento do indiciamento do inquérito policial.</w:t>
      </w:r>
      <w:r>
        <w:rPr>
          <w:rFonts w:ascii="Times New Roman" w:hAnsi="Times New Roman" w:cs="Times New Roman"/>
          <w:sz w:val="24"/>
          <w:szCs w:val="24"/>
        </w:rPr>
        <w:t xml:space="preserve"> Podendo-se perceber que a temática deste trabalho é de suma importância para a compreensão não só da teoria, mas também da prática processual penal. </w:t>
      </w:r>
    </w:p>
    <w:p w:rsidR="00010CFC" w:rsidRPr="00F3318A" w:rsidRDefault="00010CFC" w:rsidP="00010CFC">
      <w:pPr>
        <w:autoSpaceDE w:val="0"/>
        <w:autoSpaceDN w:val="0"/>
        <w:adjustRightInd w:val="0"/>
        <w:spacing w:after="0" w:line="360" w:lineRule="auto"/>
        <w:jc w:val="both"/>
        <w:rPr>
          <w:rFonts w:ascii="Times New Roman" w:hAnsi="Times New Roman" w:cs="Times New Roman"/>
          <w:bCs/>
          <w:color w:val="000000"/>
          <w:sz w:val="24"/>
          <w:szCs w:val="24"/>
        </w:rPr>
      </w:pPr>
      <w:r>
        <w:rPr>
          <w:rFonts w:ascii="Times New Roman" w:hAnsi="Times New Roman" w:cs="Times New Roman"/>
          <w:b/>
          <w:sz w:val="24"/>
          <w:szCs w:val="24"/>
        </w:rPr>
        <w:t xml:space="preserve">Palavras-chave: </w:t>
      </w:r>
      <w:r>
        <w:rPr>
          <w:rFonts w:ascii="Times New Roman" w:hAnsi="Times New Roman" w:cs="Times New Roman"/>
          <w:sz w:val="24"/>
          <w:szCs w:val="24"/>
        </w:rPr>
        <w:t>Inquérito – Indiciamento – Processo Penal – Procedimento.</w:t>
      </w:r>
    </w:p>
    <w:p w:rsidR="00010CFC" w:rsidRDefault="00010CFC" w:rsidP="00010CFC">
      <w:pPr>
        <w:autoSpaceDE w:val="0"/>
        <w:autoSpaceDN w:val="0"/>
        <w:adjustRightInd w:val="0"/>
        <w:spacing w:after="0" w:line="360" w:lineRule="auto"/>
        <w:jc w:val="both"/>
        <w:rPr>
          <w:rFonts w:ascii="Times New Roman" w:hAnsi="Times New Roman" w:cs="Times New Roman"/>
          <w:b/>
          <w:bCs/>
          <w:color w:val="000000"/>
          <w:sz w:val="24"/>
          <w:szCs w:val="24"/>
        </w:rPr>
      </w:pPr>
    </w:p>
    <w:p w:rsidR="00010CFC" w:rsidRDefault="00010CFC" w:rsidP="00010CFC">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INTRODUÇÃO </w:t>
      </w:r>
    </w:p>
    <w:p w:rsidR="00010CFC" w:rsidRDefault="00010CFC" w:rsidP="00010CFC">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Sabe-se que o Direito Penal tem como objetivo tipificar as condutas reprovadas socialmente que ferem determinado bem jurídico de importância a nível estatal, como por exemplo, a vida, integridade, liberdade do indivíduo. Isso se justifica inclusive pelo fato de que não se pode aplicar qualquer sanção penal sem fundamento legal, sem algo que tipifique a conduta como ilícita, ilegal.</w:t>
      </w:r>
    </w:p>
    <w:p w:rsidR="00010CFC" w:rsidRDefault="00010CFC" w:rsidP="00010CFC">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É nessa perspectiva que insere o Indiciamento Inquérito Policial. Como uma fase da investigação de determinada conduta criminosa, o indiciamento contribui para uma segurança aos bem juridicamente tutelados (integridade, liberdade, etc.). Fundamenta-se isso com base no fato de que o indiciamento torna um indivíduo autor de um crime, levando todas </w:t>
      </w:r>
      <w:r>
        <w:rPr>
          <w:rFonts w:ascii="Times New Roman" w:hAnsi="Times New Roman" w:cs="Times New Roman"/>
          <w:sz w:val="24"/>
          <w:szCs w:val="24"/>
        </w:rPr>
        <w:lastRenderedPageBreak/>
        <w:t>as investigações a este. Isso contribui para a resolução célere e eficaz do inquérito policial, bem como dispõe segurança jurídica para aqueles que precisam ter seus direitos assegurados.</w:t>
      </w:r>
    </w:p>
    <w:p w:rsidR="00010CFC" w:rsidRDefault="00010CFC" w:rsidP="00010CFC">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Assim, para demonstrar de melhor maneira como o indiciamento propicia um inquérito adequado, bem como segurança devida aos direitos, é necessário demonstrar a evolução histórica de tal fenômeno, expondo seu modo de incidência e contribuição para com o direito processual penal nos diferentes contextos existentes, demonstrando inclusive sua importância sócio cultural, com ênfase no contexto vigente.</w:t>
      </w:r>
    </w:p>
    <w:p w:rsidR="00010CFC" w:rsidRDefault="00010CFC" w:rsidP="00010CFC">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Em seguida, far-se-á uma exposição acerca do procedimento utilizado no Indiciamento. A relevância da temática</w:t>
      </w:r>
      <w:r w:rsidR="004968E9">
        <w:rPr>
          <w:rFonts w:ascii="Times New Roman" w:hAnsi="Times New Roman" w:cs="Times New Roman"/>
          <w:sz w:val="24"/>
          <w:szCs w:val="24"/>
        </w:rPr>
        <w:t xml:space="preserve"> volta-se</w:t>
      </w:r>
      <w:r>
        <w:rPr>
          <w:rFonts w:ascii="Times New Roman" w:hAnsi="Times New Roman" w:cs="Times New Roman"/>
          <w:sz w:val="24"/>
          <w:szCs w:val="24"/>
        </w:rPr>
        <w:t xml:space="preserve"> de maneira estrutural para tal premissa uma vez que a legislação brasileira ainda não o prevê expressamente, deixando a cargo dos aplicadores e doutrinadores do direito decifrá-lo. No entanto, é mister considerar, que tal procedimento não é de um todo deixado a um subjetivismo por parte de tais aplicadores. A legislação dispõe nortes que os delegados, por exemplo, como aqueles que estabelecem o inquérito, devem seguir para a efetivação dos direitos e garantias processuais e materiais.</w:t>
      </w:r>
    </w:p>
    <w:p w:rsidR="00010CFC" w:rsidRPr="001149E1" w:rsidRDefault="00010CFC" w:rsidP="00010CFC">
      <w:pPr>
        <w:autoSpaceDE w:val="0"/>
        <w:autoSpaceDN w:val="0"/>
        <w:adjustRightInd w:val="0"/>
        <w:spacing w:after="0" w:line="360" w:lineRule="auto"/>
        <w:ind w:firstLine="1134"/>
        <w:jc w:val="both"/>
        <w:rPr>
          <w:rFonts w:ascii="Times New Roman" w:hAnsi="Times New Roman" w:cs="Times New Roman"/>
          <w:sz w:val="24"/>
          <w:szCs w:val="24"/>
        </w:rPr>
      </w:pPr>
    </w:p>
    <w:p w:rsidR="00010CFC" w:rsidRDefault="00010CFC" w:rsidP="00010CFC">
      <w:pPr>
        <w:autoSpaceDE w:val="0"/>
        <w:autoSpaceDN w:val="0"/>
        <w:adjustRightInd w:val="0"/>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1 NOÇÕES INTRODUTÓRIAS ACERCA DO INQUÉRITO POLICIAL </w:t>
      </w:r>
    </w:p>
    <w:p w:rsidR="00227C7D" w:rsidRDefault="00EB0C4E" w:rsidP="00227C7D">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De acordo com Aury Lopes Jr. (2012, p. 290), </w:t>
      </w:r>
      <w:r w:rsidR="0084225A">
        <w:rPr>
          <w:rFonts w:ascii="Times New Roman" w:hAnsi="Times New Roman" w:cs="Times New Roman"/>
          <w:sz w:val="24"/>
          <w:szCs w:val="24"/>
        </w:rPr>
        <w:t xml:space="preserve">“inquérito é o ato ou efeito de inquirir, isto é, procurar informações sobre algo, colher informações acerca de um fato, perquirir”. </w:t>
      </w:r>
      <w:r w:rsidR="00227C7D">
        <w:rPr>
          <w:rFonts w:ascii="Times New Roman" w:hAnsi="Times New Roman" w:cs="Times New Roman"/>
          <w:sz w:val="24"/>
          <w:szCs w:val="24"/>
        </w:rPr>
        <w:t xml:space="preserve">O Código de Processo Penal Brasileiro dedica o Título II para tratar do Inquérito Policial, dada sua importância dentro dos trâmites procedimentais para uma correta aplicação da norma jurídica. Nestes termos, pode-se perceber que a temática deste trabalho é de suma importância para a compreensão não só da teoria, mas também da prática processual penal. </w:t>
      </w:r>
    </w:p>
    <w:p w:rsidR="0084225A" w:rsidRDefault="0084225A" w:rsidP="0084225A">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Artigo 6º do Código de Processo Penal Brasileiro dá uma dimensão melhor do que pode ser entendido como inquérito policial: </w:t>
      </w:r>
    </w:p>
    <w:p w:rsidR="0084225A" w:rsidRPr="0084225A" w:rsidRDefault="0084225A" w:rsidP="0084225A">
      <w:pPr>
        <w:autoSpaceDE w:val="0"/>
        <w:autoSpaceDN w:val="0"/>
        <w:adjustRightInd w:val="0"/>
        <w:spacing w:after="0" w:line="240" w:lineRule="auto"/>
        <w:ind w:left="2268"/>
        <w:jc w:val="both"/>
        <w:rPr>
          <w:rFonts w:ascii="Times New Roman" w:hAnsi="Times New Roman" w:cs="Times New Roman"/>
          <w:sz w:val="20"/>
          <w:szCs w:val="20"/>
        </w:rPr>
      </w:pPr>
      <w:r w:rsidRPr="0084225A">
        <w:rPr>
          <w:rFonts w:ascii="Times New Roman" w:hAnsi="Times New Roman" w:cs="Times New Roman"/>
          <w:sz w:val="20"/>
          <w:szCs w:val="20"/>
        </w:rPr>
        <w:t>Art. 6</w:t>
      </w:r>
      <w:r w:rsidRPr="0084225A">
        <w:rPr>
          <w:rFonts w:ascii="Times New Roman" w:hAnsi="Times New Roman" w:cs="Times New Roman"/>
          <w:sz w:val="20"/>
          <w:szCs w:val="20"/>
          <w:u w:val="single"/>
          <w:vertAlign w:val="superscript"/>
        </w:rPr>
        <w:t>o</w:t>
      </w:r>
      <w:r w:rsidRPr="0084225A">
        <w:rPr>
          <w:rFonts w:ascii="Times New Roman" w:hAnsi="Times New Roman" w:cs="Times New Roman"/>
          <w:sz w:val="20"/>
          <w:szCs w:val="20"/>
        </w:rPr>
        <w:t xml:space="preserve"> Logo que tiver conhecimento da prática da infração penal, a autoridade policial deverá:</w:t>
      </w:r>
    </w:p>
    <w:p w:rsidR="00227C7D" w:rsidRDefault="0084225A" w:rsidP="0084225A">
      <w:pPr>
        <w:autoSpaceDE w:val="0"/>
        <w:autoSpaceDN w:val="0"/>
        <w:adjustRightInd w:val="0"/>
        <w:spacing w:after="0" w:line="240" w:lineRule="auto"/>
        <w:ind w:left="2268"/>
        <w:jc w:val="both"/>
        <w:rPr>
          <w:rFonts w:ascii="Times New Roman" w:hAnsi="Times New Roman" w:cs="Times New Roman"/>
          <w:sz w:val="20"/>
          <w:szCs w:val="20"/>
        </w:rPr>
      </w:pPr>
      <w:r w:rsidRPr="0084225A">
        <w:rPr>
          <w:rFonts w:ascii="Times New Roman" w:hAnsi="Times New Roman" w:cs="Times New Roman"/>
          <w:sz w:val="20"/>
          <w:szCs w:val="20"/>
        </w:rPr>
        <w:t xml:space="preserve">I - dirigir-se ao local, providenciando para que não se alterem o estado e conservação das coisas, até a chegada dos peritos criminais;        </w:t>
      </w:r>
    </w:p>
    <w:p w:rsidR="0084225A" w:rsidRPr="0084225A" w:rsidRDefault="0084225A" w:rsidP="0084225A">
      <w:pPr>
        <w:autoSpaceDE w:val="0"/>
        <w:autoSpaceDN w:val="0"/>
        <w:adjustRightInd w:val="0"/>
        <w:spacing w:after="0" w:line="240" w:lineRule="auto"/>
        <w:ind w:left="2268"/>
        <w:jc w:val="both"/>
        <w:rPr>
          <w:rFonts w:ascii="Times New Roman" w:hAnsi="Times New Roman" w:cs="Times New Roman"/>
          <w:sz w:val="20"/>
          <w:szCs w:val="20"/>
        </w:rPr>
      </w:pPr>
      <w:r w:rsidRPr="0084225A">
        <w:rPr>
          <w:rFonts w:ascii="Times New Roman" w:hAnsi="Times New Roman" w:cs="Times New Roman"/>
          <w:sz w:val="20"/>
          <w:szCs w:val="20"/>
        </w:rPr>
        <w:t>II - apreender os objetos que tiverem relação com o fato, após liberados pelos peritos criminais;</w:t>
      </w:r>
    </w:p>
    <w:p w:rsidR="0084225A" w:rsidRPr="0084225A" w:rsidRDefault="0084225A" w:rsidP="0084225A">
      <w:pPr>
        <w:autoSpaceDE w:val="0"/>
        <w:autoSpaceDN w:val="0"/>
        <w:adjustRightInd w:val="0"/>
        <w:spacing w:after="0" w:line="240" w:lineRule="auto"/>
        <w:ind w:left="2268"/>
        <w:jc w:val="both"/>
        <w:rPr>
          <w:rFonts w:ascii="Times New Roman" w:hAnsi="Times New Roman" w:cs="Times New Roman"/>
          <w:sz w:val="20"/>
          <w:szCs w:val="20"/>
        </w:rPr>
      </w:pPr>
      <w:r w:rsidRPr="0084225A">
        <w:rPr>
          <w:rFonts w:ascii="Times New Roman" w:hAnsi="Times New Roman" w:cs="Times New Roman"/>
          <w:sz w:val="20"/>
          <w:szCs w:val="20"/>
        </w:rPr>
        <w:t>III - colher todas as provas que servirem para o esclarecimento do fato e suas circunstâncias;</w:t>
      </w:r>
    </w:p>
    <w:p w:rsidR="0084225A" w:rsidRPr="0084225A" w:rsidRDefault="0084225A" w:rsidP="0084225A">
      <w:pPr>
        <w:autoSpaceDE w:val="0"/>
        <w:autoSpaceDN w:val="0"/>
        <w:adjustRightInd w:val="0"/>
        <w:spacing w:after="0" w:line="240" w:lineRule="auto"/>
        <w:ind w:left="2268"/>
        <w:jc w:val="both"/>
        <w:rPr>
          <w:rFonts w:ascii="Times New Roman" w:hAnsi="Times New Roman" w:cs="Times New Roman"/>
          <w:sz w:val="20"/>
          <w:szCs w:val="20"/>
        </w:rPr>
      </w:pPr>
      <w:r w:rsidRPr="0084225A">
        <w:rPr>
          <w:rFonts w:ascii="Times New Roman" w:hAnsi="Times New Roman" w:cs="Times New Roman"/>
          <w:sz w:val="20"/>
          <w:szCs w:val="20"/>
        </w:rPr>
        <w:t>IV - ouvir o ofendido;</w:t>
      </w:r>
    </w:p>
    <w:p w:rsidR="0084225A" w:rsidRPr="0084225A" w:rsidRDefault="0084225A" w:rsidP="0084225A">
      <w:pPr>
        <w:autoSpaceDE w:val="0"/>
        <w:autoSpaceDN w:val="0"/>
        <w:adjustRightInd w:val="0"/>
        <w:spacing w:after="0" w:line="240" w:lineRule="auto"/>
        <w:ind w:left="2268"/>
        <w:jc w:val="both"/>
        <w:rPr>
          <w:rFonts w:ascii="Times New Roman" w:hAnsi="Times New Roman" w:cs="Times New Roman"/>
          <w:sz w:val="20"/>
          <w:szCs w:val="20"/>
        </w:rPr>
      </w:pPr>
      <w:r w:rsidRPr="0084225A">
        <w:rPr>
          <w:rFonts w:ascii="Times New Roman" w:hAnsi="Times New Roman" w:cs="Times New Roman"/>
          <w:sz w:val="20"/>
          <w:szCs w:val="20"/>
        </w:rPr>
        <w:t>V - ouvir o indiciado, com observância, no que for aplicável, do dispos</w:t>
      </w:r>
      <w:r>
        <w:rPr>
          <w:rFonts w:ascii="Times New Roman" w:hAnsi="Times New Roman" w:cs="Times New Roman"/>
          <w:sz w:val="20"/>
          <w:szCs w:val="20"/>
        </w:rPr>
        <w:t>to no Capítulo III do Título VII</w:t>
      </w:r>
      <w:r w:rsidRPr="0084225A">
        <w:rPr>
          <w:rFonts w:ascii="Times New Roman" w:hAnsi="Times New Roman" w:cs="Times New Roman"/>
          <w:sz w:val="20"/>
          <w:szCs w:val="20"/>
        </w:rPr>
        <w:t>, deste Livro, devendo o respectivo termo ser ass</w:t>
      </w:r>
      <w:r>
        <w:rPr>
          <w:rFonts w:ascii="Times New Roman" w:hAnsi="Times New Roman" w:cs="Times New Roman"/>
          <w:sz w:val="20"/>
          <w:szCs w:val="20"/>
        </w:rPr>
        <w:t>inado por duas testemunhas que l</w:t>
      </w:r>
      <w:r w:rsidRPr="0084225A">
        <w:rPr>
          <w:rFonts w:ascii="Times New Roman" w:hAnsi="Times New Roman" w:cs="Times New Roman"/>
          <w:sz w:val="20"/>
          <w:szCs w:val="20"/>
        </w:rPr>
        <w:t>he tenham ouvido a leitura;</w:t>
      </w:r>
    </w:p>
    <w:p w:rsidR="0084225A" w:rsidRPr="0084225A" w:rsidRDefault="0084225A" w:rsidP="0084225A">
      <w:pPr>
        <w:autoSpaceDE w:val="0"/>
        <w:autoSpaceDN w:val="0"/>
        <w:adjustRightInd w:val="0"/>
        <w:spacing w:after="0" w:line="240" w:lineRule="auto"/>
        <w:ind w:left="2268"/>
        <w:jc w:val="both"/>
        <w:rPr>
          <w:rFonts w:ascii="Times New Roman" w:hAnsi="Times New Roman" w:cs="Times New Roman"/>
          <w:sz w:val="20"/>
          <w:szCs w:val="20"/>
        </w:rPr>
      </w:pPr>
      <w:r w:rsidRPr="0084225A">
        <w:rPr>
          <w:rFonts w:ascii="Times New Roman" w:hAnsi="Times New Roman" w:cs="Times New Roman"/>
          <w:sz w:val="20"/>
          <w:szCs w:val="20"/>
        </w:rPr>
        <w:t>VI - proceder a reconhecimento de pessoas e coisas e a acareações;</w:t>
      </w:r>
    </w:p>
    <w:p w:rsidR="0084225A" w:rsidRPr="0084225A" w:rsidRDefault="0084225A" w:rsidP="0084225A">
      <w:pPr>
        <w:autoSpaceDE w:val="0"/>
        <w:autoSpaceDN w:val="0"/>
        <w:adjustRightInd w:val="0"/>
        <w:spacing w:after="0" w:line="240" w:lineRule="auto"/>
        <w:ind w:left="2268"/>
        <w:jc w:val="both"/>
        <w:rPr>
          <w:rFonts w:ascii="Times New Roman" w:hAnsi="Times New Roman" w:cs="Times New Roman"/>
          <w:sz w:val="20"/>
          <w:szCs w:val="20"/>
        </w:rPr>
      </w:pPr>
      <w:r w:rsidRPr="0084225A">
        <w:rPr>
          <w:rFonts w:ascii="Times New Roman" w:hAnsi="Times New Roman" w:cs="Times New Roman"/>
          <w:sz w:val="20"/>
          <w:szCs w:val="20"/>
        </w:rPr>
        <w:t>VII </w:t>
      </w:r>
      <w:r>
        <w:rPr>
          <w:rFonts w:ascii="Times New Roman" w:hAnsi="Times New Roman" w:cs="Times New Roman"/>
          <w:sz w:val="20"/>
          <w:szCs w:val="20"/>
        </w:rPr>
        <w:t>–</w:t>
      </w:r>
      <w:r w:rsidRPr="0084225A">
        <w:rPr>
          <w:rFonts w:ascii="Times New Roman" w:hAnsi="Times New Roman" w:cs="Times New Roman"/>
          <w:sz w:val="20"/>
          <w:szCs w:val="20"/>
        </w:rPr>
        <w:t> </w:t>
      </w:r>
      <w:r w:rsidR="00B96B88" w:rsidRPr="0084225A">
        <w:rPr>
          <w:rFonts w:ascii="Times New Roman" w:hAnsi="Times New Roman" w:cs="Times New Roman"/>
          <w:sz w:val="20"/>
          <w:szCs w:val="20"/>
        </w:rPr>
        <w:t>determinar</w:t>
      </w:r>
      <w:r w:rsidR="00B96B88">
        <w:rPr>
          <w:rFonts w:ascii="Times New Roman" w:hAnsi="Times New Roman" w:cs="Times New Roman"/>
          <w:sz w:val="20"/>
          <w:szCs w:val="20"/>
        </w:rPr>
        <w:t>,</w:t>
      </w:r>
      <w:r w:rsidRPr="0084225A">
        <w:rPr>
          <w:rFonts w:ascii="Times New Roman" w:hAnsi="Times New Roman" w:cs="Times New Roman"/>
          <w:sz w:val="20"/>
          <w:szCs w:val="20"/>
        </w:rPr>
        <w:t xml:space="preserve"> se for caso, que se proceda a exame de corpo de delito e a quaisquer outras perícias;</w:t>
      </w:r>
    </w:p>
    <w:p w:rsidR="0084225A" w:rsidRPr="0084225A" w:rsidRDefault="0084225A" w:rsidP="0084225A">
      <w:pPr>
        <w:autoSpaceDE w:val="0"/>
        <w:autoSpaceDN w:val="0"/>
        <w:adjustRightInd w:val="0"/>
        <w:spacing w:after="0" w:line="240" w:lineRule="auto"/>
        <w:ind w:left="2268"/>
        <w:jc w:val="both"/>
        <w:rPr>
          <w:rFonts w:ascii="Times New Roman" w:hAnsi="Times New Roman" w:cs="Times New Roman"/>
          <w:sz w:val="20"/>
          <w:szCs w:val="20"/>
        </w:rPr>
      </w:pPr>
      <w:r w:rsidRPr="0084225A">
        <w:rPr>
          <w:rFonts w:ascii="Times New Roman" w:hAnsi="Times New Roman" w:cs="Times New Roman"/>
          <w:sz w:val="20"/>
          <w:szCs w:val="20"/>
        </w:rPr>
        <w:t>VIII - ordenar a identificação do indiciado pelo processo datiloscópico, se possível, e fazer juntar aos autos sua folha de antecedentes;</w:t>
      </w:r>
    </w:p>
    <w:p w:rsidR="0084225A" w:rsidRPr="0084225A" w:rsidRDefault="0084225A" w:rsidP="0084225A">
      <w:pPr>
        <w:autoSpaceDE w:val="0"/>
        <w:autoSpaceDN w:val="0"/>
        <w:adjustRightInd w:val="0"/>
        <w:spacing w:after="0" w:line="240" w:lineRule="auto"/>
        <w:ind w:left="2268"/>
        <w:jc w:val="both"/>
        <w:rPr>
          <w:rFonts w:ascii="Times New Roman" w:hAnsi="Times New Roman" w:cs="Times New Roman"/>
          <w:sz w:val="20"/>
          <w:szCs w:val="20"/>
        </w:rPr>
      </w:pPr>
      <w:r w:rsidRPr="0084225A">
        <w:rPr>
          <w:rFonts w:ascii="Times New Roman" w:hAnsi="Times New Roman" w:cs="Times New Roman"/>
          <w:sz w:val="20"/>
          <w:szCs w:val="20"/>
        </w:rPr>
        <w:lastRenderedPageBreak/>
        <w:t>IX - averiguar a vida pregressa do indiciado, sob o ponto de vista individual, familiar e social, sua condição econômica, sua atitude e estado de ânimo antes e depois do crime e durante ele, e quaisquer outros elementos que contribuírem para a apreciação do seu temperamento e caráter.</w:t>
      </w:r>
    </w:p>
    <w:p w:rsidR="00EB0C4E" w:rsidRDefault="00EB0C4E" w:rsidP="00010CFC">
      <w:pPr>
        <w:autoSpaceDE w:val="0"/>
        <w:autoSpaceDN w:val="0"/>
        <w:adjustRightInd w:val="0"/>
        <w:spacing w:after="0" w:line="360" w:lineRule="auto"/>
        <w:ind w:firstLine="1134"/>
        <w:jc w:val="both"/>
        <w:rPr>
          <w:rFonts w:ascii="Times New Roman" w:hAnsi="Times New Roman" w:cs="Times New Roman"/>
          <w:sz w:val="24"/>
          <w:szCs w:val="24"/>
        </w:rPr>
      </w:pPr>
    </w:p>
    <w:p w:rsidR="00227C7D" w:rsidRDefault="00227C7D" w:rsidP="00AE1EE6">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Conforme Aury Lopes Jr. (2012, p. 290), não existe um dispositivo que defina o inquérito policial</w:t>
      </w:r>
      <w:r w:rsidR="00835242">
        <w:rPr>
          <w:rFonts w:ascii="Times New Roman" w:hAnsi="Times New Roman" w:cs="Times New Roman"/>
          <w:sz w:val="24"/>
          <w:szCs w:val="24"/>
        </w:rPr>
        <w:t>, de forma satisfatória. Assim, o autor recomenda a leitura dos arts. 4º e 6º do Código de Processo Penal.</w:t>
      </w:r>
    </w:p>
    <w:p w:rsidR="00835242" w:rsidRDefault="00835242" w:rsidP="00AE1EE6">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natureza jurídica do inquérito policial, segundo esse autor, pode ser considerada como um procedimento administrativo pré-processual, pois como explica o autor, não possui “estrutura dialética do processo” (AURY LOPES JR. 2012, p. 290).</w:t>
      </w:r>
    </w:p>
    <w:p w:rsidR="00AE1EE6" w:rsidRDefault="0084225A" w:rsidP="00AE1EE6">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Para</w:t>
      </w:r>
      <w:r w:rsidR="00A83283">
        <w:rPr>
          <w:rFonts w:ascii="Times New Roman" w:hAnsi="Times New Roman" w:cs="Times New Roman"/>
          <w:sz w:val="24"/>
          <w:szCs w:val="24"/>
        </w:rPr>
        <w:t xml:space="preserve"> Zanotti (2013, p. 103), o inquérito policial consiste num instrumento que busca fornecer à ação penal, justa causa. Assim, pode ser entendido como um procedimento administrativo e privativo da Polícia </w:t>
      </w:r>
      <w:r w:rsidR="00AE1EE6">
        <w:rPr>
          <w:rFonts w:ascii="Times New Roman" w:hAnsi="Times New Roman" w:cs="Times New Roman"/>
          <w:sz w:val="24"/>
          <w:szCs w:val="24"/>
        </w:rPr>
        <w:t>Judiciária,</w:t>
      </w:r>
      <w:r w:rsidR="00A83283">
        <w:rPr>
          <w:rFonts w:ascii="Times New Roman" w:hAnsi="Times New Roman" w:cs="Times New Roman"/>
          <w:sz w:val="24"/>
          <w:szCs w:val="24"/>
        </w:rPr>
        <w:t xml:space="preserve"> cuja finalidade é apurar a autoria e a materialidade das infrações penais, auxiliando no convencimento tanto do Ministério Público, qua</w:t>
      </w:r>
      <w:r w:rsidR="00AE1EE6">
        <w:rPr>
          <w:rFonts w:ascii="Times New Roman" w:hAnsi="Times New Roman" w:cs="Times New Roman"/>
          <w:sz w:val="24"/>
          <w:szCs w:val="24"/>
        </w:rPr>
        <w:t>nto da vítima</w:t>
      </w:r>
      <w:r w:rsidR="00A83283">
        <w:rPr>
          <w:rFonts w:ascii="Times New Roman" w:hAnsi="Times New Roman" w:cs="Times New Roman"/>
          <w:sz w:val="24"/>
          <w:szCs w:val="24"/>
        </w:rPr>
        <w:t xml:space="preserve">. Entretanto, </w:t>
      </w:r>
      <w:r w:rsidR="00AE1EE6">
        <w:rPr>
          <w:rFonts w:ascii="Times New Roman" w:hAnsi="Times New Roman" w:cs="Times New Roman"/>
          <w:sz w:val="24"/>
          <w:szCs w:val="24"/>
        </w:rPr>
        <w:t xml:space="preserve">conforme o autor, </w:t>
      </w:r>
      <w:r w:rsidR="00A83283">
        <w:rPr>
          <w:rFonts w:ascii="Times New Roman" w:hAnsi="Times New Roman" w:cs="Times New Roman"/>
          <w:sz w:val="24"/>
          <w:szCs w:val="24"/>
        </w:rPr>
        <w:t xml:space="preserve">apesar de o Inquérito Policial ajudar no fornecimento da justa causa à ação penal, essa não pode ser entendida como sua finalidade. </w:t>
      </w:r>
      <w:r w:rsidR="00BE2AE7">
        <w:rPr>
          <w:rFonts w:ascii="Times New Roman" w:hAnsi="Times New Roman" w:cs="Times New Roman"/>
          <w:sz w:val="24"/>
          <w:szCs w:val="24"/>
        </w:rPr>
        <w:t xml:space="preserve">Segundo Zanotti (2013, p. 104), </w:t>
      </w:r>
    </w:p>
    <w:p w:rsidR="00835242" w:rsidRDefault="00AE1EE6" w:rsidP="00835242">
      <w:pPr>
        <w:autoSpaceDE w:val="0"/>
        <w:autoSpaceDN w:val="0"/>
        <w:adjustRightInd w:val="0"/>
        <w:spacing w:after="0" w:line="240" w:lineRule="auto"/>
        <w:ind w:left="2268" w:firstLine="3"/>
        <w:jc w:val="both"/>
        <w:rPr>
          <w:rFonts w:ascii="Times New Roman" w:hAnsi="Times New Roman" w:cs="Times New Roman"/>
          <w:sz w:val="24"/>
          <w:szCs w:val="24"/>
        </w:rPr>
      </w:pPr>
      <w:r w:rsidRPr="00AE1EE6">
        <w:rPr>
          <w:rFonts w:ascii="Times New Roman" w:hAnsi="Times New Roman" w:cs="Times New Roman"/>
          <w:sz w:val="20"/>
          <w:szCs w:val="20"/>
        </w:rPr>
        <w:t>A</w:t>
      </w:r>
      <w:r w:rsidR="00BE2AE7" w:rsidRPr="00AE1EE6">
        <w:rPr>
          <w:rFonts w:ascii="Times New Roman" w:hAnsi="Times New Roman" w:cs="Times New Roman"/>
          <w:sz w:val="20"/>
          <w:szCs w:val="20"/>
        </w:rPr>
        <w:t xml:space="preserve"> finalidade do inquérito policial, [...], deve ser a produção de diligências investigativas de modo a se colher todos os possíveis pontos de vista do fato, devidamente respeitados os direitos fundamentais dos afetados pela investigação policial, confirmando (ou não) a autoria e a materialidade</w:t>
      </w:r>
      <w:r w:rsidR="00BE2AE7">
        <w:rPr>
          <w:rFonts w:ascii="Times New Roman" w:hAnsi="Times New Roman" w:cs="Times New Roman"/>
          <w:sz w:val="24"/>
          <w:szCs w:val="24"/>
        </w:rPr>
        <w:t>.</w:t>
      </w:r>
    </w:p>
    <w:p w:rsidR="00835242" w:rsidRDefault="00835242" w:rsidP="00835242">
      <w:pPr>
        <w:autoSpaceDE w:val="0"/>
        <w:autoSpaceDN w:val="0"/>
        <w:adjustRightInd w:val="0"/>
        <w:spacing w:after="0" w:line="240" w:lineRule="auto"/>
        <w:ind w:left="2268" w:firstLine="3"/>
        <w:jc w:val="both"/>
        <w:rPr>
          <w:rFonts w:ascii="Times New Roman" w:hAnsi="Times New Roman" w:cs="Times New Roman"/>
          <w:sz w:val="24"/>
          <w:szCs w:val="24"/>
        </w:rPr>
      </w:pPr>
    </w:p>
    <w:p w:rsidR="00010CFC" w:rsidRDefault="00835242" w:rsidP="00835242">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Quanto ao órgão encarregado da abertura do inquérito, de acordo com a leitura do Art. 4</w:t>
      </w:r>
      <w:r>
        <w:rPr>
          <w:rFonts w:ascii="Times New Roman" w:hAnsi="Times New Roman" w:cs="Times New Roman"/>
          <w:sz w:val="26"/>
          <w:szCs w:val="24"/>
        </w:rPr>
        <w:t xml:space="preserve">º, </w:t>
      </w:r>
      <w:r>
        <w:rPr>
          <w:rFonts w:ascii="Times New Roman" w:hAnsi="Times New Roman" w:cs="Times New Roman"/>
          <w:sz w:val="24"/>
          <w:szCs w:val="24"/>
        </w:rPr>
        <w:t xml:space="preserve">é a polícia judiciária. Entretanto, conforme Lopes Jr. (2012, p. 291), “o inquérito não é necessariamente policial”. De acordo com esse autor, </w:t>
      </w:r>
      <w:r w:rsidR="00923376">
        <w:rPr>
          <w:rFonts w:ascii="Times New Roman" w:hAnsi="Times New Roman" w:cs="Times New Roman"/>
          <w:sz w:val="24"/>
          <w:szCs w:val="24"/>
        </w:rPr>
        <w:t>a competência determinada pelo dispositivo citado, não exclui a competência de outras autoridades</w:t>
      </w:r>
      <w:r w:rsidR="00461B28">
        <w:rPr>
          <w:rFonts w:ascii="Times New Roman" w:hAnsi="Times New Roman" w:cs="Times New Roman"/>
          <w:sz w:val="24"/>
          <w:szCs w:val="24"/>
        </w:rPr>
        <w:t xml:space="preserve"> para investigar.</w:t>
      </w:r>
      <w:r w:rsidR="00175FD0">
        <w:rPr>
          <w:rFonts w:ascii="Times New Roman" w:hAnsi="Times New Roman" w:cs="Times New Roman"/>
          <w:sz w:val="24"/>
          <w:szCs w:val="24"/>
        </w:rPr>
        <w:t xml:space="preserve"> As </w:t>
      </w:r>
      <w:r w:rsidR="00175FD0" w:rsidRPr="00175FD0">
        <w:rPr>
          <w:rFonts w:ascii="Times New Roman" w:hAnsi="Times New Roman" w:cs="Times New Roman"/>
          <w:i/>
          <w:sz w:val="24"/>
          <w:szCs w:val="24"/>
        </w:rPr>
        <w:t>Comissões Parlamentares de Inquérito</w:t>
      </w:r>
      <w:r w:rsidR="00175FD0">
        <w:rPr>
          <w:rFonts w:ascii="Times New Roman" w:hAnsi="Times New Roman" w:cs="Times New Roman"/>
          <w:sz w:val="24"/>
          <w:szCs w:val="24"/>
        </w:rPr>
        <w:t xml:space="preserve"> (CPIs) são exemplos de instrumentos utilizados para investigação, que não são feitos por autoridades policiais, mas por Deputados e Senadores, com previsão na Constituição Federal, art. 58, § 3º. (AURY LOPES JR. 2012, p. 291).</w:t>
      </w:r>
    </w:p>
    <w:p w:rsidR="00B20B6F" w:rsidRDefault="00B20B6F" w:rsidP="00B20B6F">
      <w:pPr>
        <w:autoSpaceDE w:val="0"/>
        <w:autoSpaceDN w:val="0"/>
        <w:adjustRightInd w:val="0"/>
        <w:spacing w:after="0" w:line="360" w:lineRule="auto"/>
        <w:jc w:val="both"/>
        <w:rPr>
          <w:rFonts w:ascii="Times New Roman" w:hAnsi="Times New Roman" w:cs="Times New Roman"/>
          <w:sz w:val="24"/>
          <w:szCs w:val="24"/>
        </w:rPr>
      </w:pPr>
    </w:p>
    <w:p w:rsidR="00B20B6F" w:rsidRPr="00B20B6F" w:rsidRDefault="00B20B6F" w:rsidP="00B20B6F">
      <w:pPr>
        <w:pStyle w:val="PargrafodaLista"/>
        <w:numPr>
          <w:ilvl w:val="1"/>
          <w:numId w:val="1"/>
        </w:numPr>
        <w:autoSpaceDE w:val="0"/>
        <w:autoSpaceDN w:val="0"/>
        <w:adjustRightInd w:val="0"/>
        <w:spacing w:after="0" w:line="360" w:lineRule="auto"/>
        <w:jc w:val="both"/>
        <w:rPr>
          <w:rFonts w:ascii="Times New Roman" w:hAnsi="Times New Roman" w:cs="Times New Roman"/>
          <w:sz w:val="24"/>
          <w:szCs w:val="24"/>
        </w:rPr>
      </w:pPr>
      <w:r w:rsidRPr="00B20B6F">
        <w:rPr>
          <w:rFonts w:ascii="Times New Roman" w:hAnsi="Times New Roman" w:cs="Times New Roman"/>
          <w:sz w:val="24"/>
          <w:szCs w:val="24"/>
        </w:rPr>
        <w:t>Características do Inquérito Policial</w:t>
      </w:r>
    </w:p>
    <w:p w:rsidR="00B20B6F" w:rsidRDefault="001A4507" w:rsidP="00DD3130">
      <w:pPr>
        <w:pStyle w:val="PargrafodaLista"/>
        <w:numPr>
          <w:ilvl w:val="2"/>
          <w:numId w:val="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Inquisitivo</w:t>
      </w:r>
    </w:p>
    <w:p w:rsidR="00DD3130" w:rsidRDefault="001A4507" w:rsidP="00DD3130">
      <w:pPr>
        <w:pStyle w:val="PargrafodaLista"/>
        <w:autoSpaceDE w:val="0"/>
        <w:autoSpaceDN w:val="0"/>
        <w:adjustRightInd w:val="0"/>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O Inquérito Policial c</w:t>
      </w:r>
      <w:r w:rsidR="00DD3130">
        <w:rPr>
          <w:rFonts w:ascii="Times New Roman" w:hAnsi="Times New Roman" w:cs="Times New Roman"/>
          <w:sz w:val="24"/>
          <w:szCs w:val="24"/>
        </w:rPr>
        <w:t xml:space="preserve">onstitui-se </w:t>
      </w:r>
      <w:r>
        <w:rPr>
          <w:rFonts w:ascii="Times New Roman" w:hAnsi="Times New Roman" w:cs="Times New Roman"/>
          <w:sz w:val="24"/>
          <w:szCs w:val="24"/>
        </w:rPr>
        <w:t xml:space="preserve">de </w:t>
      </w:r>
      <w:r w:rsidR="00DD3130">
        <w:rPr>
          <w:rFonts w:ascii="Times New Roman" w:hAnsi="Times New Roman" w:cs="Times New Roman"/>
          <w:sz w:val="24"/>
          <w:szCs w:val="24"/>
        </w:rPr>
        <w:t>uma pesquisa feita pela autoridade policial acerca dos fato</w:t>
      </w:r>
      <w:r w:rsidR="00D106A5">
        <w:rPr>
          <w:rFonts w:ascii="Times New Roman" w:hAnsi="Times New Roman" w:cs="Times New Roman"/>
          <w:sz w:val="24"/>
          <w:szCs w:val="24"/>
        </w:rPr>
        <w:t>s. De acordo com Paulo Rangel (2010</w:t>
      </w:r>
      <w:r w:rsidR="00DD3130">
        <w:rPr>
          <w:rFonts w:ascii="Times New Roman" w:hAnsi="Times New Roman" w:cs="Times New Roman"/>
          <w:sz w:val="24"/>
          <w:szCs w:val="24"/>
        </w:rPr>
        <w:t>, p. 95), a autoridade policial tem o poder de direção do inquérito policial, indagando, investigando, pesquisando testemunhas do fato e procurando esclarecer as c</w:t>
      </w:r>
      <w:r>
        <w:rPr>
          <w:rFonts w:ascii="Times New Roman" w:hAnsi="Times New Roman" w:cs="Times New Roman"/>
          <w:sz w:val="24"/>
          <w:szCs w:val="24"/>
        </w:rPr>
        <w:t>ircunstâncias em que estes</w:t>
      </w:r>
      <w:r w:rsidR="00DD3130">
        <w:rPr>
          <w:rFonts w:ascii="Times New Roman" w:hAnsi="Times New Roman" w:cs="Times New Roman"/>
          <w:sz w:val="24"/>
          <w:szCs w:val="24"/>
        </w:rPr>
        <w:t xml:space="preserve"> ocorreram. O Inquérito em si, não </w:t>
      </w:r>
      <w:r w:rsidR="00DD3130">
        <w:rPr>
          <w:rFonts w:ascii="Times New Roman" w:hAnsi="Times New Roman" w:cs="Times New Roman"/>
          <w:sz w:val="24"/>
          <w:szCs w:val="24"/>
        </w:rPr>
        <w:lastRenderedPageBreak/>
        <w:t>permite o direito de defesa do investigado, pois não tem o caráter de acusar, mas apenas de buscar através de investigações, a ocorrê</w:t>
      </w:r>
      <w:r w:rsidR="00D106A5">
        <w:rPr>
          <w:rFonts w:ascii="Times New Roman" w:hAnsi="Times New Roman" w:cs="Times New Roman"/>
          <w:sz w:val="24"/>
          <w:szCs w:val="24"/>
        </w:rPr>
        <w:t>ncia dos fatos. (PAULO RANGEL, 2010</w:t>
      </w:r>
      <w:r w:rsidR="00DD3130">
        <w:rPr>
          <w:rFonts w:ascii="Times New Roman" w:hAnsi="Times New Roman" w:cs="Times New Roman"/>
          <w:sz w:val="24"/>
          <w:szCs w:val="24"/>
        </w:rPr>
        <w:t>, p. 95).</w:t>
      </w:r>
      <w:r>
        <w:rPr>
          <w:rFonts w:ascii="Times New Roman" w:hAnsi="Times New Roman" w:cs="Times New Roman"/>
          <w:sz w:val="24"/>
          <w:szCs w:val="24"/>
        </w:rPr>
        <w:t xml:space="preserve"> </w:t>
      </w:r>
    </w:p>
    <w:p w:rsidR="00491270" w:rsidRDefault="00491270" w:rsidP="00DD3130">
      <w:pPr>
        <w:pStyle w:val="PargrafodaLista"/>
        <w:autoSpaceDE w:val="0"/>
        <w:autoSpaceDN w:val="0"/>
        <w:adjustRightInd w:val="0"/>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Segundo</w:t>
      </w:r>
      <w:r w:rsidR="001A4507">
        <w:rPr>
          <w:rFonts w:ascii="Times New Roman" w:hAnsi="Times New Roman" w:cs="Times New Roman"/>
          <w:sz w:val="24"/>
          <w:szCs w:val="24"/>
        </w:rPr>
        <w:t xml:space="preserve"> Zanotti (2013, p. 110), </w:t>
      </w:r>
    </w:p>
    <w:p w:rsidR="001A4507" w:rsidRPr="00491270" w:rsidRDefault="00491270" w:rsidP="00491270">
      <w:pPr>
        <w:pStyle w:val="PargrafodaLista"/>
        <w:autoSpaceDE w:val="0"/>
        <w:autoSpaceDN w:val="0"/>
        <w:adjustRightInd w:val="0"/>
        <w:spacing w:after="0" w:line="240" w:lineRule="auto"/>
        <w:ind w:left="2268"/>
        <w:jc w:val="both"/>
        <w:rPr>
          <w:rFonts w:ascii="Times New Roman" w:hAnsi="Times New Roman" w:cs="Times New Roman"/>
          <w:sz w:val="20"/>
          <w:szCs w:val="20"/>
        </w:rPr>
      </w:pPr>
      <w:r w:rsidRPr="00491270">
        <w:rPr>
          <w:rFonts w:ascii="Times New Roman" w:hAnsi="Times New Roman" w:cs="Times New Roman"/>
          <w:sz w:val="20"/>
          <w:szCs w:val="20"/>
        </w:rPr>
        <w:t>O Delegado de Polícia pode aplicar, ele próprio, o princípio do contraditório e ampla defesa dos inquéritos policiais. Isso decorre da inexistência de uma previsão legal que determine uma exata concatenação dos fatos, o que confere à Autoridade Policial a atribuição de verificar, a partir do caso concreto, o procedimento mais adequado e o modo como esse procedimento será executado.</w:t>
      </w:r>
    </w:p>
    <w:p w:rsidR="00B31453" w:rsidRDefault="00B31453" w:rsidP="00B31453">
      <w:pPr>
        <w:autoSpaceDE w:val="0"/>
        <w:autoSpaceDN w:val="0"/>
        <w:adjustRightInd w:val="0"/>
        <w:spacing w:after="0" w:line="360" w:lineRule="auto"/>
        <w:jc w:val="both"/>
        <w:rPr>
          <w:rFonts w:ascii="Times New Roman" w:hAnsi="Times New Roman" w:cs="Times New Roman"/>
          <w:sz w:val="24"/>
          <w:szCs w:val="24"/>
        </w:rPr>
      </w:pPr>
    </w:p>
    <w:p w:rsidR="00B31453" w:rsidRPr="00B31453" w:rsidRDefault="00B31453" w:rsidP="00B31453">
      <w:pPr>
        <w:pStyle w:val="PargrafodaLista"/>
        <w:numPr>
          <w:ilvl w:val="2"/>
          <w:numId w:val="1"/>
        </w:numPr>
        <w:autoSpaceDE w:val="0"/>
        <w:autoSpaceDN w:val="0"/>
        <w:adjustRightInd w:val="0"/>
        <w:spacing w:after="0" w:line="360" w:lineRule="auto"/>
        <w:jc w:val="both"/>
        <w:rPr>
          <w:rFonts w:ascii="Times New Roman" w:hAnsi="Times New Roman" w:cs="Times New Roman"/>
          <w:sz w:val="24"/>
          <w:szCs w:val="24"/>
        </w:rPr>
      </w:pPr>
      <w:r w:rsidRPr="00B31453">
        <w:rPr>
          <w:rFonts w:ascii="Times New Roman" w:hAnsi="Times New Roman" w:cs="Times New Roman"/>
          <w:sz w:val="24"/>
          <w:szCs w:val="24"/>
        </w:rPr>
        <w:t>Formal</w:t>
      </w:r>
    </w:p>
    <w:p w:rsidR="00B31453" w:rsidRDefault="00CB2D41" w:rsidP="00B31453">
      <w:pPr>
        <w:pStyle w:val="PargrafodaLista"/>
        <w:autoSpaceDE w:val="0"/>
        <w:autoSpaceDN w:val="0"/>
        <w:adjustRightInd w:val="0"/>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A formalidade é requisito previsto no art. 9º do Código de Processo Penal, o qual exige que o inquérito seja escrito ou datilografado e assinado pela autoridade competente. Tal prática evita que escrivães de polícia lavrem o flagrante e posteriormen</w:t>
      </w:r>
      <w:r w:rsidR="005A08EC">
        <w:rPr>
          <w:rFonts w:ascii="Times New Roman" w:hAnsi="Times New Roman" w:cs="Times New Roman"/>
          <w:sz w:val="24"/>
          <w:szCs w:val="24"/>
        </w:rPr>
        <w:t>te o delegado assine. (RANGEL, 2010</w:t>
      </w:r>
      <w:r>
        <w:rPr>
          <w:rFonts w:ascii="Times New Roman" w:hAnsi="Times New Roman" w:cs="Times New Roman"/>
          <w:sz w:val="24"/>
          <w:szCs w:val="24"/>
        </w:rPr>
        <w:t xml:space="preserve">, p. 95). </w:t>
      </w:r>
    </w:p>
    <w:p w:rsidR="00C80EC1" w:rsidRDefault="00C80EC1" w:rsidP="00C80EC1">
      <w:pPr>
        <w:pStyle w:val="PargrafodaLista"/>
        <w:numPr>
          <w:ilvl w:val="2"/>
          <w:numId w:val="1"/>
        </w:numPr>
        <w:autoSpaceDE w:val="0"/>
        <w:autoSpaceDN w:val="0"/>
        <w:adjustRightInd w:val="0"/>
        <w:spacing w:after="0" w:line="360" w:lineRule="auto"/>
        <w:jc w:val="both"/>
        <w:rPr>
          <w:rFonts w:ascii="Times New Roman" w:hAnsi="Times New Roman" w:cs="Times New Roman"/>
          <w:sz w:val="24"/>
          <w:szCs w:val="24"/>
        </w:rPr>
      </w:pPr>
      <w:r w:rsidRPr="00C80EC1">
        <w:rPr>
          <w:rFonts w:ascii="Times New Roman" w:hAnsi="Times New Roman" w:cs="Times New Roman"/>
          <w:sz w:val="24"/>
          <w:szCs w:val="24"/>
        </w:rPr>
        <w:t>Sistemático</w:t>
      </w:r>
    </w:p>
    <w:p w:rsidR="00CB2D41" w:rsidRPr="00C80EC1" w:rsidRDefault="005A08EC" w:rsidP="00CB2D41">
      <w:pPr>
        <w:pStyle w:val="PargrafodaLista"/>
        <w:autoSpaceDE w:val="0"/>
        <w:autoSpaceDN w:val="0"/>
        <w:adjustRightInd w:val="0"/>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De acordo com Rangel (2010</w:t>
      </w:r>
      <w:r w:rsidR="00CB2D41">
        <w:rPr>
          <w:rFonts w:ascii="Times New Roman" w:hAnsi="Times New Roman" w:cs="Times New Roman"/>
          <w:sz w:val="24"/>
          <w:szCs w:val="24"/>
        </w:rPr>
        <w:t xml:space="preserve">, p. 95), as investigações devem apresentar uma ordem </w:t>
      </w:r>
      <w:r w:rsidR="00B27A80">
        <w:rPr>
          <w:rFonts w:ascii="Times New Roman" w:hAnsi="Times New Roman" w:cs="Times New Roman"/>
          <w:sz w:val="24"/>
          <w:szCs w:val="24"/>
        </w:rPr>
        <w:t xml:space="preserve">ou sequência </w:t>
      </w:r>
      <w:r w:rsidR="00CB2D41">
        <w:rPr>
          <w:rFonts w:ascii="Times New Roman" w:hAnsi="Times New Roman" w:cs="Times New Roman"/>
          <w:sz w:val="24"/>
          <w:szCs w:val="24"/>
        </w:rPr>
        <w:t>cronológica de modo a compor</w:t>
      </w:r>
      <w:r w:rsidR="008F15A1">
        <w:rPr>
          <w:rFonts w:ascii="Times New Roman" w:hAnsi="Times New Roman" w:cs="Times New Roman"/>
          <w:sz w:val="24"/>
          <w:szCs w:val="24"/>
        </w:rPr>
        <w:t xml:space="preserve"> um relato coerente dos fatos. P</w:t>
      </w:r>
      <w:r w:rsidR="00CB2D41">
        <w:rPr>
          <w:rFonts w:ascii="Times New Roman" w:hAnsi="Times New Roman" w:cs="Times New Roman"/>
          <w:sz w:val="24"/>
          <w:szCs w:val="24"/>
        </w:rPr>
        <w:t>ara isso, os documentos e provas necessitam de uma ordem lógica, com</w:t>
      </w:r>
      <w:r w:rsidR="006464DA">
        <w:rPr>
          <w:rFonts w:ascii="Times New Roman" w:hAnsi="Times New Roman" w:cs="Times New Roman"/>
          <w:sz w:val="24"/>
          <w:szCs w:val="24"/>
        </w:rPr>
        <w:t>postos de</w:t>
      </w:r>
      <w:r w:rsidR="00CB2D41">
        <w:rPr>
          <w:rFonts w:ascii="Times New Roman" w:hAnsi="Times New Roman" w:cs="Times New Roman"/>
          <w:sz w:val="24"/>
          <w:szCs w:val="24"/>
        </w:rPr>
        <w:t xml:space="preserve"> começo, meio e fim, </w:t>
      </w:r>
      <w:r w:rsidR="001B5A25">
        <w:rPr>
          <w:rFonts w:ascii="Times New Roman" w:hAnsi="Times New Roman" w:cs="Times New Roman"/>
          <w:sz w:val="24"/>
          <w:szCs w:val="24"/>
        </w:rPr>
        <w:t>formando um conjunto sistematizado de fatos</w:t>
      </w:r>
      <w:r w:rsidR="00CB2D41">
        <w:rPr>
          <w:rFonts w:ascii="Times New Roman" w:hAnsi="Times New Roman" w:cs="Times New Roman"/>
          <w:sz w:val="24"/>
          <w:szCs w:val="24"/>
        </w:rPr>
        <w:t>.</w:t>
      </w:r>
    </w:p>
    <w:p w:rsidR="00C80EC1" w:rsidRDefault="00B41B12" w:rsidP="00C80EC1">
      <w:pPr>
        <w:pStyle w:val="PargrafodaLista"/>
        <w:numPr>
          <w:ilvl w:val="2"/>
          <w:numId w:val="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Administrativo </w:t>
      </w:r>
    </w:p>
    <w:p w:rsidR="000C7E5B" w:rsidRDefault="00B41B12" w:rsidP="00CB2D41">
      <w:pPr>
        <w:pStyle w:val="PargrafodaLista"/>
        <w:autoSpaceDE w:val="0"/>
        <w:autoSpaceDN w:val="0"/>
        <w:adjustRightInd w:val="0"/>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O inquérito policial não é entendido como peça judicial. De acordo com Renato Brasileiro de Lima </w:t>
      </w:r>
      <w:r w:rsidRPr="00B41B12">
        <w:rPr>
          <w:rFonts w:ascii="Times New Roman" w:hAnsi="Times New Roman" w:cs="Times New Roman"/>
          <w:i/>
          <w:sz w:val="24"/>
          <w:szCs w:val="24"/>
        </w:rPr>
        <w:t>apud</w:t>
      </w:r>
      <w:r>
        <w:rPr>
          <w:rFonts w:ascii="Times New Roman" w:hAnsi="Times New Roman" w:cs="Times New Roman"/>
          <w:sz w:val="24"/>
          <w:szCs w:val="24"/>
        </w:rPr>
        <w:t xml:space="preserve"> Zanotti (2013, p. 105), “consiste, na verdade, em um procedimento administrativo de caráter meramente informativo”.</w:t>
      </w:r>
    </w:p>
    <w:p w:rsidR="00CB2D41" w:rsidRDefault="00CB2D41" w:rsidP="00CB2D41">
      <w:pPr>
        <w:pStyle w:val="PargrafodaLista"/>
        <w:autoSpaceDE w:val="0"/>
        <w:autoSpaceDN w:val="0"/>
        <w:adjustRightInd w:val="0"/>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O inquérito tem um ob</w:t>
      </w:r>
      <w:r w:rsidR="000C7E5B">
        <w:rPr>
          <w:rFonts w:ascii="Times New Roman" w:hAnsi="Times New Roman" w:cs="Times New Roman"/>
          <w:sz w:val="24"/>
          <w:szCs w:val="24"/>
        </w:rPr>
        <w:t>jetivo direcionado com uma</w:t>
      </w:r>
      <w:r>
        <w:rPr>
          <w:rFonts w:ascii="Times New Roman" w:hAnsi="Times New Roman" w:cs="Times New Roman"/>
          <w:sz w:val="24"/>
          <w:szCs w:val="24"/>
        </w:rPr>
        <w:t xml:space="preserve"> finalidade, que é a apuração dos fatos que são objeto da</w:t>
      </w:r>
      <w:r w:rsidR="005A08EC">
        <w:rPr>
          <w:rFonts w:ascii="Times New Roman" w:hAnsi="Times New Roman" w:cs="Times New Roman"/>
          <w:sz w:val="24"/>
          <w:szCs w:val="24"/>
        </w:rPr>
        <w:t xml:space="preserve"> investigação. Segundo Rangel (2010</w:t>
      </w:r>
      <w:r>
        <w:rPr>
          <w:rFonts w:ascii="Times New Roman" w:hAnsi="Times New Roman" w:cs="Times New Roman"/>
          <w:sz w:val="24"/>
          <w:szCs w:val="24"/>
        </w:rPr>
        <w:t xml:space="preserve">, p. 96), </w:t>
      </w:r>
      <w:r w:rsidR="008B6B85">
        <w:rPr>
          <w:rFonts w:ascii="Times New Roman" w:hAnsi="Times New Roman" w:cs="Times New Roman"/>
          <w:sz w:val="24"/>
          <w:szCs w:val="24"/>
        </w:rPr>
        <w:t>à autoridade policial não cabe emitir juízo de valor sobre os fatos, uma vez que sua competência é puramente investigatória.</w:t>
      </w:r>
    </w:p>
    <w:p w:rsidR="00C80EC1" w:rsidRDefault="00C80EC1" w:rsidP="00C80EC1">
      <w:pPr>
        <w:pStyle w:val="PargrafodaLista"/>
        <w:numPr>
          <w:ilvl w:val="2"/>
          <w:numId w:val="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Sigiloso</w:t>
      </w:r>
    </w:p>
    <w:p w:rsidR="008B6B85" w:rsidRDefault="00B41B12" w:rsidP="008B6B85">
      <w:pPr>
        <w:pStyle w:val="PargrafodaLista"/>
        <w:autoSpaceDE w:val="0"/>
        <w:autoSpaceDN w:val="0"/>
        <w:adjustRightInd w:val="0"/>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Com previsão no art. 20 do CPP, o sigilo deverá ser assegurado no curso do inquérito. </w:t>
      </w:r>
      <w:r w:rsidR="005A08EC">
        <w:rPr>
          <w:rFonts w:ascii="Times New Roman" w:hAnsi="Times New Roman" w:cs="Times New Roman"/>
          <w:sz w:val="24"/>
          <w:szCs w:val="24"/>
        </w:rPr>
        <w:t>Segundo Rangel (2010</w:t>
      </w:r>
      <w:r w:rsidR="008B6B85">
        <w:rPr>
          <w:rFonts w:ascii="Times New Roman" w:hAnsi="Times New Roman" w:cs="Times New Roman"/>
          <w:sz w:val="24"/>
          <w:szCs w:val="24"/>
        </w:rPr>
        <w:t xml:space="preserve">, p. 97), o sigilo característico do inquérito visa à elucidação dos fatos, algo que pode ser prejudicado pela divulgação principalmente da mídia. </w:t>
      </w:r>
    </w:p>
    <w:p w:rsidR="00C80EC1" w:rsidRDefault="00C80EC1" w:rsidP="00C80EC1">
      <w:pPr>
        <w:pStyle w:val="PargrafodaLista"/>
        <w:numPr>
          <w:ilvl w:val="2"/>
          <w:numId w:val="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Discricionário</w:t>
      </w:r>
    </w:p>
    <w:p w:rsidR="000C7E5B" w:rsidRDefault="000C7E5B" w:rsidP="000C7E5B">
      <w:pPr>
        <w:pStyle w:val="PargrafodaLista"/>
        <w:autoSpaceDE w:val="0"/>
        <w:autoSpaceDN w:val="0"/>
        <w:adjustRightInd w:val="0"/>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A autoridade policial goza de liberdade e autonomia quanto à apuração dos fatos, dentro dos limites legais. Não se deve confundir discricionariedade com arbitrariedade. Enquanto a discricionariedade é direcionada pela legalidade dos atos, a arbitrariedade é movida por impulsos pessoais, fora dos limi</w:t>
      </w:r>
      <w:r w:rsidR="005A08EC">
        <w:rPr>
          <w:rFonts w:ascii="Times New Roman" w:hAnsi="Times New Roman" w:cs="Times New Roman"/>
          <w:sz w:val="24"/>
          <w:szCs w:val="24"/>
        </w:rPr>
        <w:t>tes previstos na lei. (RANGEL, 2010</w:t>
      </w:r>
      <w:r>
        <w:rPr>
          <w:rFonts w:ascii="Times New Roman" w:hAnsi="Times New Roman" w:cs="Times New Roman"/>
          <w:sz w:val="24"/>
          <w:szCs w:val="24"/>
        </w:rPr>
        <w:t>, p. 99).</w:t>
      </w:r>
    </w:p>
    <w:p w:rsidR="00C80EC1" w:rsidRDefault="00B41B12" w:rsidP="00C80EC1">
      <w:pPr>
        <w:pStyle w:val="PargrafodaLista"/>
        <w:numPr>
          <w:ilvl w:val="2"/>
          <w:numId w:val="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Indisponível</w:t>
      </w:r>
    </w:p>
    <w:p w:rsidR="00520765" w:rsidRPr="00520765" w:rsidRDefault="00520765" w:rsidP="00520765">
      <w:pPr>
        <w:pStyle w:val="PargrafodaLista"/>
        <w:autoSpaceDE w:val="0"/>
        <w:autoSpaceDN w:val="0"/>
        <w:adjustRightInd w:val="0"/>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De acordo com a leitura do art. 17 do CPP, depois de instaurado o inquérito policial, não se pode arquivar seus autos. Conforme Zanotti (2013, p. 113), somente o magistrado pode determinar o arquivamento do inquérito, a pedido do Ministério Público ou do Delegado. Isso vale tanto para os crimes de ação penal pública, quanto nos crimes de ação privada.</w:t>
      </w:r>
    </w:p>
    <w:p w:rsidR="00C80EC1" w:rsidRDefault="00C80EC1" w:rsidP="00C80EC1">
      <w:pPr>
        <w:pStyle w:val="PargrafodaLista"/>
        <w:numPr>
          <w:ilvl w:val="2"/>
          <w:numId w:val="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Oficial</w:t>
      </w:r>
    </w:p>
    <w:p w:rsidR="00C80EC1" w:rsidRDefault="00C80EC1" w:rsidP="00C80EC1">
      <w:pPr>
        <w:pStyle w:val="PargrafodaLista"/>
        <w:autoSpaceDE w:val="0"/>
        <w:autoSpaceDN w:val="0"/>
        <w:adjustRightInd w:val="0"/>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Apenas órgãos oficiais podem conduzir o inquérito policial. O Delegado de Polícia é a autoridade pública responsável pela condução do procedimento investigativo. Os órgãos estatais responsáveis são as Polícias Civis e Federal. (ZANOTTI, 2013, p. 113).</w:t>
      </w:r>
    </w:p>
    <w:p w:rsidR="00C94994" w:rsidRPr="00EC0E67" w:rsidRDefault="00C94994" w:rsidP="00C94994">
      <w:pPr>
        <w:pStyle w:val="PargrafodaLista"/>
        <w:autoSpaceDE w:val="0"/>
        <w:autoSpaceDN w:val="0"/>
        <w:adjustRightInd w:val="0"/>
        <w:spacing w:after="0" w:line="360" w:lineRule="auto"/>
        <w:ind w:left="0" w:firstLine="1134"/>
        <w:jc w:val="both"/>
        <w:rPr>
          <w:rFonts w:ascii="Times New Roman" w:hAnsi="Times New Roman" w:cs="Times New Roman"/>
          <w:sz w:val="24"/>
          <w:szCs w:val="24"/>
        </w:rPr>
      </w:pPr>
    </w:p>
    <w:p w:rsidR="0007256C" w:rsidRPr="00D5067C" w:rsidRDefault="00010CFC" w:rsidP="0007256C">
      <w:pPr>
        <w:autoSpaceDE w:val="0"/>
        <w:autoSpaceDN w:val="0"/>
        <w:adjustRightInd w:val="0"/>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2 ASPECTOS DA EVOLUÇÃO HISTÓRICA DO INDI</w:t>
      </w:r>
      <w:r w:rsidR="00D5067C">
        <w:rPr>
          <w:rFonts w:ascii="Times New Roman" w:hAnsi="Times New Roman" w:cs="Times New Roman"/>
          <w:b/>
          <w:color w:val="000000"/>
          <w:sz w:val="24"/>
          <w:szCs w:val="24"/>
        </w:rPr>
        <w:t xml:space="preserve">CIAMENTO NO INQUÉRITO POLICIAL </w:t>
      </w:r>
    </w:p>
    <w:p w:rsidR="00907057" w:rsidRDefault="0075233E" w:rsidP="00D5067C">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Conforme as lições de Eugênio Pacelli de Oliveira (2008, p. 6), o</w:t>
      </w:r>
      <w:r w:rsidR="00853C8A">
        <w:rPr>
          <w:rFonts w:ascii="Times New Roman" w:hAnsi="Times New Roman" w:cs="Times New Roman"/>
          <w:sz w:val="24"/>
          <w:szCs w:val="24"/>
        </w:rPr>
        <w:t xml:space="preserve"> C</w:t>
      </w:r>
      <w:r w:rsidR="00AA067B">
        <w:rPr>
          <w:rFonts w:ascii="Times New Roman" w:hAnsi="Times New Roman" w:cs="Times New Roman"/>
          <w:sz w:val="24"/>
          <w:szCs w:val="24"/>
        </w:rPr>
        <w:t xml:space="preserve">ódigo de </w:t>
      </w:r>
      <w:r w:rsidR="00853C8A">
        <w:rPr>
          <w:rFonts w:ascii="Times New Roman" w:hAnsi="Times New Roman" w:cs="Times New Roman"/>
          <w:sz w:val="24"/>
          <w:szCs w:val="24"/>
        </w:rPr>
        <w:t>P</w:t>
      </w:r>
      <w:r w:rsidR="00AA067B">
        <w:rPr>
          <w:rFonts w:ascii="Times New Roman" w:hAnsi="Times New Roman" w:cs="Times New Roman"/>
          <w:sz w:val="24"/>
          <w:szCs w:val="24"/>
        </w:rPr>
        <w:t xml:space="preserve">rocesso </w:t>
      </w:r>
      <w:r w:rsidR="00853C8A">
        <w:rPr>
          <w:rFonts w:ascii="Times New Roman" w:hAnsi="Times New Roman" w:cs="Times New Roman"/>
          <w:sz w:val="24"/>
          <w:szCs w:val="24"/>
        </w:rPr>
        <w:t>P</w:t>
      </w:r>
      <w:r w:rsidR="00AA067B">
        <w:rPr>
          <w:rFonts w:ascii="Times New Roman" w:hAnsi="Times New Roman" w:cs="Times New Roman"/>
          <w:sz w:val="24"/>
          <w:szCs w:val="24"/>
        </w:rPr>
        <w:t>enal B</w:t>
      </w:r>
      <w:r w:rsidR="00853C8A">
        <w:rPr>
          <w:rFonts w:ascii="Times New Roman" w:hAnsi="Times New Roman" w:cs="Times New Roman"/>
          <w:sz w:val="24"/>
          <w:szCs w:val="24"/>
        </w:rPr>
        <w:t xml:space="preserve">rasileiro tem bases autoritárias, uma vez que foi inspirado a partir da legislação processual penal italiana, a qual foi produzida em pleno regime fascista (década de 1930). O princípio norteador do CPP era a presunção de culpabilidade. </w:t>
      </w:r>
      <w:r w:rsidR="00907057">
        <w:rPr>
          <w:rFonts w:ascii="Times New Roman" w:hAnsi="Times New Roman" w:cs="Times New Roman"/>
          <w:sz w:val="24"/>
          <w:szCs w:val="24"/>
        </w:rPr>
        <w:t xml:space="preserve">Somente a partir da década </w:t>
      </w:r>
      <w:r w:rsidR="005469CC">
        <w:rPr>
          <w:rFonts w:ascii="Times New Roman" w:hAnsi="Times New Roman" w:cs="Times New Roman"/>
          <w:sz w:val="24"/>
          <w:szCs w:val="24"/>
        </w:rPr>
        <w:t>de 1970, ocorreram alterações nesse Código</w:t>
      </w:r>
      <w:r w:rsidR="0043100C">
        <w:rPr>
          <w:rFonts w:ascii="Times New Roman" w:hAnsi="Times New Roman" w:cs="Times New Roman"/>
          <w:sz w:val="24"/>
          <w:szCs w:val="24"/>
        </w:rPr>
        <w:t>, introduzidas com a L</w:t>
      </w:r>
      <w:r w:rsidR="00907057">
        <w:rPr>
          <w:rFonts w:ascii="Times New Roman" w:hAnsi="Times New Roman" w:cs="Times New Roman"/>
          <w:sz w:val="24"/>
          <w:szCs w:val="24"/>
        </w:rPr>
        <w:t>ei nº 5.349/67, ocorrendo maior flexibilização de regras restritivas do direito de liberdade.</w:t>
      </w:r>
    </w:p>
    <w:p w:rsidR="00D5067C" w:rsidRDefault="00907057" w:rsidP="00D5067C">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texto da nova Constituição veio no sentido de instituir um sistema de amplas garantias individuais, modificando radicalmente a anterior concepção da presunção de culpabilidade. O art. 5º, inciso LVII foi o garantidor dessa nova concepção. A partir de então “o devido processo penal constitucional busca, </w:t>
      </w:r>
      <w:r w:rsidR="00D5067C">
        <w:rPr>
          <w:rFonts w:ascii="Times New Roman" w:hAnsi="Times New Roman" w:cs="Times New Roman"/>
          <w:sz w:val="24"/>
          <w:szCs w:val="24"/>
        </w:rPr>
        <w:t>então,</w:t>
      </w:r>
      <w:r>
        <w:rPr>
          <w:rFonts w:ascii="Times New Roman" w:hAnsi="Times New Roman" w:cs="Times New Roman"/>
          <w:sz w:val="24"/>
          <w:szCs w:val="24"/>
        </w:rPr>
        <w:t xml:space="preserve"> realizar uma Justiça Penal submetida a exigências de igualdade efetiva entre os litigantes</w:t>
      </w:r>
      <w:r w:rsidR="00D5067C">
        <w:rPr>
          <w:rFonts w:ascii="Times New Roman" w:hAnsi="Times New Roman" w:cs="Times New Roman"/>
          <w:sz w:val="24"/>
          <w:szCs w:val="24"/>
        </w:rPr>
        <w:t>”. (OLIVEIRA,</w:t>
      </w:r>
      <w:r w:rsidR="004968E9">
        <w:rPr>
          <w:rFonts w:ascii="Times New Roman" w:hAnsi="Times New Roman" w:cs="Times New Roman"/>
          <w:sz w:val="24"/>
          <w:szCs w:val="24"/>
        </w:rPr>
        <w:t xml:space="preserve"> 2008,</w:t>
      </w:r>
      <w:r w:rsidR="00D5067C">
        <w:rPr>
          <w:rFonts w:ascii="Times New Roman" w:hAnsi="Times New Roman" w:cs="Times New Roman"/>
          <w:sz w:val="24"/>
          <w:szCs w:val="24"/>
        </w:rPr>
        <w:t xml:space="preserve"> p. 7). Isso, consequentemente, modificou o sentido do inquérito policial, que antes era concebido no sentido de comprovar a culpa, passando agora a abordar uma posição mais neutra com relação aos indiciados e participantes dos fatos apurados. </w:t>
      </w:r>
    </w:p>
    <w:p w:rsidR="00D5067C" w:rsidRDefault="003B2538" w:rsidP="00D5067C">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Nas palavras de Oliveira (2008, p. 8)</w:t>
      </w:r>
      <w:r w:rsidR="00D5067C">
        <w:rPr>
          <w:rFonts w:ascii="Times New Roman" w:hAnsi="Times New Roman" w:cs="Times New Roman"/>
          <w:sz w:val="24"/>
          <w:szCs w:val="24"/>
        </w:rPr>
        <w:t>, “o processo justo deve atentar, sempre, para a desigualdade material que normalmente ocorre no curso de toda persecução penal, em que o Estado ocupa posição de proeminência, respondendo pelas funções investigatórias e acusatórias, como regra, e pela atuação da jurisdição, sobre a qual</w:t>
      </w:r>
      <w:r>
        <w:rPr>
          <w:rFonts w:ascii="Times New Roman" w:hAnsi="Times New Roman" w:cs="Times New Roman"/>
          <w:sz w:val="24"/>
          <w:szCs w:val="24"/>
        </w:rPr>
        <w:t xml:space="preserve"> exerce o monopólio”.</w:t>
      </w:r>
    </w:p>
    <w:p w:rsidR="0035233F" w:rsidRDefault="00D80B54" w:rsidP="00D5067C">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Sistema Acusatório, originado no Direito grego, caracteriza-se principalmente pela participação de diferentes órgãos no processo penal, ou seja, as atividades de acusar e julgar são feitas por pessoas distintas. (LOPES JR. 2012, </w:t>
      </w:r>
      <w:r w:rsidR="005A08EC">
        <w:rPr>
          <w:rFonts w:ascii="Times New Roman" w:hAnsi="Times New Roman" w:cs="Times New Roman"/>
          <w:sz w:val="24"/>
          <w:szCs w:val="24"/>
        </w:rPr>
        <w:t>p. 117). De acordo com Rangel (2010</w:t>
      </w:r>
      <w:r>
        <w:rPr>
          <w:rFonts w:ascii="Times New Roman" w:hAnsi="Times New Roman" w:cs="Times New Roman"/>
          <w:sz w:val="24"/>
          <w:szCs w:val="24"/>
        </w:rPr>
        <w:t xml:space="preserve">, p. 53), há uma visível separação de funções, não ficando a cargo de apenas uma figura, como ocorre com o juiz no Sistema Inquisitório. </w:t>
      </w:r>
    </w:p>
    <w:p w:rsidR="003A26D8" w:rsidRDefault="001C0B8E" w:rsidP="001C0B8E">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Atualmente, s</w:t>
      </w:r>
      <w:r w:rsidR="00934479">
        <w:rPr>
          <w:rFonts w:ascii="Times New Roman" w:hAnsi="Times New Roman" w:cs="Times New Roman"/>
          <w:sz w:val="24"/>
          <w:szCs w:val="24"/>
        </w:rPr>
        <w:t>egundo a lição de Rangel (2010</w:t>
      </w:r>
      <w:r w:rsidR="00C94994">
        <w:rPr>
          <w:rFonts w:ascii="Times New Roman" w:hAnsi="Times New Roman" w:cs="Times New Roman"/>
          <w:sz w:val="24"/>
          <w:szCs w:val="24"/>
        </w:rPr>
        <w:t>, p. 56), o inquérito policial adotado no Brasil é mais característico do Siste</w:t>
      </w:r>
      <w:r>
        <w:rPr>
          <w:rFonts w:ascii="Times New Roman" w:hAnsi="Times New Roman" w:cs="Times New Roman"/>
          <w:sz w:val="24"/>
          <w:szCs w:val="24"/>
        </w:rPr>
        <w:t>ma Acusatório. Nas palavras do autor,</w:t>
      </w:r>
    </w:p>
    <w:p w:rsidR="00010CFC" w:rsidRDefault="003A26D8" w:rsidP="003A26D8">
      <w:pPr>
        <w:autoSpaceDE w:val="0"/>
        <w:autoSpaceDN w:val="0"/>
        <w:adjustRightInd w:val="0"/>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O Brasil adota um sistema acusatório que, no nosso modo de ver, não é p</w:t>
      </w:r>
      <w:r w:rsidRPr="003A26D8">
        <w:rPr>
          <w:rFonts w:ascii="Times New Roman" w:hAnsi="Times New Roman" w:cs="Times New Roman"/>
          <w:sz w:val="20"/>
          <w:szCs w:val="20"/>
        </w:rPr>
        <w:t>uro</w:t>
      </w:r>
      <w:r w:rsidR="00E1437C" w:rsidRPr="003A26D8">
        <w:rPr>
          <w:rFonts w:ascii="Times New Roman" w:hAnsi="Times New Roman" w:cs="Times New Roman"/>
          <w:sz w:val="20"/>
          <w:szCs w:val="20"/>
        </w:rPr>
        <w:t xml:space="preserve"> em sua essência, pois o inquérito policial regido pelo sigilo, pela inquisitoriedade, tratando o indiciado como objeto de investigação, integra os autos do processo, e o juiz, muitas vezes, pergunta, em audiência, se os fatos que constam do inquérito policial são verdadeiros. Inclusive, ao tomar depoimento de uma testemunha, primeiro lê seu depoimento prestado, sem o crivo do contraditório, durante a fase do inquérito, para saber se confirma ou não, e, depois, passa a fazer as perguntas que entende necessárias. Nes</w:t>
      </w:r>
      <w:r>
        <w:rPr>
          <w:rFonts w:ascii="Times New Roman" w:hAnsi="Times New Roman" w:cs="Times New Roman"/>
          <w:sz w:val="20"/>
          <w:szCs w:val="20"/>
        </w:rPr>
        <w:t>te caso, [...], o procedimento</w:t>
      </w:r>
      <w:r w:rsidR="00A4072E">
        <w:rPr>
          <w:rFonts w:ascii="Times New Roman" w:hAnsi="Times New Roman" w:cs="Times New Roman"/>
          <w:sz w:val="20"/>
          <w:szCs w:val="20"/>
        </w:rPr>
        <w:t xml:space="preserve"> </w:t>
      </w:r>
      <w:r w:rsidR="00E1437C" w:rsidRPr="003A26D8">
        <w:rPr>
          <w:rFonts w:ascii="Times New Roman" w:hAnsi="Times New Roman" w:cs="Times New Roman"/>
          <w:sz w:val="20"/>
          <w:szCs w:val="20"/>
        </w:rPr>
        <w:t xml:space="preserve">meramente informativo, inquisitivo e sigiloso dá o pontapé inicial na atividade jurisdicional à procura da verdade processual. </w:t>
      </w:r>
    </w:p>
    <w:p w:rsidR="003A26D8" w:rsidRDefault="003A26D8" w:rsidP="003A26D8">
      <w:pPr>
        <w:autoSpaceDE w:val="0"/>
        <w:autoSpaceDN w:val="0"/>
        <w:adjustRightInd w:val="0"/>
        <w:spacing w:after="0" w:line="240" w:lineRule="auto"/>
        <w:ind w:left="2268"/>
        <w:jc w:val="both"/>
        <w:rPr>
          <w:rFonts w:ascii="Times New Roman" w:hAnsi="Times New Roman" w:cs="Times New Roman"/>
          <w:sz w:val="20"/>
          <w:szCs w:val="20"/>
        </w:rPr>
      </w:pPr>
    </w:p>
    <w:p w:rsidR="001C0B8E" w:rsidRPr="001C0B8E" w:rsidRDefault="001C0B8E" w:rsidP="001C0B8E">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Isso pressupõe que a utilização desse Sistema afeta diretamente o exercício da investigação, feita por um órgão competente separado daquele órgão julgador. Segundo Afrâ</w:t>
      </w:r>
      <w:r w:rsidR="005A08EC">
        <w:rPr>
          <w:rFonts w:ascii="Times New Roman" w:hAnsi="Times New Roman" w:cs="Times New Roman"/>
          <w:sz w:val="24"/>
          <w:szCs w:val="24"/>
        </w:rPr>
        <w:t xml:space="preserve">nio Silva Jardim </w:t>
      </w:r>
      <w:r w:rsidR="005A08EC" w:rsidRPr="00A4072E">
        <w:rPr>
          <w:rFonts w:ascii="Times New Roman" w:hAnsi="Times New Roman" w:cs="Times New Roman"/>
          <w:i/>
          <w:sz w:val="24"/>
          <w:szCs w:val="24"/>
        </w:rPr>
        <w:t>apud</w:t>
      </w:r>
      <w:r w:rsidR="005A08EC">
        <w:rPr>
          <w:rFonts w:ascii="Times New Roman" w:hAnsi="Times New Roman" w:cs="Times New Roman"/>
          <w:sz w:val="24"/>
          <w:szCs w:val="24"/>
        </w:rPr>
        <w:t xml:space="preserve"> Rangel (2010, p</w:t>
      </w:r>
      <w:r>
        <w:rPr>
          <w:rFonts w:ascii="Times New Roman" w:hAnsi="Times New Roman" w:cs="Times New Roman"/>
          <w:sz w:val="24"/>
          <w:szCs w:val="24"/>
        </w:rPr>
        <w:t>. 53), “para o sucesso deste sistema processual, desempenha o Ministério Público uma função de maior importância, assumindo a titularidade da ação penal e produzindo prova no interesse da verdade, deixando o Juiz equidistante do conflito de interesses que, porventura, surja no processo”.</w:t>
      </w:r>
    </w:p>
    <w:p w:rsidR="001C0B8E" w:rsidRPr="003A26D8" w:rsidRDefault="001C0B8E" w:rsidP="001C0B8E">
      <w:pPr>
        <w:autoSpaceDE w:val="0"/>
        <w:autoSpaceDN w:val="0"/>
        <w:adjustRightInd w:val="0"/>
        <w:spacing w:after="0" w:line="240" w:lineRule="auto"/>
        <w:ind w:firstLine="1134"/>
        <w:jc w:val="both"/>
        <w:rPr>
          <w:rFonts w:ascii="Times New Roman" w:hAnsi="Times New Roman" w:cs="Times New Roman"/>
          <w:sz w:val="20"/>
          <w:szCs w:val="20"/>
        </w:rPr>
      </w:pPr>
    </w:p>
    <w:p w:rsidR="00010CFC" w:rsidRDefault="00010CFC" w:rsidP="00010CFC">
      <w:pPr>
        <w:autoSpaceDE w:val="0"/>
        <w:autoSpaceDN w:val="0"/>
        <w:adjustRightInd w:val="0"/>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3 A IMPORTÂNCIA DO INDICIAMENTO NO PROCESSO PENAL BRASILEIRO </w:t>
      </w:r>
    </w:p>
    <w:p w:rsidR="004E3EB0" w:rsidRDefault="004E3EB0" w:rsidP="00010CFC">
      <w:pPr>
        <w:autoSpaceDE w:val="0"/>
        <w:autoSpaceDN w:val="0"/>
        <w:adjustRightInd w:val="0"/>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Segundo Moraes Pitombo </w:t>
      </w:r>
      <w:r w:rsidRPr="004E3EB0">
        <w:rPr>
          <w:rFonts w:ascii="Times New Roman" w:hAnsi="Times New Roman" w:cs="Times New Roman"/>
          <w:i/>
          <w:color w:val="000000"/>
          <w:sz w:val="24"/>
          <w:szCs w:val="24"/>
        </w:rPr>
        <w:t xml:space="preserve">apud </w:t>
      </w:r>
      <w:r>
        <w:rPr>
          <w:rFonts w:ascii="Times New Roman" w:hAnsi="Times New Roman" w:cs="Times New Roman"/>
          <w:color w:val="000000"/>
          <w:sz w:val="24"/>
          <w:szCs w:val="24"/>
        </w:rPr>
        <w:t>Lopes Jr. (2013, p. 431), “o indiciamento deve resultar do encontro de um ‘feixe de indícios convergentes’ que apontam para certa pessoa, ou determinadas pessoas, supostamente</w:t>
      </w:r>
      <w:r w:rsidR="003B2610">
        <w:rPr>
          <w:rFonts w:ascii="Times New Roman" w:hAnsi="Times New Roman" w:cs="Times New Roman"/>
          <w:color w:val="000000"/>
          <w:sz w:val="24"/>
          <w:szCs w:val="24"/>
        </w:rPr>
        <w:t xml:space="preserve"> autora (as) da infração penal. Declara a autoria provável”. Isso pressupõe que o indiciamento é o resultado da análise das diversas averiguações acerca do fato, as quais apontam para determinado indivíduo como o autor do ilícito. Ou seja, o indiciado representa preliminarmente, a pessoa que pode ter cometido o crime, apontado a partir do resultado das investigações acerca do fato.</w:t>
      </w:r>
    </w:p>
    <w:p w:rsidR="001433E8" w:rsidRDefault="001C0B8E" w:rsidP="001433E8">
      <w:pPr>
        <w:autoSpaceDE w:val="0"/>
        <w:autoSpaceDN w:val="0"/>
        <w:adjustRightInd w:val="0"/>
        <w:spacing w:after="0" w:line="360" w:lineRule="auto"/>
        <w:ind w:firstLine="127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De acordo com Zanotti (2013, p. 161), “o indiciamento consiste no ato formal de se atribuir a autoria de uma infração penal típica, antijurídica e culpável a uma pessoa determinada”. </w:t>
      </w:r>
      <w:r w:rsidR="00FB18A5">
        <w:rPr>
          <w:rFonts w:ascii="Times New Roman" w:hAnsi="Times New Roman" w:cs="Times New Roman"/>
          <w:color w:val="000000"/>
          <w:sz w:val="24"/>
          <w:szCs w:val="24"/>
        </w:rPr>
        <w:t xml:space="preserve">Isso pressupõe que se atribui a um determinado indivíduo a execução dos fatos investigados no inquérito. </w:t>
      </w:r>
      <w:r w:rsidR="00DE4921">
        <w:rPr>
          <w:rFonts w:ascii="Times New Roman" w:hAnsi="Times New Roman" w:cs="Times New Roman"/>
          <w:color w:val="000000"/>
          <w:sz w:val="24"/>
          <w:szCs w:val="24"/>
        </w:rPr>
        <w:t xml:space="preserve">O Art. 2º, § 6º da Lei nº 12.830/13 prevê que o indiciamento é ato privativo do delegado de polícia, o qual, por meio de ato fundamentado mediante análise técnico-jurídica do fato, indica a autoria, materialidade e circunstâncias do crime. </w:t>
      </w:r>
      <w:r w:rsidR="0044046C">
        <w:rPr>
          <w:rFonts w:ascii="Times New Roman" w:hAnsi="Times New Roman" w:cs="Times New Roman"/>
          <w:color w:val="000000"/>
          <w:sz w:val="24"/>
          <w:szCs w:val="24"/>
        </w:rPr>
        <w:t xml:space="preserve">(ZANOTTI, p. 161). </w:t>
      </w:r>
      <w:r w:rsidR="00DE4921">
        <w:rPr>
          <w:rFonts w:ascii="Times New Roman" w:hAnsi="Times New Roman" w:cs="Times New Roman"/>
          <w:color w:val="000000"/>
          <w:sz w:val="24"/>
          <w:szCs w:val="24"/>
        </w:rPr>
        <w:t>Portanto, não se trata de ato arbitrário, mas devidamente admitido dentro dos preceitos legais.</w:t>
      </w:r>
      <w:r w:rsidR="001433E8" w:rsidRPr="001433E8">
        <w:rPr>
          <w:rFonts w:ascii="Times New Roman" w:hAnsi="Times New Roman" w:cs="Times New Roman"/>
          <w:color w:val="000000"/>
          <w:sz w:val="24"/>
          <w:szCs w:val="24"/>
        </w:rPr>
        <w:t xml:space="preserve"> </w:t>
      </w:r>
    </w:p>
    <w:p w:rsidR="001433E8" w:rsidRDefault="001433E8" w:rsidP="001433E8">
      <w:pPr>
        <w:autoSpaceDE w:val="0"/>
        <w:autoSpaceDN w:val="0"/>
        <w:adjustRightInd w:val="0"/>
        <w:spacing w:after="0" w:line="360" w:lineRule="auto"/>
        <w:ind w:firstLine="127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Pitombo </w:t>
      </w:r>
      <w:r>
        <w:rPr>
          <w:rFonts w:ascii="Times New Roman" w:hAnsi="Times New Roman" w:cs="Times New Roman"/>
          <w:color w:val="000000"/>
          <w:sz w:val="24"/>
          <w:szCs w:val="24"/>
        </w:rPr>
        <w:t xml:space="preserve">(1983) </w:t>
      </w:r>
      <w:r>
        <w:rPr>
          <w:rFonts w:ascii="Times New Roman" w:hAnsi="Times New Roman" w:cs="Times New Roman"/>
          <w:color w:val="000000"/>
          <w:sz w:val="24"/>
          <w:szCs w:val="24"/>
        </w:rPr>
        <w:t>discrimina que o ato de se indiciar não é mero ato discricionário, se funda em nortes que o direito processual penal dispõe. Além disso, o autor defende que só se pode passar de suspeito para autor de um crime com base no peso das provas, se frágeis, continuam como suspeitos. O indiciamento, para este, é opcional e por isso deve ser legitimo e não decorrente do subjetivismo dos aplicadores.</w:t>
      </w:r>
    </w:p>
    <w:p w:rsidR="001433E8" w:rsidRDefault="001433E8" w:rsidP="001433E8">
      <w:pPr>
        <w:autoSpaceDE w:val="0"/>
        <w:autoSpaceDN w:val="0"/>
        <w:adjustRightInd w:val="0"/>
        <w:spacing w:after="0" w:line="360" w:lineRule="auto"/>
        <w:ind w:firstLine="1276"/>
        <w:jc w:val="both"/>
        <w:rPr>
          <w:rFonts w:ascii="Times New Roman" w:hAnsi="Times New Roman" w:cs="Times New Roman"/>
          <w:color w:val="000000"/>
          <w:sz w:val="24"/>
          <w:szCs w:val="24"/>
        </w:rPr>
      </w:pPr>
      <w:r>
        <w:rPr>
          <w:rFonts w:ascii="Times New Roman" w:hAnsi="Times New Roman" w:cs="Times New Roman"/>
          <w:color w:val="000000"/>
          <w:sz w:val="24"/>
          <w:szCs w:val="24"/>
        </w:rPr>
        <w:t>Sendo assim, é mister afirmar que a relevância do fenômeno consiste em justamente assegurar ao indiciado sua condição, bem como propor a sociedade segurança de solução de crime, bem como garantir o devido processo legal no que tange ao Direito Processual Penal,</w:t>
      </w:r>
    </w:p>
    <w:p w:rsidR="00010CFC" w:rsidRPr="001C0B8E" w:rsidRDefault="00010CFC" w:rsidP="00010CFC">
      <w:pPr>
        <w:autoSpaceDE w:val="0"/>
        <w:autoSpaceDN w:val="0"/>
        <w:adjustRightInd w:val="0"/>
        <w:spacing w:after="0" w:line="360" w:lineRule="auto"/>
        <w:ind w:firstLine="1134"/>
        <w:jc w:val="both"/>
        <w:rPr>
          <w:rFonts w:ascii="Times New Roman" w:hAnsi="Times New Roman" w:cs="Times New Roman"/>
          <w:color w:val="000000"/>
          <w:sz w:val="24"/>
          <w:szCs w:val="24"/>
        </w:rPr>
      </w:pPr>
    </w:p>
    <w:p w:rsidR="00010CFC" w:rsidRDefault="00010CFC" w:rsidP="00010CFC">
      <w:pPr>
        <w:autoSpaceDE w:val="0"/>
        <w:autoSpaceDN w:val="0"/>
        <w:adjustRightInd w:val="0"/>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4 IDENTIFICANDO AS ETAPAS PROCEDIMENTAIS DO INDICIAMENTO </w:t>
      </w:r>
    </w:p>
    <w:p w:rsidR="008D694A" w:rsidRDefault="006C70B3" w:rsidP="008D694A">
      <w:pPr>
        <w:autoSpaceDE w:val="0"/>
        <w:autoSpaceDN w:val="0"/>
        <w:adjustRightInd w:val="0"/>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É certo que há uma omissão legislativa quanto ao procedimento do indiciamento. No entanto, não se pode afirmar que tal fenômeno não possui preceitos legais aos quais deve seguir. Isso porque, frise-se, o indiciamento é parte do processo de acusação de um sujeito como autor de uma determinada conduta delituosa e, como tal, deve conferir a este e à sociedade certa segurança jurídica, a fim de que o indivíduo acusado não o seja a partir de meras suspeitas, mas de evidências da prática de determinado ato criminoso.</w:t>
      </w:r>
    </w:p>
    <w:p w:rsidR="006C70B3" w:rsidRDefault="006C70B3" w:rsidP="006C70B3">
      <w:pPr>
        <w:autoSpaceDE w:val="0"/>
        <w:autoSpaceDN w:val="0"/>
        <w:adjustRightInd w:val="0"/>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É nessa perspectiva</w:t>
      </w:r>
      <w:r w:rsidR="00771F32">
        <w:rPr>
          <w:rFonts w:ascii="Times New Roman" w:hAnsi="Times New Roman" w:cs="Times New Roman"/>
          <w:color w:val="000000"/>
          <w:sz w:val="24"/>
          <w:szCs w:val="24"/>
        </w:rPr>
        <w:t>, de efetivação da justiça,</w:t>
      </w:r>
      <w:r>
        <w:rPr>
          <w:rFonts w:ascii="Times New Roman" w:hAnsi="Times New Roman" w:cs="Times New Roman"/>
          <w:color w:val="000000"/>
          <w:sz w:val="24"/>
          <w:szCs w:val="24"/>
        </w:rPr>
        <w:t xml:space="preserve"> que Rogério Tadeu Romano (20[?], p.5) “</w:t>
      </w:r>
      <w:r w:rsidRPr="006C70B3">
        <w:rPr>
          <w:rFonts w:ascii="Times New Roman" w:hAnsi="Times New Roman" w:cs="Times New Roman"/>
          <w:color w:val="000000"/>
          <w:sz w:val="24"/>
          <w:szCs w:val="24"/>
        </w:rPr>
        <w:t>O indiciamento somente poderá ser realizado se há, para tanto, fundada e objetiva suspeita de participação ou autoria nos eventuais delitos investigados, como se lê de entendimento do Superior Tribunal de Justiça</w:t>
      </w:r>
      <w:r w:rsidR="00771F32">
        <w:rPr>
          <w:rFonts w:ascii="Times New Roman" w:hAnsi="Times New Roman" w:cs="Times New Roman"/>
          <w:color w:val="000000"/>
          <w:sz w:val="24"/>
          <w:szCs w:val="24"/>
        </w:rPr>
        <w:t>”. O autor ainda defende que tal procedimento, indispensável ao inquérito policial, e, dada sua relevância ao processo penal só poderá ser feita pelo agente autorizado, uma “autoridade policial”.</w:t>
      </w:r>
    </w:p>
    <w:p w:rsidR="00771F32" w:rsidRDefault="00771F32" w:rsidP="006C70B3">
      <w:pPr>
        <w:autoSpaceDE w:val="0"/>
        <w:autoSpaceDN w:val="0"/>
        <w:adjustRightInd w:val="0"/>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Isso se justifica porque somente este possui legitimidade para interpretar os preceitos estabelecidos pela norma penal para que seja realizado tal procedimento e, se presume uma interpretação e aplicação desta corretas, assegurando ao sujeito sua condição fundado em evidências. Tal autoridade identifica e concretiza, com base nos fatos e provas arrecadadas pela investigação qual a pessoa responsável pela prática de determinado crime.</w:t>
      </w:r>
    </w:p>
    <w:p w:rsidR="00703B38" w:rsidRDefault="00703B38" w:rsidP="006C70B3">
      <w:pPr>
        <w:autoSpaceDE w:val="0"/>
        <w:autoSpaceDN w:val="0"/>
        <w:adjustRightInd w:val="0"/>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Rogerio Tadeu Romano (20[?]) ainda expõe que o indiciamento, em</w:t>
      </w:r>
      <w:r w:rsidR="00532799">
        <w:rPr>
          <w:rFonts w:ascii="Times New Roman" w:hAnsi="Times New Roman" w:cs="Times New Roman"/>
          <w:color w:val="000000"/>
          <w:sz w:val="24"/>
          <w:szCs w:val="24"/>
        </w:rPr>
        <w:t xml:space="preserve"> regra,</w:t>
      </w:r>
      <w:r>
        <w:rPr>
          <w:rFonts w:ascii="Times New Roman" w:hAnsi="Times New Roman" w:cs="Times New Roman"/>
          <w:color w:val="000000"/>
          <w:sz w:val="24"/>
          <w:szCs w:val="24"/>
        </w:rPr>
        <w:t xml:space="preserve"> precisa ser motivado, basta que apenas, frise-se, se observem os princípios/preceitos estabelecidos para a realização deste. E, afirma, ainda, que o indiciado tem direito ao silêncio, fundado no artigo 5° da Constituição Federal de 88, bem como à garantia dos demais direitos estabelecidos pela carta magna que podem se relacionar ao processo. As</w:t>
      </w:r>
      <w:r w:rsidR="003E430E">
        <w:rPr>
          <w:rFonts w:ascii="Times New Roman" w:hAnsi="Times New Roman" w:cs="Times New Roman"/>
          <w:color w:val="000000"/>
          <w:sz w:val="24"/>
          <w:szCs w:val="24"/>
        </w:rPr>
        <w:t xml:space="preserve">sim, far-se-á sua qualificação e identificação </w:t>
      </w:r>
      <w:r>
        <w:rPr>
          <w:rFonts w:ascii="Times New Roman" w:hAnsi="Times New Roman" w:cs="Times New Roman"/>
          <w:color w:val="000000"/>
          <w:sz w:val="24"/>
          <w:szCs w:val="24"/>
        </w:rPr>
        <w:t>a fim de que se possa prosseguir com o inquérito normalmente.</w:t>
      </w:r>
      <w:r w:rsidR="0054660B">
        <w:rPr>
          <w:rFonts w:ascii="Times New Roman" w:hAnsi="Times New Roman" w:cs="Times New Roman"/>
          <w:color w:val="000000"/>
          <w:sz w:val="24"/>
          <w:szCs w:val="24"/>
        </w:rPr>
        <w:t xml:space="preserve"> É nesse viés que Rafael Marcondes (2014, p. 1) afirma que o “auto de qualificação e identificação, boletim de identificação e as informações acerca de sua vida pregressa” devem conter no procedimento e consistem no indiciamento formal.</w:t>
      </w:r>
    </w:p>
    <w:p w:rsidR="00532799" w:rsidRPr="006C70B3" w:rsidRDefault="00532799" w:rsidP="006C70B3">
      <w:pPr>
        <w:autoSpaceDE w:val="0"/>
        <w:autoSpaceDN w:val="0"/>
        <w:adjustRightInd w:val="0"/>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Constata-se tal premissa na Lei de n° 12.830 de 2013 em seu artigo 2°, parágrafo 6° que dispõe:</w:t>
      </w:r>
      <w:r>
        <w:rPr>
          <w:rFonts w:ascii="Arial" w:hAnsi="Arial" w:cs="Arial"/>
          <w:color w:val="000000"/>
        </w:rPr>
        <w:t> </w:t>
      </w:r>
      <w:r>
        <w:rPr>
          <w:rFonts w:ascii="Arial" w:hAnsi="Arial" w:cs="Arial"/>
          <w:color w:val="000000"/>
        </w:rPr>
        <w:t>“</w:t>
      </w:r>
      <w:r w:rsidRPr="00532799">
        <w:rPr>
          <w:rFonts w:ascii="Times New Roman" w:hAnsi="Times New Roman" w:cs="Times New Roman"/>
          <w:color w:val="000000"/>
          <w:sz w:val="24"/>
          <w:szCs w:val="24"/>
        </w:rPr>
        <w:t>O indiciamento, privativo do delegado de polícia, dar-se-á por ato fundamentado, mediante análise técnico-jurídica do fato, que deverá indicar a autoria, materialidade e suas circunstâncias.</w:t>
      </w:r>
      <w:r w:rsidR="003E430E">
        <w:rPr>
          <w:rFonts w:ascii="Times New Roman" w:hAnsi="Times New Roman" w:cs="Times New Roman"/>
          <w:color w:val="000000"/>
          <w:sz w:val="24"/>
          <w:szCs w:val="24"/>
        </w:rPr>
        <w:t xml:space="preserve">”. Segundo Rafael Marcondes (2014) o indiciamento pode ocorrer em dois momentos: quando já tenha sido instaurado inquérito, uma vez que tal fenômeno se funda na investigação de quem o possível autor de determinado crime, e, no momento em que a autoridade competente o instaura através de prisão. O primeiro é feito por despacho, e o segundo se instaura assim que ocorre o flagrante, formalmente. O autor ainda defende que na hipótese de o indiciamento ser fator que desencadeia o inquérito é necessário </w:t>
      </w:r>
      <w:r w:rsidR="0054660B">
        <w:rPr>
          <w:rFonts w:ascii="Times New Roman" w:hAnsi="Times New Roman" w:cs="Times New Roman"/>
          <w:color w:val="000000"/>
          <w:sz w:val="24"/>
          <w:szCs w:val="24"/>
        </w:rPr>
        <w:t xml:space="preserve">que se realize </w:t>
      </w:r>
      <w:r w:rsidR="003E430E">
        <w:rPr>
          <w:rFonts w:ascii="Times New Roman" w:hAnsi="Times New Roman" w:cs="Times New Roman"/>
          <w:color w:val="000000"/>
          <w:sz w:val="24"/>
          <w:szCs w:val="24"/>
        </w:rPr>
        <w:t>uma investigação preliminar, uma certeza jurídica da situação do sujeito que será indiciado.</w:t>
      </w:r>
    </w:p>
    <w:p w:rsidR="00FD4BA6" w:rsidRDefault="00FD4BA6" w:rsidP="00010CFC">
      <w:pPr>
        <w:autoSpaceDE w:val="0"/>
        <w:autoSpaceDN w:val="0"/>
        <w:adjustRightInd w:val="0"/>
        <w:spacing w:after="0" w:line="360" w:lineRule="auto"/>
        <w:jc w:val="both"/>
        <w:rPr>
          <w:rFonts w:ascii="Times New Roman" w:hAnsi="Times New Roman" w:cs="Times New Roman"/>
          <w:b/>
          <w:color w:val="000000"/>
          <w:sz w:val="24"/>
          <w:szCs w:val="24"/>
        </w:rPr>
      </w:pPr>
    </w:p>
    <w:p w:rsidR="00FD4BA6" w:rsidRDefault="00FD4BA6" w:rsidP="00010CFC">
      <w:pPr>
        <w:autoSpaceDE w:val="0"/>
        <w:autoSpaceDN w:val="0"/>
        <w:adjustRightInd w:val="0"/>
        <w:spacing w:after="0" w:line="360" w:lineRule="auto"/>
        <w:jc w:val="both"/>
        <w:rPr>
          <w:rFonts w:ascii="Times New Roman" w:hAnsi="Times New Roman" w:cs="Times New Roman"/>
          <w:b/>
          <w:color w:val="000000"/>
          <w:sz w:val="24"/>
          <w:szCs w:val="24"/>
        </w:rPr>
      </w:pPr>
    </w:p>
    <w:p w:rsidR="00FD4BA6" w:rsidRDefault="00FD4BA6" w:rsidP="00010CFC">
      <w:pPr>
        <w:autoSpaceDE w:val="0"/>
        <w:autoSpaceDN w:val="0"/>
        <w:adjustRightInd w:val="0"/>
        <w:spacing w:after="0" w:line="360" w:lineRule="auto"/>
        <w:jc w:val="both"/>
        <w:rPr>
          <w:rFonts w:ascii="Times New Roman" w:hAnsi="Times New Roman" w:cs="Times New Roman"/>
          <w:b/>
          <w:color w:val="000000"/>
          <w:sz w:val="24"/>
          <w:szCs w:val="24"/>
        </w:rPr>
      </w:pPr>
    </w:p>
    <w:p w:rsidR="00FD4BA6" w:rsidRDefault="00FD4BA6" w:rsidP="00010CFC">
      <w:pPr>
        <w:autoSpaceDE w:val="0"/>
        <w:autoSpaceDN w:val="0"/>
        <w:adjustRightInd w:val="0"/>
        <w:spacing w:after="0" w:line="360" w:lineRule="auto"/>
        <w:jc w:val="both"/>
        <w:rPr>
          <w:rFonts w:ascii="Times New Roman" w:hAnsi="Times New Roman" w:cs="Times New Roman"/>
          <w:b/>
          <w:color w:val="000000"/>
          <w:sz w:val="24"/>
          <w:szCs w:val="24"/>
        </w:rPr>
      </w:pPr>
    </w:p>
    <w:p w:rsidR="00FD4BA6" w:rsidRDefault="00FD4BA6" w:rsidP="00010CFC">
      <w:pPr>
        <w:autoSpaceDE w:val="0"/>
        <w:autoSpaceDN w:val="0"/>
        <w:adjustRightInd w:val="0"/>
        <w:spacing w:after="0" w:line="360" w:lineRule="auto"/>
        <w:jc w:val="both"/>
        <w:rPr>
          <w:rFonts w:ascii="Times New Roman" w:hAnsi="Times New Roman" w:cs="Times New Roman"/>
          <w:b/>
          <w:color w:val="000000"/>
          <w:sz w:val="24"/>
          <w:szCs w:val="24"/>
        </w:rPr>
      </w:pPr>
    </w:p>
    <w:p w:rsidR="00010CFC" w:rsidRDefault="00010CFC" w:rsidP="00010CFC">
      <w:pPr>
        <w:autoSpaceDE w:val="0"/>
        <w:autoSpaceDN w:val="0"/>
        <w:adjustRightInd w:val="0"/>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CONSIDERAÇÕES FINAIS </w:t>
      </w:r>
    </w:p>
    <w:p w:rsidR="0044046C" w:rsidRDefault="0044046C" w:rsidP="00010CFC">
      <w:pPr>
        <w:autoSpaceDE w:val="0"/>
        <w:autoSpaceDN w:val="0"/>
        <w:adjustRightInd w:val="0"/>
        <w:spacing w:after="0" w:line="360" w:lineRule="auto"/>
        <w:jc w:val="both"/>
        <w:rPr>
          <w:rFonts w:ascii="Times New Roman" w:hAnsi="Times New Roman" w:cs="Times New Roman"/>
          <w:b/>
          <w:color w:val="000000"/>
          <w:sz w:val="24"/>
          <w:szCs w:val="24"/>
        </w:rPr>
      </w:pPr>
    </w:p>
    <w:p w:rsidR="0044046C" w:rsidRDefault="00FD4BA6" w:rsidP="00FD4BA6">
      <w:pPr>
        <w:autoSpaceDE w:val="0"/>
        <w:autoSpaceDN w:val="0"/>
        <w:adjustRightInd w:val="0"/>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Como já exposto, o objetivo do direito penal é a proteção de bem jurídicos socialmente relevantes é nessa perspectiva de contribuição para com a segurança de tais </w:t>
      </w:r>
      <w:r w:rsidR="00D02FC1">
        <w:rPr>
          <w:rFonts w:ascii="Times New Roman" w:hAnsi="Times New Roman" w:cs="Times New Roman"/>
          <w:color w:val="000000"/>
          <w:sz w:val="24"/>
          <w:szCs w:val="24"/>
        </w:rPr>
        <w:t>que o Inquérito Policial contribui. Isso se justifica pelo fato de que, haja vista, o fenômeno do inquérito proporciona a investigação do sujeito que tenha cometido determinada prática criminosa. E, o indiciamento como parte (autônoma, mas parte) do inquérito contribui para proporcionar segurança ao acusado, bem como à sociedade diante da prática que lesou determinado bem jurídico.</w:t>
      </w:r>
    </w:p>
    <w:p w:rsidR="00D02FC1" w:rsidRDefault="00D02FC1" w:rsidP="00FD4BA6">
      <w:pPr>
        <w:autoSpaceDE w:val="0"/>
        <w:autoSpaceDN w:val="0"/>
        <w:adjustRightInd w:val="0"/>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Foi com esse objetivo que se estabeleceu em um primeiro esclarecimento acerca do inquérito, expondo portanto, seu conceito, como um processo de investigação do sujeito, bem como demonstrando seus caracteres, apresentando-se como procedimento sistêmico, formal, sigiloso, etc. Em seguida, fez-se uma breve análise de sua evolução histórica, se afirmando a regência do sistema acusatório como base para o Inquérito.</w:t>
      </w:r>
    </w:p>
    <w:p w:rsidR="00D02FC1" w:rsidRDefault="00D02FC1" w:rsidP="00FD4BA6">
      <w:pPr>
        <w:autoSpaceDE w:val="0"/>
        <w:autoSpaceDN w:val="0"/>
        <w:adjustRightInd w:val="0"/>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Em uma outra perspectiva iniciou-se análise acerca do objetivo principal do artigo, com destaque à relevância do fenômeno do Indiciamento tanto para o processo penal quanto para o próprio sujeito alvo de investigação, bem como para a sociedade, garantindo, a todos estes, segurança jurídica, devido processo legal, direitos básicos dos indivíduos, etc.</w:t>
      </w:r>
    </w:p>
    <w:p w:rsidR="008D694A" w:rsidRPr="00FD4BA6" w:rsidRDefault="008D694A" w:rsidP="00FD4BA6">
      <w:pPr>
        <w:autoSpaceDE w:val="0"/>
        <w:autoSpaceDN w:val="0"/>
        <w:adjustRightInd w:val="0"/>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Feito isso, procurou-se demonstrar como ocorre o Indiciamento, seu procedimento e formas, dada ausência de norma penal que o determine especificamente, afirmando a existência de preceitos legais que fundam as decisões da autoridade competente no que diz respeito ao assunto, bem como expondo quais os efeitos e os aparatos necessários do indiciamento.</w:t>
      </w:r>
    </w:p>
    <w:p w:rsidR="008B6AAC" w:rsidRDefault="008B6AAC" w:rsidP="00010CFC">
      <w:pPr>
        <w:autoSpaceDE w:val="0"/>
        <w:autoSpaceDN w:val="0"/>
        <w:adjustRightInd w:val="0"/>
        <w:spacing w:after="0" w:line="360" w:lineRule="auto"/>
        <w:jc w:val="both"/>
        <w:rPr>
          <w:rFonts w:ascii="Times New Roman" w:hAnsi="Times New Roman" w:cs="Times New Roman"/>
          <w:b/>
          <w:color w:val="000000"/>
          <w:sz w:val="24"/>
          <w:szCs w:val="24"/>
        </w:rPr>
      </w:pPr>
    </w:p>
    <w:p w:rsidR="00264D85" w:rsidRDefault="00264D85" w:rsidP="00010CFC">
      <w:pPr>
        <w:autoSpaceDE w:val="0"/>
        <w:autoSpaceDN w:val="0"/>
        <w:adjustRightInd w:val="0"/>
        <w:spacing w:after="0" w:line="360" w:lineRule="auto"/>
        <w:jc w:val="both"/>
        <w:rPr>
          <w:rFonts w:ascii="Times New Roman" w:hAnsi="Times New Roman" w:cs="Times New Roman"/>
          <w:b/>
          <w:color w:val="000000"/>
          <w:sz w:val="24"/>
          <w:szCs w:val="24"/>
        </w:rPr>
      </w:pPr>
    </w:p>
    <w:p w:rsidR="008D694A" w:rsidRDefault="008D694A" w:rsidP="00010CFC">
      <w:pPr>
        <w:autoSpaceDE w:val="0"/>
        <w:autoSpaceDN w:val="0"/>
        <w:adjustRightInd w:val="0"/>
        <w:spacing w:after="0" w:line="360" w:lineRule="auto"/>
        <w:jc w:val="both"/>
        <w:rPr>
          <w:rFonts w:ascii="Times New Roman" w:hAnsi="Times New Roman" w:cs="Times New Roman"/>
          <w:b/>
          <w:color w:val="000000"/>
          <w:sz w:val="24"/>
          <w:szCs w:val="24"/>
        </w:rPr>
      </w:pPr>
    </w:p>
    <w:p w:rsidR="008D694A" w:rsidRDefault="008D694A" w:rsidP="00010CFC">
      <w:pPr>
        <w:autoSpaceDE w:val="0"/>
        <w:autoSpaceDN w:val="0"/>
        <w:adjustRightInd w:val="0"/>
        <w:spacing w:after="0" w:line="360" w:lineRule="auto"/>
        <w:jc w:val="both"/>
        <w:rPr>
          <w:rFonts w:ascii="Times New Roman" w:hAnsi="Times New Roman" w:cs="Times New Roman"/>
          <w:b/>
          <w:color w:val="000000"/>
          <w:sz w:val="24"/>
          <w:szCs w:val="24"/>
        </w:rPr>
      </w:pPr>
    </w:p>
    <w:p w:rsidR="008D694A" w:rsidRDefault="008D694A" w:rsidP="00010CFC">
      <w:pPr>
        <w:autoSpaceDE w:val="0"/>
        <w:autoSpaceDN w:val="0"/>
        <w:adjustRightInd w:val="0"/>
        <w:spacing w:after="0" w:line="360" w:lineRule="auto"/>
        <w:jc w:val="both"/>
        <w:rPr>
          <w:rFonts w:ascii="Times New Roman" w:hAnsi="Times New Roman" w:cs="Times New Roman"/>
          <w:b/>
          <w:color w:val="000000"/>
          <w:sz w:val="24"/>
          <w:szCs w:val="24"/>
        </w:rPr>
      </w:pPr>
    </w:p>
    <w:p w:rsidR="00264D85" w:rsidRDefault="00264D85" w:rsidP="00010CFC">
      <w:pPr>
        <w:autoSpaceDE w:val="0"/>
        <w:autoSpaceDN w:val="0"/>
        <w:adjustRightInd w:val="0"/>
        <w:spacing w:after="0" w:line="360" w:lineRule="auto"/>
        <w:jc w:val="both"/>
        <w:rPr>
          <w:rFonts w:ascii="Times New Roman" w:hAnsi="Times New Roman" w:cs="Times New Roman"/>
          <w:b/>
          <w:color w:val="000000"/>
          <w:sz w:val="24"/>
          <w:szCs w:val="24"/>
        </w:rPr>
      </w:pPr>
    </w:p>
    <w:p w:rsidR="00264D85" w:rsidRDefault="00264D85" w:rsidP="00010CFC">
      <w:pPr>
        <w:autoSpaceDE w:val="0"/>
        <w:autoSpaceDN w:val="0"/>
        <w:adjustRightInd w:val="0"/>
        <w:spacing w:after="0" w:line="360" w:lineRule="auto"/>
        <w:jc w:val="both"/>
        <w:rPr>
          <w:rFonts w:ascii="Times New Roman" w:hAnsi="Times New Roman" w:cs="Times New Roman"/>
          <w:b/>
          <w:color w:val="000000"/>
          <w:sz w:val="24"/>
          <w:szCs w:val="24"/>
        </w:rPr>
      </w:pPr>
    </w:p>
    <w:p w:rsidR="008B6AAC" w:rsidRDefault="008B6AAC" w:rsidP="00010CFC">
      <w:pPr>
        <w:autoSpaceDE w:val="0"/>
        <w:autoSpaceDN w:val="0"/>
        <w:adjustRightInd w:val="0"/>
        <w:spacing w:after="0" w:line="360" w:lineRule="auto"/>
        <w:jc w:val="both"/>
        <w:rPr>
          <w:rFonts w:ascii="Times New Roman" w:hAnsi="Times New Roman" w:cs="Times New Roman"/>
          <w:b/>
          <w:color w:val="000000"/>
          <w:sz w:val="24"/>
          <w:szCs w:val="24"/>
        </w:rPr>
      </w:pPr>
    </w:p>
    <w:p w:rsidR="0044046C" w:rsidRDefault="0044046C" w:rsidP="00010CFC">
      <w:pPr>
        <w:autoSpaceDE w:val="0"/>
        <w:autoSpaceDN w:val="0"/>
        <w:adjustRightInd w:val="0"/>
        <w:spacing w:after="0" w:line="360" w:lineRule="auto"/>
        <w:jc w:val="both"/>
        <w:rPr>
          <w:rFonts w:ascii="Times New Roman" w:hAnsi="Times New Roman" w:cs="Times New Roman"/>
          <w:b/>
          <w:color w:val="000000"/>
          <w:sz w:val="24"/>
          <w:szCs w:val="24"/>
        </w:rPr>
      </w:pPr>
    </w:p>
    <w:p w:rsidR="00010CFC" w:rsidRDefault="00010CFC" w:rsidP="0044046C">
      <w:pPr>
        <w:autoSpaceDE w:val="0"/>
        <w:autoSpaceDN w:val="0"/>
        <w:adjustRightInd w:val="0"/>
        <w:spacing w:after="0"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REFERÊNCIAS</w:t>
      </w:r>
    </w:p>
    <w:p w:rsidR="008B6AAC" w:rsidRDefault="008B6AAC" w:rsidP="0044046C">
      <w:pPr>
        <w:autoSpaceDE w:val="0"/>
        <w:autoSpaceDN w:val="0"/>
        <w:adjustRightInd w:val="0"/>
        <w:spacing w:after="0" w:line="360" w:lineRule="auto"/>
        <w:jc w:val="center"/>
        <w:rPr>
          <w:rFonts w:ascii="Times New Roman" w:hAnsi="Times New Roman" w:cs="Times New Roman"/>
          <w:b/>
          <w:color w:val="000000"/>
          <w:sz w:val="24"/>
          <w:szCs w:val="24"/>
        </w:rPr>
      </w:pPr>
    </w:p>
    <w:p w:rsidR="004A504B" w:rsidRDefault="004A504B" w:rsidP="004A504B">
      <w:pPr>
        <w:autoSpaceDE w:val="0"/>
        <w:autoSpaceDN w:val="0"/>
        <w:adjustRightInd w:val="0"/>
        <w:spacing w:after="0" w:line="240" w:lineRule="auto"/>
        <w:jc w:val="both"/>
        <w:rPr>
          <w:rFonts w:ascii="Times New Roman" w:hAnsi="Times New Roman" w:cs="Times New Roman"/>
          <w:color w:val="000000"/>
          <w:sz w:val="24"/>
          <w:szCs w:val="24"/>
        </w:rPr>
      </w:pPr>
    </w:p>
    <w:p w:rsidR="004A504B" w:rsidRDefault="004A504B" w:rsidP="004A504B">
      <w:pPr>
        <w:autoSpaceDE w:val="0"/>
        <w:autoSpaceDN w:val="0"/>
        <w:adjustRightInd w:val="0"/>
        <w:spacing w:after="0" w:line="240" w:lineRule="auto"/>
        <w:jc w:val="both"/>
        <w:rPr>
          <w:rFonts w:ascii="Times New Roman" w:hAnsi="Times New Roman" w:cs="Times New Roman"/>
          <w:color w:val="000000"/>
          <w:sz w:val="24"/>
          <w:szCs w:val="24"/>
        </w:rPr>
      </w:pPr>
    </w:p>
    <w:p w:rsidR="004A504B" w:rsidRPr="00264D85" w:rsidRDefault="004A504B" w:rsidP="004A504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BRASIL. Lei n° 12.830 de 2013. Dispõe sobre a investigação criminal conduzida pelo delegado de polícia. </w:t>
      </w:r>
      <w:r w:rsidR="001B61F2">
        <w:rPr>
          <w:rFonts w:ascii="Times New Roman" w:hAnsi="Times New Roman" w:cs="Times New Roman"/>
          <w:b/>
          <w:color w:val="000000"/>
          <w:sz w:val="24"/>
          <w:szCs w:val="24"/>
        </w:rPr>
        <w:t>Presidência da República</w:t>
      </w:r>
      <w:r w:rsidR="00264D85">
        <w:rPr>
          <w:rFonts w:ascii="Times New Roman" w:hAnsi="Times New Roman" w:cs="Times New Roman"/>
          <w:b/>
          <w:color w:val="000000"/>
          <w:sz w:val="24"/>
          <w:szCs w:val="24"/>
        </w:rPr>
        <w:t xml:space="preserve">. </w:t>
      </w:r>
      <w:r w:rsidR="00264D85">
        <w:rPr>
          <w:rFonts w:ascii="Times New Roman" w:hAnsi="Times New Roman" w:cs="Times New Roman"/>
          <w:color w:val="000000"/>
          <w:sz w:val="24"/>
          <w:szCs w:val="24"/>
        </w:rPr>
        <w:t>Disponível em: &lt;</w:t>
      </w:r>
      <w:r w:rsidR="00264D85" w:rsidRPr="00264D85">
        <w:rPr>
          <w:rFonts w:ascii="Times New Roman" w:hAnsi="Times New Roman" w:cs="Times New Roman"/>
          <w:color w:val="000000"/>
          <w:sz w:val="24"/>
          <w:szCs w:val="24"/>
        </w:rPr>
        <w:t>http://www.planalto.gov.br/ccivil_03/_ato2011-2014/2013/lei/l12830.htm</w:t>
      </w:r>
      <w:r w:rsidR="00264D85">
        <w:rPr>
          <w:rFonts w:ascii="Times New Roman" w:hAnsi="Times New Roman" w:cs="Times New Roman"/>
          <w:color w:val="000000"/>
          <w:sz w:val="24"/>
          <w:szCs w:val="24"/>
        </w:rPr>
        <w:t>&gt; Acesso em: 20 de abril de 2014.</w:t>
      </w:r>
    </w:p>
    <w:p w:rsidR="004A504B" w:rsidRDefault="004A504B" w:rsidP="004A504B">
      <w:pPr>
        <w:autoSpaceDE w:val="0"/>
        <w:autoSpaceDN w:val="0"/>
        <w:adjustRightInd w:val="0"/>
        <w:spacing w:after="0" w:line="240" w:lineRule="auto"/>
        <w:jc w:val="both"/>
        <w:rPr>
          <w:rFonts w:ascii="Times New Roman" w:hAnsi="Times New Roman" w:cs="Times New Roman"/>
          <w:color w:val="000000"/>
          <w:sz w:val="24"/>
          <w:szCs w:val="24"/>
        </w:rPr>
      </w:pPr>
    </w:p>
    <w:p w:rsidR="00B31721" w:rsidRPr="004A504B" w:rsidRDefault="00B31721" w:rsidP="004A504B">
      <w:pPr>
        <w:autoSpaceDE w:val="0"/>
        <w:autoSpaceDN w:val="0"/>
        <w:adjustRightInd w:val="0"/>
        <w:spacing w:after="0" w:line="240" w:lineRule="auto"/>
        <w:jc w:val="both"/>
        <w:rPr>
          <w:rFonts w:ascii="Times New Roman" w:hAnsi="Times New Roman" w:cs="Times New Roman"/>
          <w:color w:val="000000"/>
          <w:sz w:val="24"/>
          <w:szCs w:val="24"/>
        </w:rPr>
      </w:pPr>
      <w:r w:rsidRPr="004A504B">
        <w:rPr>
          <w:rFonts w:ascii="Times New Roman" w:hAnsi="Times New Roman" w:cs="Times New Roman"/>
          <w:color w:val="000000"/>
          <w:sz w:val="24"/>
          <w:szCs w:val="24"/>
        </w:rPr>
        <w:t xml:space="preserve">LOPES JR., Aury. </w:t>
      </w:r>
      <w:r w:rsidR="008B6AAC" w:rsidRPr="004A504B">
        <w:rPr>
          <w:rFonts w:ascii="Times New Roman" w:hAnsi="Times New Roman" w:cs="Times New Roman"/>
          <w:color w:val="000000"/>
          <w:sz w:val="24"/>
          <w:szCs w:val="24"/>
        </w:rPr>
        <w:t xml:space="preserve">GLOECKNER, Ricardo Jacobsen. </w:t>
      </w:r>
      <w:r w:rsidR="008B6AAC" w:rsidRPr="004A504B">
        <w:rPr>
          <w:rFonts w:ascii="Times New Roman" w:hAnsi="Times New Roman" w:cs="Times New Roman"/>
          <w:b/>
          <w:color w:val="000000"/>
          <w:sz w:val="24"/>
          <w:szCs w:val="24"/>
        </w:rPr>
        <w:t>Investigação Preliminar no Processo Penal</w:t>
      </w:r>
      <w:r w:rsidR="008B6AAC" w:rsidRPr="004A504B">
        <w:rPr>
          <w:rFonts w:ascii="Times New Roman" w:hAnsi="Times New Roman" w:cs="Times New Roman"/>
          <w:color w:val="000000"/>
          <w:sz w:val="24"/>
          <w:szCs w:val="24"/>
        </w:rPr>
        <w:t xml:space="preserve"> – 5ª ed. ver. , atual. e ampl. – São Paulo: Saraiva, 2</w:t>
      </w:r>
      <w:bookmarkStart w:id="0" w:name="_GoBack"/>
      <w:r w:rsidR="008B6AAC" w:rsidRPr="004A504B">
        <w:rPr>
          <w:rFonts w:ascii="Times New Roman" w:hAnsi="Times New Roman" w:cs="Times New Roman"/>
          <w:color w:val="000000"/>
          <w:sz w:val="24"/>
          <w:szCs w:val="24"/>
        </w:rPr>
        <w:t>013.</w:t>
      </w:r>
    </w:p>
    <w:bookmarkEnd w:id="0"/>
    <w:p w:rsidR="001A4507" w:rsidRPr="004A504B" w:rsidRDefault="001A4507" w:rsidP="004A504B">
      <w:pPr>
        <w:autoSpaceDE w:val="0"/>
        <w:autoSpaceDN w:val="0"/>
        <w:adjustRightInd w:val="0"/>
        <w:spacing w:after="0" w:line="360" w:lineRule="auto"/>
        <w:jc w:val="both"/>
        <w:rPr>
          <w:rFonts w:ascii="Times New Roman" w:hAnsi="Times New Roman" w:cs="Times New Roman"/>
          <w:b/>
          <w:color w:val="000000"/>
          <w:sz w:val="24"/>
          <w:szCs w:val="24"/>
        </w:rPr>
      </w:pPr>
    </w:p>
    <w:p w:rsidR="00010CFC" w:rsidRPr="004A504B" w:rsidRDefault="001A4507" w:rsidP="004A504B">
      <w:pPr>
        <w:autoSpaceDE w:val="0"/>
        <w:autoSpaceDN w:val="0"/>
        <w:adjustRightInd w:val="0"/>
        <w:spacing w:after="0" w:line="240" w:lineRule="auto"/>
        <w:jc w:val="both"/>
        <w:rPr>
          <w:rFonts w:ascii="Times New Roman" w:hAnsi="Times New Roman" w:cs="Times New Roman"/>
          <w:color w:val="000000"/>
          <w:sz w:val="24"/>
          <w:szCs w:val="24"/>
        </w:rPr>
      </w:pPr>
      <w:r w:rsidRPr="004A504B">
        <w:rPr>
          <w:rFonts w:ascii="Times New Roman" w:hAnsi="Times New Roman" w:cs="Times New Roman"/>
          <w:color w:val="000000"/>
          <w:sz w:val="24"/>
          <w:szCs w:val="24"/>
        </w:rPr>
        <w:t xml:space="preserve">LOPES JR., Aury. </w:t>
      </w:r>
      <w:r w:rsidRPr="004A504B">
        <w:rPr>
          <w:rFonts w:ascii="Times New Roman" w:hAnsi="Times New Roman" w:cs="Times New Roman"/>
          <w:b/>
          <w:color w:val="000000"/>
          <w:sz w:val="24"/>
          <w:szCs w:val="24"/>
        </w:rPr>
        <w:t>Direito Processual Penal</w:t>
      </w:r>
      <w:r w:rsidRPr="004A504B">
        <w:rPr>
          <w:rFonts w:ascii="Times New Roman" w:hAnsi="Times New Roman" w:cs="Times New Roman"/>
          <w:color w:val="000000"/>
          <w:sz w:val="24"/>
          <w:szCs w:val="24"/>
        </w:rPr>
        <w:t xml:space="preserve"> – 9. ed. rev</w:t>
      </w:r>
      <w:r w:rsidR="0075233E" w:rsidRPr="004A504B">
        <w:rPr>
          <w:rFonts w:ascii="Times New Roman" w:hAnsi="Times New Roman" w:cs="Times New Roman"/>
          <w:color w:val="000000"/>
          <w:sz w:val="24"/>
          <w:szCs w:val="24"/>
        </w:rPr>
        <w:t>. e atual. – São Paulo: Saraiva,</w:t>
      </w:r>
      <w:r w:rsidRPr="004A504B">
        <w:rPr>
          <w:rFonts w:ascii="Times New Roman" w:hAnsi="Times New Roman" w:cs="Times New Roman"/>
          <w:color w:val="000000"/>
          <w:sz w:val="24"/>
          <w:szCs w:val="24"/>
        </w:rPr>
        <w:t xml:space="preserve"> 2012.</w:t>
      </w:r>
    </w:p>
    <w:p w:rsidR="0075233E" w:rsidRPr="004A504B" w:rsidRDefault="0075233E" w:rsidP="004A504B">
      <w:pPr>
        <w:autoSpaceDE w:val="0"/>
        <w:autoSpaceDN w:val="0"/>
        <w:adjustRightInd w:val="0"/>
        <w:spacing w:after="0" w:line="240" w:lineRule="auto"/>
        <w:jc w:val="both"/>
        <w:rPr>
          <w:rFonts w:ascii="Times New Roman" w:hAnsi="Times New Roman" w:cs="Times New Roman"/>
          <w:color w:val="000000"/>
          <w:sz w:val="24"/>
          <w:szCs w:val="24"/>
        </w:rPr>
      </w:pPr>
    </w:p>
    <w:p w:rsidR="0054660B" w:rsidRPr="004A504B" w:rsidRDefault="0054660B" w:rsidP="004A504B">
      <w:pPr>
        <w:autoSpaceDE w:val="0"/>
        <w:autoSpaceDN w:val="0"/>
        <w:adjustRightInd w:val="0"/>
        <w:spacing w:after="0" w:line="240" w:lineRule="auto"/>
        <w:jc w:val="both"/>
        <w:rPr>
          <w:rFonts w:ascii="Times New Roman" w:hAnsi="Times New Roman" w:cs="Times New Roman"/>
          <w:color w:val="000000"/>
          <w:sz w:val="24"/>
          <w:szCs w:val="24"/>
        </w:rPr>
      </w:pPr>
      <w:r w:rsidRPr="004A504B">
        <w:rPr>
          <w:rFonts w:ascii="Times New Roman" w:hAnsi="Times New Roman" w:cs="Times New Roman"/>
          <w:color w:val="000000"/>
          <w:sz w:val="24"/>
          <w:szCs w:val="24"/>
        </w:rPr>
        <w:t xml:space="preserve">MORAES, Rafael Francisco Marcondes de. </w:t>
      </w:r>
      <w:r w:rsidRPr="004A504B">
        <w:rPr>
          <w:rFonts w:ascii="Times New Roman" w:hAnsi="Times New Roman" w:cs="Times New Roman"/>
          <w:b/>
          <w:color w:val="000000"/>
          <w:sz w:val="24"/>
          <w:szCs w:val="24"/>
        </w:rPr>
        <w:t xml:space="preserve">O indiciamento sob o enfoque material e a Lei Federal 12.830/2013. </w:t>
      </w:r>
      <w:r w:rsidR="004A504B" w:rsidRPr="004A504B">
        <w:rPr>
          <w:rFonts w:ascii="Times New Roman" w:hAnsi="Times New Roman" w:cs="Times New Roman"/>
          <w:color w:val="000000"/>
          <w:sz w:val="24"/>
          <w:szCs w:val="24"/>
        </w:rPr>
        <w:t>São Paulo: ADPESP, 2014. Disponível em: &lt;http://www.adpesp.org.br/artigos_exibe.php?id=290&gt; Acesso em: 20 de abril de 2014.</w:t>
      </w:r>
    </w:p>
    <w:p w:rsidR="004A504B" w:rsidRPr="004A504B" w:rsidRDefault="004A504B" w:rsidP="004A504B">
      <w:pPr>
        <w:autoSpaceDE w:val="0"/>
        <w:autoSpaceDN w:val="0"/>
        <w:adjustRightInd w:val="0"/>
        <w:spacing w:after="0" w:line="240" w:lineRule="auto"/>
        <w:jc w:val="both"/>
        <w:rPr>
          <w:rFonts w:ascii="Times New Roman" w:hAnsi="Times New Roman" w:cs="Times New Roman"/>
          <w:color w:val="000000"/>
          <w:sz w:val="24"/>
          <w:szCs w:val="24"/>
        </w:rPr>
      </w:pPr>
    </w:p>
    <w:p w:rsidR="0075233E" w:rsidRPr="004A504B" w:rsidRDefault="0075233E" w:rsidP="004A504B">
      <w:pPr>
        <w:autoSpaceDE w:val="0"/>
        <w:autoSpaceDN w:val="0"/>
        <w:adjustRightInd w:val="0"/>
        <w:spacing w:after="0" w:line="240" w:lineRule="auto"/>
        <w:jc w:val="both"/>
        <w:rPr>
          <w:rFonts w:ascii="Times New Roman" w:hAnsi="Times New Roman" w:cs="Times New Roman"/>
          <w:color w:val="000000"/>
          <w:sz w:val="24"/>
          <w:szCs w:val="24"/>
        </w:rPr>
      </w:pPr>
      <w:r w:rsidRPr="004A504B">
        <w:rPr>
          <w:rFonts w:ascii="Times New Roman" w:hAnsi="Times New Roman" w:cs="Times New Roman"/>
          <w:color w:val="000000"/>
          <w:sz w:val="24"/>
          <w:szCs w:val="24"/>
        </w:rPr>
        <w:t xml:space="preserve">OLIVEIRA, Eugênio Pacelli de. </w:t>
      </w:r>
      <w:r w:rsidRPr="004A504B">
        <w:rPr>
          <w:rFonts w:ascii="Times New Roman" w:hAnsi="Times New Roman" w:cs="Times New Roman"/>
          <w:b/>
          <w:color w:val="000000"/>
          <w:sz w:val="24"/>
          <w:szCs w:val="24"/>
        </w:rPr>
        <w:t>Curso de Processo Penal</w:t>
      </w:r>
      <w:r w:rsidRPr="004A504B">
        <w:rPr>
          <w:rFonts w:ascii="Times New Roman" w:hAnsi="Times New Roman" w:cs="Times New Roman"/>
          <w:color w:val="000000"/>
          <w:sz w:val="24"/>
          <w:szCs w:val="24"/>
        </w:rPr>
        <w:t xml:space="preserve"> – 9. Ed. ver. e atual. – Rio de Janeiro: Editora Lumen Juris, 2008.</w:t>
      </w:r>
    </w:p>
    <w:p w:rsidR="001A4507" w:rsidRPr="004A504B" w:rsidRDefault="001A4507" w:rsidP="004A504B">
      <w:pPr>
        <w:autoSpaceDE w:val="0"/>
        <w:autoSpaceDN w:val="0"/>
        <w:adjustRightInd w:val="0"/>
        <w:spacing w:after="0" w:line="240" w:lineRule="auto"/>
        <w:jc w:val="both"/>
        <w:rPr>
          <w:rFonts w:ascii="Times New Roman" w:hAnsi="Times New Roman" w:cs="Times New Roman"/>
          <w:color w:val="000000"/>
          <w:sz w:val="24"/>
          <w:szCs w:val="24"/>
        </w:rPr>
      </w:pPr>
    </w:p>
    <w:p w:rsidR="001433E8" w:rsidRPr="00F43DEA" w:rsidRDefault="001433E8" w:rsidP="001433E8">
      <w:pPr>
        <w:autoSpaceDE w:val="0"/>
        <w:autoSpaceDN w:val="0"/>
        <w:adjustRightInd w:val="0"/>
        <w:spacing w:after="0" w:line="240" w:lineRule="auto"/>
        <w:jc w:val="both"/>
        <w:rPr>
          <w:rFonts w:ascii="Times New Roman" w:hAnsi="Times New Roman" w:cs="Times New Roman"/>
          <w:color w:val="000000"/>
          <w:sz w:val="24"/>
          <w:szCs w:val="24"/>
        </w:rPr>
      </w:pPr>
      <w:r w:rsidRPr="00F43DEA">
        <w:rPr>
          <w:rFonts w:ascii="Times New Roman" w:hAnsi="Times New Roman" w:cs="Times New Roman"/>
          <w:color w:val="000000"/>
          <w:sz w:val="24"/>
          <w:szCs w:val="24"/>
        </w:rPr>
        <w:t xml:space="preserve">PITOMBO, Sergio Marcos Moraes. </w:t>
      </w:r>
      <w:r w:rsidRPr="00F43DEA">
        <w:rPr>
          <w:rFonts w:ascii="Times New Roman" w:hAnsi="Times New Roman" w:cs="Times New Roman"/>
          <w:b/>
          <w:color w:val="000000"/>
          <w:sz w:val="24"/>
          <w:szCs w:val="24"/>
        </w:rPr>
        <w:t>O Indiciamento como Ato de Polícia Judiciária</w:t>
      </w:r>
      <w:r w:rsidRPr="00F43DEA">
        <w:rPr>
          <w:rFonts w:ascii="Times New Roman" w:hAnsi="Times New Roman" w:cs="Times New Roman"/>
          <w:color w:val="000000"/>
          <w:sz w:val="24"/>
          <w:szCs w:val="24"/>
        </w:rPr>
        <w:t>.</w:t>
      </w:r>
    </w:p>
    <w:p w:rsidR="001433E8" w:rsidRDefault="001433E8" w:rsidP="001433E8">
      <w:pPr>
        <w:autoSpaceDE w:val="0"/>
        <w:autoSpaceDN w:val="0"/>
        <w:adjustRightInd w:val="0"/>
        <w:spacing w:after="0" w:line="240" w:lineRule="auto"/>
        <w:jc w:val="both"/>
        <w:rPr>
          <w:rFonts w:ascii="Times New Roman" w:hAnsi="Times New Roman" w:cs="Times New Roman"/>
          <w:color w:val="000000"/>
          <w:sz w:val="24"/>
          <w:szCs w:val="24"/>
        </w:rPr>
      </w:pPr>
      <w:r w:rsidRPr="00F43DEA">
        <w:rPr>
          <w:rFonts w:ascii="Times New Roman" w:hAnsi="Times New Roman" w:cs="Times New Roman"/>
          <w:color w:val="000000"/>
          <w:sz w:val="24"/>
          <w:szCs w:val="24"/>
        </w:rPr>
        <w:t>Revista dos Tribunais. São Paulo, n. 577, nov. 1983.</w:t>
      </w:r>
    </w:p>
    <w:p w:rsidR="001433E8" w:rsidRDefault="001433E8" w:rsidP="004A504B">
      <w:pPr>
        <w:autoSpaceDE w:val="0"/>
        <w:autoSpaceDN w:val="0"/>
        <w:adjustRightInd w:val="0"/>
        <w:spacing w:after="0" w:line="240" w:lineRule="auto"/>
        <w:jc w:val="both"/>
        <w:rPr>
          <w:rFonts w:ascii="Times New Roman" w:hAnsi="Times New Roman" w:cs="Times New Roman"/>
          <w:color w:val="000000"/>
          <w:sz w:val="24"/>
          <w:szCs w:val="24"/>
        </w:rPr>
      </w:pPr>
    </w:p>
    <w:p w:rsidR="00010CFC" w:rsidRPr="004A504B" w:rsidRDefault="001A4507" w:rsidP="004A504B">
      <w:pPr>
        <w:autoSpaceDE w:val="0"/>
        <w:autoSpaceDN w:val="0"/>
        <w:adjustRightInd w:val="0"/>
        <w:spacing w:after="0" w:line="240" w:lineRule="auto"/>
        <w:jc w:val="both"/>
        <w:rPr>
          <w:rFonts w:ascii="Times New Roman" w:hAnsi="Times New Roman" w:cs="Times New Roman"/>
          <w:color w:val="000000"/>
          <w:sz w:val="24"/>
          <w:szCs w:val="24"/>
        </w:rPr>
      </w:pPr>
      <w:r w:rsidRPr="004A504B">
        <w:rPr>
          <w:rFonts w:ascii="Times New Roman" w:hAnsi="Times New Roman" w:cs="Times New Roman"/>
          <w:color w:val="000000"/>
          <w:sz w:val="24"/>
          <w:szCs w:val="24"/>
        </w:rPr>
        <w:t xml:space="preserve">RANGEL, Paulo. </w:t>
      </w:r>
      <w:r w:rsidRPr="004A504B">
        <w:rPr>
          <w:rFonts w:ascii="Times New Roman" w:hAnsi="Times New Roman" w:cs="Times New Roman"/>
          <w:b/>
          <w:color w:val="000000"/>
          <w:sz w:val="24"/>
          <w:szCs w:val="24"/>
        </w:rPr>
        <w:t>Direito Processual Penal</w:t>
      </w:r>
      <w:r w:rsidRPr="004A504B">
        <w:rPr>
          <w:rFonts w:ascii="Times New Roman" w:hAnsi="Times New Roman" w:cs="Times New Roman"/>
          <w:color w:val="000000"/>
          <w:sz w:val="24"/>
          <w:szCs w:val="24"/>
        </w:rPr>
        <w:t xml:space="preserve"> – 17ª ed. ver. e atual. –</w:t>
      </w:r>
      <w:r w:rsidR="004968E9" w:rsidRPr="004A504B">
        <w:rPr>
          <w:rFonts w:ascii="Times New Roman" w:hAnsi="Times New Roman" w:cs="Times New Roman"/>
          <w:color w:val="000000"/>
          <w:sz w:val="24"/>
          <w:szCs w:val="24"/>
        </w:rPr>
        <w:t xml:space="preserve"> São Paulo: Lumen Juris Editora, 2010.</w:t>
      </w:r>
    </w:p>
    <w:p w:rsidR="001A4507" w:rsidRPr="004A504B" w:rsidRDefault="001A4507" w:rsidP="004A504B">
      <w:pPr>
        <w:autoSpaceDE w:val="0"/>
        <w:autoSpaceDN w:val="0"/>
        <w:adjustRightInd w:val="0"/>
        <w:spacing w:after="0" w:line="240" w:lineRule="auto"/>
        <w:jc w:val="both"/>
        <w:rPr>
          <w:rFonts w:ascii="Times New Roman" w:hAnsi="Times New Roman" w:cs="Times New Roman"/>
          <w:color w:val="000000"/>
          <w:sz w:val="24"/>
          <w:szCs w:val="24"/>
        </w:rPr>
      </w:pPr>
    </w:p>
    <w:p w:rsidR="004A504B" w:rsidRDefault="004A504B" w:rsidP="004A504B">
      <w:pPr>
        <w:autoSpaceDE w:val="0"/>
        <w:autoSpaceDN w:val="0"/>
        <w:adjustRightInd w:val="0"/>
        <w:spacing w:after="0" w:line="240" w:lineRule="auto"/>
        <w:jc w:val="both"/>
        <w:rPr>
          <w:rFonts w:ascii="Times New Roman" w:hAnsi="Times New Roman" w:cs="Times New Roman"/>
          <w:color w:val="000000"/>
          <w:sz w:val="24"/>
          <w:szCs w:val="24"/>
        </w:rPr>
      </w:pPr>
      <w:r w:rsidRPr="004A504B">
        <w:rPr>
          <w:rFonts w:ascii="Times New Roman" w:hAnsi="Times New Roman" w:cs="Times New Roman"/>
          <w:color w:val="000000"/>
          <w:sz w:val="24"/>
          <w:szCs w:val="24"/>
        </w:rPr>
        <w:t xml:space="preserve">ROMANO, Rogério Tadeu. </w:t>
      </w:r>
      <w:r w:rsidRPr="004A504B">
        <w:rPr>
          <w:rFonts w:ascii="Times New Roman" w:hAnsi="Times New Roman" w:cs="Times New Roman"/>
          <w:b/>
          <w:color w:val="000000"/>
          <w:sz w:val="24"/>
          <w:szCs w:val="24"/>
        </w:rPr>
        <w:t xml:space="preserve">Do inquérito policial e da investigação criminal promovida pelo Ministério Público. </w:t>
      </w:r>
      <w:r>
        <w:rPr>
          <w:rFonts w:ascii="Times New Roman" w:hAnsi="Times New Roman" w:cs="Times New Roman"/>
          <w:color w:val="000000"/>
          <w:sz w:val="24"/>
          <w:szCs w:val="24"/>
        </w:rPr>
        <w:t>JFRN, 20[?]. Disponível em: &lt;</w:t>
      </w:r>
      <w:r w:rsidRPr="004A504B">
        <w:rPr>
          <w:rFonts w:ascii="Times New Roman" w:hAnsi="Times New Roman" w:cs="Times New Roman"/>
          <w:color w:val="000000"/>
          <w:sz w:val="24"/>
          <w:szCs w:val="24"/>
        </w:rPr>
        <w:t>http://www.jfrn.jus.br/institucional/biblioteca/doutrina/Doutrina265-do-inquerito-policial.pdf</w:t>
      </w:r>
      <w:r>
        <w:rPr>
          <w:rFonts w:ascii="Times New Roman" w:hAnsi="Times New Roman" w:cs="Times New Roman"/>
          <w:color w:val="000000"/>
          <w:sz w:val="24"/>
          <w:szCs w:val="24"/>
        </w:rPr>
        <w:t>&gt; Acesso em: 20 de abril de 2014.</w:t>
      </w:r>
    </w:p>
    <w:p w:rsidR="004A504B" w:rsidRPr="004A504B" w:rsidRDefault="004A504B" w:rsidP="004A504B">
      <w:pPr>
        <w:autoSpaceDE w:val="0"/>
        <w:autoSpaceDN w:val="0"/>
        <w:adjustRightInd w:val="0"/>
        <w:spacing w:after="0" w:line="240" w:lineRule="auto"/>
        <w:jc w:val="both"/>
        <w:rPr>
          <w:rFonts w:ascii="Times New Roman" w:hAnsi="Times New Roman" w:cs="Times New Roman"/>
          <w:color w:val="000000"/>
          <w:sz w:val="24"/>
          <w:szCs w:val="24"/>
        </w:rPr>
      </w:pPr>
    </w:p>
    <w:p w:rsidR="001A4507" w:rsidRPr="004A504B" w:rsidRDefault="001A4507" w:rsidP="004A504B">
      <w:pPr>
        <w:autoSpaceDE w:val="0"/>
        <w:autoSpaceDN w:val="0"/>
        <w:adjustRightInd w:val="0"/>
        <w:spacing w:after="0" w:line="240" w:lineRule="auto"/>
        <w:jc w:val="both"/>
        <w:rPr>
          <w:rFonts w:ascii="Times New Roman" w:hAnsi="Times New Roman" w:cs="Times New Roman"/>
          <w:color w:val="000000"/>
          <w:sz w:val="24"/>
          <w:szCs w:val="24"/>
        </w:rPr>
      </w:pPr>
      <w:r w:rsidRPr="004A504B">
        <w:rPr>
          <w:rFonts w:ascii="Times New Roman" w:hAnsi="Times New Roman" w:cs="Times New Roman"/>
          <w:color w:val="000000"/>
          <w:sz w:val="24"/>
          <w:szCs w:val="24"/>
        </w:rPr>
        <w:t xml:space="preserve">SANTOS, Cleopas Isaías; ZANOTTI, Bruno Taufner. </w:t>
      </w:r>
      <w:r w:rsidRPr="004A504B">
        <w:rPr>
          <w:rFonts w:ascii="Times New Roman" w:hAnsi="Times New Roman" w:cs="Times New Roman"/>
          <w:b/>
          <w:color w:val="000000"/>
          <w:sz w:val="24"/>
          <w:szCs w:val="24"/>
        </w:rPr>
        <w:t>Delegado de polícia em</w:t>
      </w:r>
      <w:r w:rsidR="004A504B">
        <w:rPr>
          <w:rFonts w:ascii="Times New Roman" w:hAnsi="Times New Roman" w:cs="Times New Roman"/>
          <w:b/>
          <w:color w:val="000000"/>
          <w:sz w:val="24"/>
          <w:szCs w:val="24"/>
        </w:rPr>
        <w:t xml:space="preserve"> </w:t>
      </w:r>
      <w:r w:rsidRPr="004A504B">
        <w:rPr>
          <w:rFonts w:ascii="Times New Roman" w:hAnsi="Times New Roman" w:cs="Times New Roman"/>
          <w:b/>
          <w:color w:val="000000"/>
          <w:sz w:val="24"/>
          <w:szCs w:val="24"/>
        </w:rPr>
        <w:t>ação</w:t>
      </w:r>
      <w:r w:rsidRPr="004A504B">
        <w:rPr>
          <w:rFonts w:ascii="Times New Roman" w:hAnsi="Times New Roman" w:cs="Times New Roman"/>
          <w:color w:val="000000"/>
          <w:sz w:val="24"/>
          <w:szCs w:val="24"/>
        </w:rPr>
        <w:t>: teoria e prática. Salvador: JusPodivm, 2013, p. 161-168; p. 241-244.</w:t>
      </w:r>
    </w:p>
    <w:sectPr w:rsidR="001A4507" w:rsidRPr="004A504B" w:rsidSect="000739C4">
      <w:headerReference w:type="default" r:id="rId8"/>
      <w:footerReference w:type="default" r:id="rId9"/>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5E7A" w:rsidRDefault="00685E7A" w:rsidP="00010CFC">
      <w:pPr>
        <w:spacing w:after="0" w:line="240" w:lineRule="auto"/>
      </w:pPr>
      <w:r>
        <w:separator/>
      </w:r>
    </w:p>
  </w:endnote>
  <w:endnote w:type="continuationSeparator" w:id="0">
    <w:p w:rsidR="00685E7A" w:rsidRDefault="00685E7A" w:rsidP="00010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D85" w:rsidRDefault="00264D85" w:rsidP="00264D85">
    <w:pPr>
      <w:pStyle w:val="Rodap"/>
    </w:pPr>
  </w:p>
  <w:p w:rsidR="00264D85" w:rsidRDefault="00264D8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5E7A" w:rsidRDefault="00685E7A" w:rsidP="00010CFC">
      <w:pPr>
        <w:spacing w:after="0" w:line="240" w:lineRule="auto"/>
      </w:pPr>
      <w:r>
        <w:separator/>
      </w:r>
    </w:p>
  </w:footnote>
  <w:footnote w:type="continuationSeparator" w:id="0">
    <w:p w:rsidR="00685E7A" w:rsidRDefault="00685E7A" w:rsidP="00010CFC">
      <w:pPr>
        <w:spacing w:after="0" w:line="240" w:lineRule="auto"/>
      </w:pPr>
      <w:r>
        <w:continuationSeparator/>
      </w:r>
    </w:p>
  </w:footnote>
  <w:footnote w:id="1">
    <w:p w:rsidR="00010CFC" w:rsidRDefault="00010CFC" w:rsidP="00010CFC">
      <w:pPr>
        <w:pStyle w:val="Textodenotaderodap"/>
      </w:pPr>
      <w:r>
        <w:rPr>
          <w:rStyle w:val="Refdenotaderodap"/>
        </w:rPr>
        <w:footnoteRef/>
      </w:r>
      <w:r>
        <w:t xml:space="preserve"> </w:t>
      </w:r>
      <w:r w:rsidRPr="002A6A6C">
        <w:rPr>
          <w:rFonts w:ascii="Times New Roman" w:hAnsi="Times New Roman" w:cs="Times New Roman"/>
          <w:i/>
        </w:rPr>
        <w:t>Paper</w:t>
      </w:r>
      <w:r w:rsidRPr="000C7CDF">
        <w:rPr>
          <w:rFonts w:ascii="Times New Roman" w:hAnsi="Times New Roman" w:cs="Times New Roman"/>
        </w:rPr>
        <w:t xml:space="preserve"> apresentado </w:t>
      </w:r>
      <w:r>
        <w:rPr>
          <w:rFonts w:ascii="Times New Roman" w:hAnsi="Times New Roman" w:cs="Times New Roman"/>
        </w:rPr>
        <w:t>à disciplina Direito Processual Penal,</w:t>
      </w:r>
      <w:r w:rsidRPr="000C7CDF">
        <w:rPr>
          <w:rFonts w:ascii="Times New Roman" w:hAnsi="Times New Roman" w:cs="Times New Roman"/>
        </w:rPr>
        <w:t xml:space="preserve"> da Unidade de Ensino Superior Dom Bosco - UNDB.</w:t>
      </w:r>
    </w:p>
  </w:footnote>
  <w:footnote w:id="2">
    <w:p w:rsidR="00010CFC" w:rsidRDefault="00010CFC" w:rsidP="00010CFC">
      <w:pPr>
        <w:pStyle w:val="Textodenotaderodap"/>
      </w:pPr>
      <w:r>
        <w:rPr>
          <w:rStyle w:val="Refdenotaderodap"/>
        </w:rPr>
        <w:footnoteRef/>
      </w:r>
      <w:r>
        <w:t xml:space="preserve"> </w:t>
      </w:r>
      <w:r>
        <w:rPr>
          <w:rFonts w:ascii="Times New Roman" w:hAnsi="Times New Roman" w:cs="Times New Roman"/>
        </w:rPr>
        <w:t>Aluna do 6</w:t>
      </w:r>
      <w:r w:rsidRPr="000C7CDF">
        <w:rPr>
          <w:rFonts w:ascii="Times New Roman" w:hAnsi="Times New Roman" w:cs="Times New Roman"/>
        </w:rPr>
        <w:t>º período do Curso de Direito vespertino da UNDB.</w:t>
      </w:r>
    </w:p>
  </w:footnote>
  <w:footnote w:id="3">
    <w:p w:rsidR="00010CFC" w:rsidRDefault="00010CFC" w:rsidP="00010CFC">
      <w:pPr>
        <w:pStyle w:val="Textodenotaderodap"/>
      </w:pPr>
      <w:r>
        <w:rPr>
          <w:rStyle w:val="Refdenotaderodap"/>
        </w:rPr>
        <w:footnoteRef/>
      </w:r>
      <w:r>
        <w:t xml:space="preserve"> </w:t>
      </w:r>
      <w:r>
        <w:rPr>
          <w:rFonts w:ascii="Times New Roman" w:hAnsi="Times New Roman" w:cs="Times New Roman"/>
        </w:rPr>
        <w:t>Aluna do 6</w:t>
      </w:r>
      <w:r w:rsidRPr="000C7CDF">
        <w:rPr>
          <w:rFonts w:ascii="Times New Roman" w:hAnsi="Times New Roman" w:cs="Times New Roman"/>
        </w:rPr>
        <w:t>º período do Curso de Direito vespertino da UNDB.</w:t>
      </w:r>
    </w:p>
  </w:footnote>
  <w:footnote w:id="4">
    <w:p w:rsidR="00010CFC" w:rsidRDefault="00010CFC" w:rsidP="00010CFC">
      <w:pPr>
        <w:pStyle w:val="Textodenotaderodap"/>
      </w:pPr>
      <w:r>
        <w:rPr>
          <w:rStyle w:val="Refdenotaderodap"/>
        </w:rPr>
        <w:footnoteRef/>
      </w:r>
      <w:r>
        <w:t xml:space="preserve"> </w:t>
      </w:r>
      <w:r w:rsidRPr="00810A6A">
        <w:rPr>
          <w:rFonts w:ascii="Times New Roman" w:hAnsi="Times New Roman" w:cs="Times New Roman"/>
        </w:rPr>
        <w:t>Professor Mestre, orientador</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35438"/>
      <w:docPartObj>
        <w:docPartGallery w:val="Page Numbers (Top of Page)"/>
        <w:docPartUnique/>
      </w:docPartObj>
    </w:sdtPr>
    <w:sdtContent>
      <w:p w:rsidR="00264D85" w:rsidRDefault="00264D85">
        <w:pPr>
          <w:pStyle w:val="Cabealho"/>
          <w:jc w:val="right"/>
        </w:pPr>
        <w:r>
          <w:fldChar w:fldCharType="begin"/>
        </w:r>
        <w:r>
          <w:instrText>PAGE   \* MERGEFORMAT</w:instrText>
        </w:r>
        <w:r>
          <w:fldChar w:fldCharType="separate"/>
        </w:r>
        <w:r w:rsidR="00694B5D">
          <w:rPr>
            <w:noProof/>
          </w:rPr>
          <w:t>2</w:t>
        </w:r>
        <w:r>
          <w:fldChar w:fldCharType="end"/>
        </w:r>
      </w:p>
    </w:sdtContent>
  </w:sdt>
  <w:p w:rsidR="000739C4" w:rsidRPr="00FD3B06" w:rsidRDefault="00264D85" w:rsidP="00264D85">
    <w:pPr>
      <w:pStyle w:val="Cabealho"/>
      <w:jc w:val="center"/>
    </w:pPr>
    <w:r w:rsidRPr="00FD3B06">
      <w:rPr>
        <w:noProof/>
        <w:lang w:eastAsia="pt-BR"/>
      </w:rPr>
      <w:drawing>
        <wp:inline distT="0" distB="0" distL="0" distR="0" wp14:anchorId="4190C2F1" wp14:editId="69936AA5">
          <wp:extent cx="2127885" cy="548640"/>
          <wp:effectExtent l="0" t="0" r="5715" b="3810"/>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7885" cy="548640"/>
                  </a:xfrm>
                  <a:prstGeom prst="rect">
                    <a:avLst/>
                  </a:prstGeom>
                  <a:noFill/>
                </pic:spPr>
              </pic:pic>
            </a:graphicData>
          </a:graphic>
        </wp:inline>
      </w:drawing>
    </w:r>
  </w:p>
  <w:p w:rsidR="00264D85" w:rsidRDefault="00264D8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91321"/>
    <w:multiLevelType w:val="multilevel"/>
    <w:tmpl w:val="1FD0F9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CFC"/>
    <w:rsid w:val="00010CFC"/>
    <w:rsid w:val="0007256C"/>
    <w:rsid w:val="000739C4"/>
    <w:rsid w:val="000940E7"/>
    <w:rsid w:val="000C7E5B"/>
    <w:rsid w:val="001433E8"/>
    <w:rsid w:val="00175FD0"/>
    <w:rsid w:val="001A4507"/>
    <w:rsid w:val="001B5A25"/>
    <w:rsid w:val="001B61F2"/>
    <w:rsid w:val="001C0B8E"/>
    <w:rsid w:val="00227C7D"/>
    <w:rsid w:val="00264D85"/>
    <w:rsid w:val="0035233F"/>
    <w:rsid w:val="003A26D8"/>
    <w:rsid w:val="003B2538"/>
    <w:rsid w:val="003B2610"/>
    <w:rsid w:val="003E430E"/>
    <w:rsid w:val="00417763"/>
    <w:rsid w:val="0043100C"/>
    <w:rsid w:val="0044046C"/>
    <w:rsid w:val="00461B28"/>
    <w:rsid w:val="00491270"/>
    <w:rsid w:val="004968E9"/>
    <w:rsid w:val="004A504B"/>
    <w:rsid w:val="004E3EB0"/>
    <w:rsid w:val="00520765"/>
    <w:rsid w:val="00532799"/>
    <w:rsid w:val="0054660B"/>
    <w:rsid w:val="005469CC"/>
    <w:rsid w:val="005A08EC"/>
    <w:rsid w:val="00614C1F"/>
    <w:rsid w:val="006464DA"/>
    <w:rsid w:val="00656856"/>
    <w:rsid w:val="00685E7A"/>
    <w:rsid w:val="00694B5D"/>
    <w:rsid w:val="006B36E7"/>
    <w:rsid w:val="006C70B3"/>
    <w:rsid w:val="006F7811"/>
    <w:rsid w:val="00703B38"/>
    <w:rsid w:val="00727246"/>
    <w:rsid w:val="00734FD9"/>
    <w:rsid w:val="0075233E"/>
    <w:rsid w:val="00771F32"/>
    <w:rsid w:val="007D03FC"/>
    <w:rsid w:val="00804EBA"/>
    <w:rsid w:val="00835242"/>
    <w:rsid w:val="0084225A"/>
    <w:rsid w:val="0084297D"/>
    <w:rsid w:val="00853C8A"/>
    <w:rsid w:val="00866963"/>
    <w:rsid w:val="008A4E96"/>
    <w:rsid w:val="008B6AAC"/>
    <w:rsid w:val="008B6B85"/>
    <w:rsid w:val="008D694A"/>
    <w:rsid w:val="008F15A1"/>
    <w:rsid w:val="00907057"/>
    <w:rsid w:val="00923376"/>
    <w:rsid w:val="00934479"/>
    <w:rsid w:val="00971228"/>
    <w:rsid w:val="00986DC9"/>
    <w:rsid w:val="009E16C2"/>
    <w:rsid w:val="00A4072E"/>
    <w:rsid w:val="00A83283"/>
    <w:rsid w:val="00AA067B"/>
    <w:rsid w:val="00AE1EE6"/>
    <w:rsid w:val="00B20B6F"/>
    <w:rsid w:val="00B27A80"/>
    <w:rsid w:val="00B31453"/>
    <w:rsid w:val="00B31721"/>
    <w:rsid w:val="00B41B12"/>
    <w:rsid w:val="00B96B88"/>
    <w:rsid w:val="00BE2AE7"/>
    <w:rsid w:val="00C80EC1"/>
    <w:rsid w:val="00C94994"/>
    <w:rsid w:val="00CB2D41"/>
    <w:rsid w:val="00D0041D"/>
    <w:rsid w:val="00D02FC1"/>
    <w:rsid w:val="00D106A5"/>
    <w:rsid w:val="00D36772"/>
    <w:rsid w:val="00D5067C"/>
    <w:rsid w:val="00D80B54"/>
    <w:rsid w:val="00DD3130"/>
    <w:rsid w:val="00DE4921"/>
    <w:rsid w:val="00E1437C"/>
    <w:rsid w:val="00E50922"/>
    <w:rsid w:val="00EB0C4E"/>
    <w:rsid w:val="00FB18A5"/>
    <w:rsid w:val="00FD4B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F4F9F3-225B-40B2-8232-E8965320C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CF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10CF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10CFC"/>
  </w:style>
  <w:style w:type="paragraph" w:styleId="Textodenotaderodap">
    <w:name w:val="footnote text"/>
    <w:basedOn w:val="Normal"/>
    <w:link w:val="TextodenotaderodapChar"/>
    <w:uiPriority w:val="99"/>
    <w:semiHidden/>
    <w:unhideWhenUsed/>
    <w:rsid w:val="00010CF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10CFC"/>
    <w:rPr>
      <w:sz w:val="20"/>
      <w:szCs w:val="20"/>
    </w:rPr>
  </w:style>
  <w:style w:type="character" w:styleId="Refdenotaderodap">
    <w:name w:val="footnote reference"/>
    <w:basedOn w:val="Fontepargpadro"/>
    <w:uiPriority w:val="99"/>
    <w:semiHidden/>
    <w:unhideWhenUsed/>
    <w:rsid w:val="00010CFC"/>
    <w:rPr>
      <w:vertAlign w:val="superscript"/>
    </w:rPr>
  </w:style>
  <w:style w:type="character" w:customStyle="1" w:styleId="apple-converted-space">
    <w:name w:val="apple-converted-space"/>
    <w:basedOn w:val="Fontepargpadro"/>
    <w:rsid w:val="00010CFC"/>
  </w:style>
  <w:style w:type="paragraph" w:styleId="Rodap">
    <w:name w:val="footer"/>
    <w:basedOn w:val="Normal"/>
    <w:link w:val="RodapChar"/>
    <w:uiPriority w:val="99"/>
    <w:unhideWhenUsed/>
    <w:rsid w:val="00010CFC"/>
    <w:pPr>
      <w:tabs>
        <w:tab w:val="center" w:pos="4252"/>
        <w:tab w:val="right" w:pos="8504"/>
      </w:tabs>
      <w:spacing w:after="0" w:line="240" w:lineRule="auto"/>
    </w:pPr>
  </w:style>
  <w:style w:type="character" w:customStyle="1" w:styleId="RodapChar">
    <w:name w:val="Rodapé Char"/>
    <w:basedOn w:val="Fontepargpadro"/>
    <w:link w:val="Rodap"/>
    <w:uiPriority w:val="99"/>
    <w:rsid w:val="00010CFC"/>
  </w:style>
  <w:style w:type="paragraph" w:styleId="Textodebalo">
    <w:name w:val="Balloon Text"/>
    <w:basedOn w:val="Normal"/>
    <w:link w:val="TextodebaloChar"/>
    <w:uiPriority w:val="99"/>
    <w:semiHidden/>
    <w:unhideWhenUsed/>
    <w:rsid w:val="00010CF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10CFC"/>
    <w:rPr>
      <w:rFonts w:ascii="Tahoma" w:hAnsi="Tahoma" w:cs="Tahoma"/>
      <w:sz w:val="16"/>
      <w:szCs w:val="16"/>
    </w:rPr>
  </w:style>
  <w:style w:type="paragraph" w:styleId="NormalWeb">
    <w:name w:val="Normal (Web)"/>
    <w:basedOn w:val="Normal"/>
    <w:uiPriority w:val="99"/>
    <w:semiHidden/>
    <w:unhideWhenUsed/>
    <w:rsid w:val="0084225A"/>
    <w:rPr>
      <w:rFonts w:ascii="Times New Roman" w:hAnsi="Times New Roman" w:cs="Times New Roman"/>
      <w:sz w:val="24"/>
      <w:szCs w:val="24"/>
    </w:rPr>
  </w:style>
  <w:style w:type="character" w:styleId="Hyperlink">
    <w:name w:val="Hyperlink"/>
    <w:basedOn w:val="Fontepargpadro"/>
    <w:uiPriority w:val="99"/>
    <w:unhideWhenUsed/>
    <w:rsid w:val="0084225A"/>
    <w:rPr>
      <w:color w:val="0000FF" w:themeColor="hyperlink"/>
      <w:u w:val="single"/>
    </w:rPr>
  </w:style>
  <w:style w:type="paragraph" w:styleId="PargrafodaLista">
    <w:name w:val="List Paragraph"/>
    <w:basedOn w:val="Normal"/>
    <w:uiPriority w:val="34"/>
    <w:qFormat/>
    <w:rsid w:val="00B20B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36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CD5BC4-1FA6-43EA-8880-EB705C9C1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3459</Words>
  <Characters>18679</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22094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Armando</dc:creator>
  <cp:lastModifiedBy>Pedro ☺</cp:lastModifiedBy>
  <cp:revision>2</cp:revision>
  <dcterms:created xsi:type="dcterms:W3CDTF">2014-04-24T14:56:00Z</dcterms:created>
  <dcterms:modified xsi:type="dcterms:W3CDTF">2014-04-24T14:56:00Z</dcterms:modified>
</cp:coreProperties>
</file>