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22A" w:rsidRDefault="0039522A" w:rsidP="00BA2E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522A">
        <w:rPr>
          <w:rFonts w:ascii="Times New Roman" w:hAnsi="Times New Roman" w:cs="Times New Roman"/>
          <w:b/>
          <w:sz w:val="24"/>
          <w:szCs w:val="24"/>
        </w:rPr>
        <w:t>CONFLITO APARENTE DE NORMAS REGULADORAS DAS INTERVENÇÕES DE TERCEIROS:</w:t>
      </w:r>
      <w:r w:rsidRPr="0039522A">
        <w:rPr>
          <w:rFonts w:ascii="Times New Roman" w:hAnsi="Times New Roman" w:cs="Times New Roman"/>
          <w:sz w:val="24"/>
          <w:szCs w:val="24"/>
        </w:rPr>
        <w:t xml:space="preserve"> Confronto do Art. 63 do CPC com o Art. 942 do CC-02</w:t>
      </w:r>
    </w:p>
    <w:p w:rsidR="0039522A" w:rsidRDefault="0039522A" w:rsidP="003952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522A" w:rsidRDefault="00A65129" w:rsidP="00BA2E8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Felipe do Vale Nunes e Marine Mota de Melo</w:t>
      </w:r>
    </w:p>
    <w:p w:rsidR="00267138" w:rsidRDefault="00267138" w:rsidP="007837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65129" w:rsidRDefault="00A65129" w:rsidP="007837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0069" w:rsidRDefault="00F60069" w:rsidP="007837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83772" w:rsidRDefault="0039522A" w:rsidP="007837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RESUMO</w:t>
      </w:r>
    </w:p>
    <w:p w:rsidR="00783772" w:rsidRDefault="00783772" w:rsidP="007837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3772" w:rsidRDefault="00783772" w:rsidP="007837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3772" w:rsidRDefault="00545C30" w:rsidP="00F97565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267138" w:rsidRPr="00267138">
        <w:rPr>
          <w:rFonts w:ascii="Times New Roman" w:hAnsi="Times New Roman" w:cs="Times New Roman"/>
          <w:sz w:val="24"/>
          <w:szCs w:val="24"/>
        </w:rPr>
        <w:t xml:space="preserve"> presente artigo</w:t>
      </w:r>
      <w:r>
        <w:rPr>
          <w:rFonts w:ascii="Times New Roman" w:hAnsi="Times New Roman" w:cs="Times New Roman"/>
          <w:sz w:val="24"/>
          <w:szCs w:val="24"/>
        </w:rPr>
        <w:t xml:space="preserve"> tem por escopo apresentar</w:t>
      </w:r>
      <w:r w:rsidR="00267138" w:rsidRPr="00267138">
        <w:rPr>
          <w:rFonts w:ascii="Times New Roman" w:hAnsi="Times New Roman" w:cs="Times New Roman"/>
          <w:sz w:val="24"/>
          <w:szCs w:val="24"/>
        </w:rPr>
        <w:t xml:space="preserve"> uma breve analise sobre a natureza jurídica de duas modalidade</w:t>
      </w:r>
      <w:r>
        <w:rPr>
          <w:rFonts w:ascii="Times New Roman" w:hAnsi="Times New Roman" w:cs="Times New Roman"/>
          <w:sz w:val="24"/>
          <w:szCs w:val="24"/>
        </w:rPr>
        <w:t>s de Intervenção de Terceiros:</w:t>
      </w:r>
      <w:r w:rsidR="00267138" w:rsidRPr="00267138">
        <w:rPr>
          <w:rFonts w:ascii="Times New Roman" w:hAnsi="Times New Roman" w:cs="Times New Roman"/>
          <w:sz w:val="24"/>
          <w:szCs w:val="24"/>
        </w:rPr>
        <w:t xml:space="preserve"> a Nomeação à Autoria e o Chamamento ao Processo</w:t>
      </w:r>
      <w:r w:rsidR="00267138">
        <w:rPr>
          <w:rFonts w:ascii="Times New Roman" w:hAnsi="Times New Roman" w:cs="Times New Roman"/>
          <w:sz w:val="24"/>
          <w:szCs w:val="24"/>
        </w:rPr>
        <w:t>. E</w:t>
      </w:r>
      <w:r w:rsidR="00267138" w:rsidRPr="00267138">
        <w:rPr>
          <w:rFonts w:ascii="Times New Roman" w:hAnsi="Times New Roman" w:cs="Times New Roman"/>
          <w:sz w:val="24"/>
          <w:szCs w:val="24"/>
        </w:rPr>
        <w:t xml:space="preserve"> por fim </w:t>
      </w:r>
      <w:r w:rsidR="00267138">
        <w:rPr>
          <w:rFonts w:ascii="Times New Roman" w:hAnsi="Times New Roman" w:cs="Times New Roman"/>
          <w:sz w:val="24"/>
          <w:szCs w:val="24"/>
        </w:rPr>
        <w:t xml:space="preserve">discutir-se-á </w:t>
      </w:r>
      <w:r w:rsidR="00267138" w:rsidRPr="00267138">
        <w:rPr>
          <w:rFonts w:ascii="Times New Roman" w:hAnsi="Times New Roman" w:cs="Times New Roman"/>
          <w:sz w:val="24"/>
          <w:szCs w:val="24"/>
        </w:rPr>
        <w:t xml:space="preserve">o confronto existente entre o art. 63 do CPC </w:t>
      </w:r>
      <w:r>
        <w:rPr>
          <w:rFonts w:ascii="Times New Roman" w:hAnsi="Times New Roman" w:cs="Times New Roman"/>
          <w:sz w:val="24"/>
          <w:szCs w:val="24"/>
        </w:rPr>
        <w:t xml:space="preserve">que determina a nomeação à autoria de um terceiro que determinou a prática de atos lesivos ao titular ou proprietário de um direito a coisa, </w:t>
      </w:r>
      <w:r w:rsidR="00267138" w:rsidRPr="00267138">
        <w:rPr>
          <w:rFonts w:ascii="Times New Roman" w:hAnsi="Times New Roman" w:cs="Times New Roman"/>
          <w:sz w:val="24"/>
          <w:szCs w:val="24"/>
        </w:rPr>
        <w:t>com o art. 942 do CC</w:t>
      </w:r>
      <w:r>
        <w:rPr>
          <w:rFonts w:ascii="Times New Roman" w:hAnsi="Times New Roman" w:cs="Times New Roman"/>
          <w:sz w:val="24"/>
          <w:szCs w:val="24"/>
        </w:rPr>
        <w:t>, que assevera serem responsáveis solidários todos aqueles que contribuíram para a prática do evento danoso</w:t>
      </w:r>
      <w:r w:rsidR="00267138" w:rsidRPr="00267138">
        <w:rPr>
          <w:rFonts w:ascii="Times New Roman" w:hAnsi="Times New Roman" w:cs="Times New Roman"/>
          <w:sz w:val="24"/>
          <w:szCs w:val="24"/>
        </w:rPr>
        <w:t>.</w:t>
      </w:r>
    </w:p>
    <w:p w:rsidR="00545C30" w:rsidRDefault="00545C30" w:rsidP="00267138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83772" w:rsidRPr="00267138" w:rsidRDefault="00783772" w:rsidP="003E4E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7138">
        <w:rPr>
          <w:rFonts w:ascii="Times New Roman" w:hAnsi="Times New Roman" w:cs="Times New Roman"/>
          <w:sz w:val="24"/>
          <w:szCs w:val="24"/>
        </w:rPr>
        <w:t>Palavras-chave:</w:t>
      </w:r>
      <w:r w:rsidR="00C80B64" w:rsidRPr="00267138">
        <w:rPr>
          <w:rFonts w:ascii="Times New Roman" w:hAnsi="Times New Roman" w:cs="Times New Roman"/>
          <w:sz w:val="24"/>
          <w:szCs w:val="24"/>
        </w:rPr>
        <w:t xml:space="preserve"> </w:t>
      </w:r>
      <w:r w:rsidR="00267138">
        <w:rPr>
          <w:rFonts w:ascii="Times New Roman" w:hAnsi="Times New Roman" w:cs="Times New Roman"/>
          <w:sz w:val="24"/>
          <w:szCs w:val="24"/>
        </w:rPr>
        <w:t xml:space="preserve">Intervenção de Terceiros; </w:t>
      </w:r>
      <w:r w:rsidR="00DA420C" w:rsidRPr="00267138">
        <w:rPr>
          <w:rFonts w:ascii="Times New Roman" w:hAnsi="Times New Roman" w:cs="Times New Roman"/>
          <w:sz w:val="24"/>
          <w:szCs w:val="24"/>
        </w:rPr>
        <w:t xml:space="preserve">Nomeação á Autoria; Chamamento ao Processo; </w:t>
      </w:r>
      <w:r w:rsidR="00267138">
        <w:rPr>
          <w:rFonts w:ascii="Times New Roman" w:hAnsi="Times New Roman" w:cs="Times New Roman"/>
          <w:sz w:val="24"/>
          <w:szCs w:val="24"/>
        </w:rPr>
        <w:t xml:space="preserve">Confronto. </w:t>
      </w:r>
    </w:p>
    <w:p w:rsidR="00783772" w:rsidRDefault="00783772" w:rsidP="002671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3772" w:rsidRDefault="00783772" w:rsidP="007837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3772" w:rsidRPr="00F60069" w:rsidRDefault="00C80B64" w:rsidP="00783772">
      <w:pPr>
        <w:pStyle w:val="PargrafodaLista"/>
        <w:numPr>
          <w:ilvl w:val="0"/>
          <w:numId w:val="2"/>
        </w:numPr>
        <w:spacing w:after="0" w:line="240" w:lineRule="auto"/>
        <w:ind w:left="142" w:hanging="142"/>
        <w:rPr>
          <w:rFonts w:ascii="Times New Roman" w:hAnsi="Times New Roman" w:cs="Times New Roman"/>
          <w:b/>
          <w:sz w:val="24"/>
          <w:szCs w:val="24"/>
        </w:rPr>
      </w:pPr>
      <w:r w:rsidRPr="00F600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3772" w:rsidRPr="00F60069">
        <w:rPr>
          <w:rFonts w:ascii="Times New Roman" w:hAnsi="Times New Roman" w:cs="Times New Roman"/>
          <w:b/>
          <w:sz w:val="24"/>
          <w:szCs w:val="24"/>
        </w:rPr>
        <w:t>INTRODUÇÃO</w:t>
      </w:r>
    </w:p>
    <w:p w:rsidR="00DA420C" w:rsidRPr="00783772" w:rsidRDefault="00DA420C" w:rsidP="00DA420C">
      <w:pPr>
        <w:pStyle w:val="PargrafodaLista"/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</w:p>
    <w:p w:rsidR="003A1ACD" w:rsidRPr="003A1ACD" w:rsidRDefault="003A1ACD" w:rsidP="00DA420C">
      <w:pPr>
        <w:pStyle w:val="PargrafodaLista"/>
        <w:spacing w:before="24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A1ACD">
        <w:rPr>
          <w:rFonts w:ascii="Times New Roman" w:hAnsi="Times New Roman" w:cs="Times New Roman"/>
          <w:sz w:val="24"/>
          <w:szCs w:val="24"/>
        </w:rPr>
        <w:t>Este paper se propõe a apresentar os aspectos importantes sobre a Nomeação à Autoria feita pelo preposto artigo 63 do CPC que entra em confronto com o art. 942 do CC-02, gerando uma polêmica no campo doutrinário, pois há quem diga se tratar de Chamamento ao Processo, e não Nomeação à Autoria.</w:t>
      </w:r>
    </w:p>
    <w:p w:rsidR="003A1ACD" w:rsidRPr="003A1ACD" w:rsidRDefault="003A1ACD" w:rsidP="00DA420C">
      <w:pPr>
        <w:pStyle w:val="PargrafodaLista"/>
        <w:spacing w:before="24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A1ACD">
        <w:rPr>
          <w:rFonts w:ascii="Times New Roman" w:hAnsi="Times New Roman" w:cs="Times New Roman"/>
          <w:sz w:val="24"/>
          <w:szCs w:val="24"/>
        </w:rPr>
        <w:t xml:space="preserve">A Intervenção de Terceiros acontece quando </w:t>
      </w:r>
      <w:r w:rsidR="003227E9">
        <w:rPr>
          <w:rFonts w:ascii="Times New Roman" w:hAnsi="Times New Roman" w:cs="Times New Roman"/>
          <w:sz w:val="24"/>
          <w:szCs w:val="24"/>
        </w:rPr>
        <w:t>um terceiro possui vinculo dire</w:t>
      </w:r>
      <w:r w:rsidRPr="003A1ACD">
        <w:rPr>
          <w:rFonts w:ascii="Times New Roman" w:hAnsi="Times New Roman" w:cs="Times New Roman"/>
          <w:sz w:val="24"/>
          <w:szCs w:val="24"/>
        </w:rPr>
        <w:t>to ou indiretamente com a relação jurídica, e ingressa no processo, autorizado pela lei. Na Nomeação à Autoria esse terceiro ingressa no processo porque a outra parte demandou contra a errada, e por esse equivoco o réu demanda o verdadeiro réu, corrigindo assim o polo passivo. E no Chamamento ao Processo o réu alarga o campo de defesa, chamando terceiros para assumirem a posição de litisconsorte. Neste último não se altera o polo passivo, o polo é somente alargado.</w:t>
      </w:r>
    </w:p>
    <w:p w:rsidR="0039522A" w:rsidRDefault="003A1ACD" w:rsidP="00267138">
      <w:pPr>
        <w:pStyle w:val="PargrafodaLista"/>
        <w:spacing w:before="24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A1ACD">
        <w:rPr>
          <w:rFonts w:ascii="Times New Roman" w:hAnsi="Times New Roman" w:cs="Times New Roman"/>
          <w:sz w:val="24"/>
          <w:szCs w:val="24"/>
        </w:rPr>
        <w:t xml:space="preserve">Diz se tratar o art. 63 do CPC de Nomeação à Autoria </w:t>
      </w:r>
      <w:r w:rsidRPr="003A1ACD">
        <w:rPr>
          <w:rFonts w:ascii="Times New Roman" w:hAnsi="Times New Roman" w:cs="Times New Roman"/>
          <w:i/>
          <w:sz w:val="24"/>
          <w:szCs w:val="24"/>
        </w:rPr>
        <w:t>à ação de indenização, intentada pelo proprietário ou pelo titular de um direito sobre a coisa, toda vez que o responsável pelos prejuízos alegar que praticou o ato por ordem, ou em cumprimento de instruções de terceiros</w:t>
      </w:r>
      <w:r w:rsidRPr="003A1ACD">
        <w:rPr>
          <w:rFonts w:ascii="Times New Roman" w:hAnsi="Times New Roman" w:cs="Times New Roman"/>
          <w:sz w:val="24"/>
          <w:szCs w:val="24"/>
        </w:rPr>
        <w:t xml:space="preserve">. Mas discute-se se esse artigo não se trata de Chamamento ao Processo, pois o art. 942, CC, “é que todo aquele que concorre para o </w:t>
      </w:r>
      <w:r w:rsidRPr="003A1ACD">
        <w:rPr>
          <w:rFonts w:ascii="Times New Roman" w:hAnsi="Times New Roman" w:cs="Times New Roman"/>
          <w:sz w:val="24"/>
          <w:szCs w:val="24"/>
        </w:rPr>
        <w:lastRenderedPageBreak/>
        <w:t>dano, praticando o ato ilícito, é por ele responsável” (DIDIER JR,</w:t>
      </w:r>
      <w:r>
        <w:rPr>
          <w:rFonts w:ascii="Times New Roman" w:hAnsi="Times New Roman" w:cs="Times New Roman"/>
          <w:sz w:val="24"/>
          <w:szCs w:val="24"/>
        </w:rPr>
        <w:t xml:space="preserve"> 2011,</w:t>
      </w:r>
      <w:r w:rsidRPr="003A1A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p. 370</w:t>
      </w:r>
      <w:r w:rsidRPr="003A1ACD">
        <w:rPr>
          <w:rFonts w:ascii="Times New Roman" w:hAnsi="Times New Roman" w:cs="Times New Roman"/>
          <w:sz w:val="24"/>
          <w:szCs w:val="24"/>
        </w:rPr>
        <w:t xml:space="preserve">). Por fim, pretende-se explorar em um primeiro momento algumas considerações sobre a natureza jurídica das duas modalidades de intervenção de terceiros em questão para posteriormente entender-se o conflito que há nesses artigos. </w:t>
      </w:r>
    </w:p>
    <w:p w:rsidR="0010240A" w:rsidRDefault="0010240A" w:rsidP="00267138">
      <w:pPr>
        <w:pStyle w:val="PargrafodaLista"/>
        <w:spacing w:before="24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3E4E65" w:rsidRPr="00F60069" w:rsidRDefault="00EA792C" w:rsidP="00F60069">
      <w:pPr>
        <w:spacing w:before="2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60069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 w:rsidRPr="00F60069">
        <w:rPr>
          <w:rFonts w:ascii="Times New Roman" w:hAnsi="Times New Roman" w:cs="Times New Roman"/>
          <w:b/>
          <w:sz w:val="24"/>
          <w:szCs w:val="24"/>
        </w:rPr>
        <w:t xml:space="preserve"> BREVES CONSIDERAÇÕES A RESPEITO DE PAR</w:t>
      </w:r>
      <w:r w:rsidR="00F60069">
        <w:rPr>
          <w:rFonts w:ascii="Times New Roman" w:hAnsi="Times New Roman" w:cs="Times New Roman"/>
          <w:b/>
          <w:sz w:val="24"/>
          <w:szCs w:val="24"/>
        </w:rPr>
        <w:t>TE E TERCEIROS NA INTERVENÇÃO DE TERCEIROS</w:t>
      </w:r>
    </w:p>
    <w:p w:rsidR="00545FAC" w:rsidRDefault="004F3F6F" w:rsidP="0085097D">
      <w:pPr>
        <w:spacing w:before="24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“A intervenção de terceiro é fato jurídico processual que implica modificação de relação jurídica processual já existente. Trata-se de ato jurídico processual pelo</w:t>
      </w:r>
      <w:r w:rsidR="0085097D">
        <w:rPr>
          <w:rFonts w:ascii="Times New Roman" w:hAnsi="Times New Roman" w:cs="Times New Roman"/>
          <w:sz w:val="24"/>
          <w:szCs w:val="24"/>
        </w:rPr>
        <w:t xml:space="preserve"> qual um terceiro, autorizado por lei ingressa em processo pendente, transformando-se em parte” (DIDIER, 2011, p.351). </w:t>
      </w:r>
      <w:r w:rsidR="007F1F17">
        <w:rPr>
          <w:rFonts w:ascii="Times New Roman" w:hAnsi="Times New Roman" w:cs="Times New Roman"/>
          <w:sz w:val="24"/>
          <w:szCs w:val="24"/>
        </w:rPr>
        <w:t>Uma</w:t>
      </w:r>
      <w:r w:rsidR="007338D1">
        <w:rPr>
          <w:rFonts w:ascii="Times New Roman" w:hAnsi="Times New Roman" w:cs="Times New Roman"/>
          <w:sz w:val="24"/>
          <w:szCs w:val="24"/>
        </w:rPr>
        <w:t xml:space="preserve"> relação jurídica é formada pelo</w:t>
      </w:r>
      <w:r w:rsidR="007F1F17">
        <w:rPr>
          <w:rFonts w:ascii="Times New Roman" w:hAnsi="Times New Roman" w:cs="Times New Roman"/>
          <w:sz w:val="24"/>
          <w:szCs w:val="24"/>
        </w:rPr>
        <w:t xml:space="preserve"> autor</w:t>
      </w:r>
      <w:r w:rsidR="007338D1">
        <w:rPr>
          <w:rFonts w:ascii="Times New Roman" w:hAnsi="Times New Roman" w:cs="Times New Roman"/>
          <w:sz w:val="24"/>
          <w:szCs w:val="24"/>
        </w:rPr>
        <w:t xml:space="preserve"> que ajuíza a demanda, também chamado de demandante; e pelo réu, ou demandado, que após a citação compõe o outro lado do polo da relação juntamente com terceiros que podem vir a fazer parte da mesma relação. </w:t>
      </w:r>
      <w:r w:rsidR="00DC07BC">
        <w:rPr>
          <w:rFonts w:ascii="Times New Roman" w:hAnsi="Times New Roman" w:cs="Times New Roman"/>
          <w:sz w:val="24"/>
          <w:szCs w:val="24"/>
        </w:rPr>
        <w:t xml:space="preserve">“Parte é aquele que demanda em seu próprio nome a atuação duma vontade da lei, e </w:t>
      </w:r>
      <w:proofErr w:type="gramStart"/>
      <w:r w:rsidR="00DC07BC">
        <w:rPr>
          <w:rFonts w:ascii="Times New Roman" w:hAnsi="Times New Roman" w:cs="Times New Roman"/>
          <w:sz w:val="24"/>
          <w:szCs w:val="24"/>
        </w:rPr>
        <w:t>aquele em face de quem essa</w:t>
      </w:r>
      <w:proofErr w:type="gramEnd"/>
      <w:r w:rsidR="00DC07BC">
        <w:rPr>
          <w:rFonts w:ascii="Times New Roman" w:hAnsi="Times New Roman" w:cs="Times New Roman"/>
          <w:sz w:val="24"/>
          <w:szCs w:val="24"/>
        </w:rPr>
        <w:t xml:space="preserve"> atuação é demandada” (CHIOVENDA, 1969 apud CÂMARA, 2007, p. 159). </w:t>
      </w:r>
    </w:p>
    <w:p w:rsidR="00983284" w:rsidRDefault="00DC07BC" w:rsidP="003E4E65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Tal conceito corresponde </w:t>
      </w:r>
      <w:r w:rsidR="007338D1">
        <w:rPr>
          <w:rFonts w:ascii="Times New Roman" w:hAnsi="Times New Roman" w:cs="Times New Roman"/>
          <w:sz w:val="24"/>
          <w:szCs w:val="24"/>
        </w:rPr>
        <w:t>às</w:t>
      </w:r>
      <w:r>
        <w:rPr>
          <w:rFonts w:ascii="Times New Roman" w:hAnsi="Times New Roman" w:cs="Times New Roman"/>
          <w:sz w:val="24"/>
          <w:szCs w:val="24"/>
        </w:rPr>
        <w:t xml:space="preserve"> partes da demanda, não podendo ser confundido com partes do processo. Esta última deve ser considerada todas as pessoas que participam do procedi</w:t>
      </w:r>
      <w:r w:rsidR="003E4E65">
        <w:rPr>
          <w:rFonts w:ascii="Times New Roman" w:hAnsi="Times New Roman" w:cs="Times New Roman"/>
          <w:sz w:val="24"/>
          <w:szCs w:val="24"/>
        </w:rPr>
        <w:t>mento do contraditório.</w:t>
      </w:r>
    </w:p>
    <w:p w:rsidR="000E57AA" w:rsidRPr="000E57AA" w:rsidRDefault="000E57AA" w:rsidP="000E57AA">
      <w:pPr>
        <w:spacing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0E57AA">
        <w:rPr>
          <w:rFonts w:ascii="Times New Roman" w:hAnsi="Times New Roman" w:cs="Times New Roman"/>
          <w:sz w:val="20"/>
          <w:szCs w:val="20"/>
        </w:rPr>
        <w:t xml:space="preserve">A intervenção de terceiros no processo pendente justifica-se, em regra, por manter ele um vínculo com a relação jurídica discutida que: a) ou lhe diz respeito diretamente: discute-se a relação jurídica de que faz parte o terceiro; b) </w:t>
      </w:r>
      <w:r>
        <w:rPr>
          <w:rFonts w:ascii="Times New Roman" w:hAnsi="Times New Roman" w:cs="Times New Roman"/>
          <w:sz w:val="20"/>
          <w:szCs w:val="20"/>
        </w:rPr>
        <w:t>ou está ligada a outra relação jurídica, que daquela é conexa/dependente; c) ou que, embora não lhe diga respeito, possa ser por ele discutida, em razão de também possuir legitimação extraordinária para tanto. É fundamental perceber, portanto, que a correta compreensão das intervenções de terceiro passa, necessariamente, pela constatação de que haverá, sempre, um vínculo entre o terceiro, o objeto litigioso do processo e a relação jurídica material deduzida. (DIDIER, 2011, p. 350).</w:t>
      </w:r>
    </w:p>
    <w:p w:rsidR="00E24FA5" w:rsidRDefault="0032713F" w:rsidP="00180408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“São terceiros todas as pessoas que não sejam parte do processo concretamente considerado” (DINAMARCO, 2009, p. 19). Assim, terceiros seriam todos aqueles que não são pa</w:t>
      </w:r>
      <w:r w:rsidR="00180408">
        <w:rPr>
          <w:rFonts w:ascii="Times New Roman" w:hAnsi="Times New Roman" w:cs="Times New Roman"/>
          <w:sz w:val="24"/>
          <w:szCs w:val="24"/>
        </w:rPr>
        <w:t xml:space="preserve">rtes em relação àquele processo, mas que transformam em partes da demanda, pessoas estranhas ao processo, gerando efeitos no processo já em curso. </w:t>
      </w:r>
    </w:p>
    <w:p w:rsidR="00CD678F" w:rsidRPr="00EA792C" w:rsidRDefault="00CD678F" w:rsidP="00AA0139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783772" w:rsidRPr="003E4E65" w:rsidRDefault="00EA792C" w:rsidP="00EA792C">
      <w:pPr>
        <w:spacing w:after="0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E4E65">
        <w:rPr>
          <w:rFonts w:ascii="Times New Roman" w:hAnsi="Times New Roman" w:cs="Times New Roman"/>
          <w:b/>
          <w:sz w:val="24"/>
          <w:szCs w:val="24"/>
        </w:rPr>
        <w:lastRenderedPageBreak/>
        <w:t>3</w:t>
      </w:r>
      <w:proofErr w:type="gramEnd"/>
      <w:r w:rsidR="00C80B64" w:rsidRPr="003E4E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3772" w:rsidRPr="003E4E65">
        <w:rPr>
          <w:rFonts w:ascii="Times New Roman" w:hAnsi="Times New Roman" w:cs="Times New Roman"/>
          <w:b/>
          <w:sz w:val="24"/>
          <w:szCs w:val="24"/>
        </w:rPr>
        <w:t>BREVES CONSIDERAÇÕES A RESPEITO DE NOMEAÇÃO À AUTORIA</w:t>
      </w:r>
    </w:p>
    <w:p w:rsidR="00267138" w:rsidRDefault="00267138" w:rsidP="00267138">
      <w:pPr>
        <w:pStyle w:val="PargrafodaLista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1A7AD5" w:rsidRDefault="00894A06" w:rsidP="00894A06">
      <w:pPr>
        <w:spacing w:before="24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DA420C" w:rsidRPr="00894A06">
        <w:rPr>
          <w:rFonts w:ascii="Times New Roman" w:hAnsi="Times New Roman" w:cs="Times New Roman"/>
          <w:sz w:val="24"/>
          <w:szCs w:val="24"/>
        </w:rPr>
        <w:t>Trata-se de instituto por meio do qual se introduz no processo aquele que deveria ter sido originariamente demandado. Aquele que passa a integrar o processo assume a condição de réu, deixando, portanto, de ser te</w:t>
      </w:r>
      <w:r>
        <w:rPr>
          <w:rFonts w:ascii="Times New Roman" w:hAnsi="Times New Roman" w:cs="Times New Roman"/>
          <w:sz w:val="24"/>
          <w:szCs w:val="24"/>
        </w:rPr>
        <w:t xml:space="preserve">rceiro”. (WAMBIER, 2007, p. 262). </w:t>
      </w:r>
      <w:r w:rsidR="00DA420C">
        <w:rPr>
          <w:rFonts w:ascii="Times New Roman" w:hAnsi="Times New Roman" w:cs="Times New Roman"/>
          <w:sz w:val="24"/>
          <w:szCs w:val="24"/>
        </w:rPr>
        <w:t>A nomeação à autoria tem como finalidade</w:t>
      </w:r>
      <w:r w:rsidR="001A7AD5">
        <w:rPr>
          <w:rFonts w:ascii="Times New Roman" w:hAnsi="Times New Roman" w:cs="Times New Roman"/>
          <w:sz w:val="24"/>
          <w:szCs w:val="24"/>
        </w:rPr>
        <w:t xml:space="preserve"> corrigir o polo passivo da relação jurídica processual, quando ocorre de alguém demandar contra outrem. Dessa forma, ao nomear outro titular para o polo passivo, o sujeito que foi equivocadamente chamado pelo autor, se retira do processo. “Normalmente, o caso seria de extinção por carência de ação, mas, por questões de economia, aproveita-se o processo pendente e corrige-se o equivoco”</w:t>
      </w:r>
      <w:r w:rsidR="00114FA9">
        <w:rPr>
          <w:rFonts w:ascii="Times New Roman" w:hAnsi="Times New Roman" w:cs="Times New Roman"/>
          <w:sz w:val="24"/>
          <w:szCs w:val="24"/>
        </w:rPr>
        <w:t xml:space="preserve"> (DID</w:t>
      </w:r>
      <w:r w:rsidR="001A7AD5">
        <w:rPr>
          <w:rFonts w:ascii="Times New Roman" w:hAnsi="Times New Roman" w:cs="Times New Roman"/>
          <w:sz w:val="24"/>
          <w:szCs w:val="24"/>
        </w:rPr>
        <w:t xml:space="preserve">IER, 2011, p. 368).    </w:t>
      </w:r>
    </w:p>
    <w:p w:rsidR="001A7AD5" w:rsidRPr="004E325E" w:rsidRDefault="004E325E" w:rsidP="004E325E">
      <w:pPr>
        <w:spacing w:before="24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4E325E">
        <w:rPr>
          <w:rFonts w:ascii="Times New Roman" w:hAnsi="Times New Roman" w:cs="Times New Roman"/>
          <w:sz w:val="20"/>
          <w:szCs w:val="20"/>
        </w:rPr>
        <w:t>[...] a lei facilita as coisas para o autor que se enganou: permite que o processo, instaurado em face de pessoa diversa daquela a quem se deveria ter endereçado o pedido, continue, seja aproveitado, mediante esse expediente, que consiste na indicação do verdadeiro legitimado passivo, por aquele que foi demandado p</w:t>
      </w:r>
      <w:r w:rsidR="00114FA9">
        <w:rPr>
          <w:rFonts w:ascii="Times New Roman" w:hAnsi="Times New Roman" w:cs="Times New Roman"/>
          <w:sz w:val="20"/>
          <w:szCs w:val="20"/>
        </w:rPr>
        <w:t>or equívoco. (FUX, 1991 apud DI</w:t>
      </w:r>
      <w:r w:rsidRPr="004E325E">
        <w:rPr>
          <w:rFonts w:ascii="Times New Roman" w:hAnsi="Times New Roman" w:cs="Times New Roman"/>
          <w:sz w:val="20"/>
          <w:szCs w:val="20"/>
        </w:rPr>
        <w:t xml:space="preserve">DIER, 2011, p. 368). </w:t>
      </w:r>
    </w:p>
    <w:p w:rsidR="00CD678F" w:rsidRDefault="00CD678F" w:rsidP="007476E2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EE74BA" w:rsidRDefault="009D1FE1" w:rsidP="00EE74BA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Essa modalidade de intervenção de terceiros só é admitida nos casos previst</w:t>
      </w:r>
      <w:r w:rsidR="007D0207">
        <w:rPr>
          <w:rFonts w:ascii="Times New Roman" w:hAnsi="Times New Roman" w:cs="Times New Roman"/>
          <w:sz w:val="24"/>
          <w:szCs w:val="24"/>
        </w:rPr>
        <w:t>os nos artigos 62</w:t>
      </w:r>
      <w:r w:rsidR="005B0182">
        <w:rPr>
          <w:rFonts w:ascii="Times New Roman" w:hAnsi="Times New Roman" w:cs="Times New Roman"/>
          <w:sz w:val="24"/>
          <w:szCs w:val="24"/>
        </w:rPr>
        <w:t xml:space="preserve"> e 63, do CPC. </w:t>
      </w:r>
      <w:r w:rsidR="00EE74BA">
        <w:rPr>
          <w:rFonts w:ascii="Times New Roman" w:hAnsi="Times New Roman" w:cs="Times New Roman"/>
          <w:sz w:val="24"/>
          <w:szCs w:val="24"/>
        </w:rPr>
        <w:t>De acordo com o artigo 69 do CPC, se o nomeante deixar de fazer a nomeação (inciso I), ou nomear a pessoa errada (inciso II), estará o nomeante sujeito a responder por perdas e danos.</w:t>
      </w:r>
      <w:r w:rsidR="00941C3E">
        <w:rPr>
          <w:rFonts w:ascii="Times New Roman" w:hAnsi="Times New Roman" w:cs="Times New Roman"/>
          <w:sz w:val="24"/>
          <w:szCs w:val="24"/>
        </w:rPr>
        <w:t xml:space="preserve"> “O réu, porquanto mantenha a relação de dependência com o terceiro, tem todas as condições de indicar a legitima parte ré. É a extensão ao processo civil da teoria da aparência</w:t>
      </w:r>
      <w:r w:rsidR="00DD2F82">
        <w:rPr>
          <w:rFonts w:ascii="Times New Roman" w:hAnsi="Times New Roman" w:cs="Times New Roman"/>
          <w:sz w:val="24"/>
          <w:szCs w:val="24"/>
        </w:rPr>
        <w:t>.” (DIDIER, 2011, p. 368).</w:t>
      </w:r>
    </w:p>
    <w:p w:rsidR="006A771C" w:rsidRDefault="006A771C" w:rsidP="007476E2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8E5C55" w:rsidRPr="008E5C55" w:rsidRDefault="008E5C55" w:rsidP="008E5C55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8E5C55">
        <w:rPr>
          <w:rFonts w:ascii="Times New Roman" w:hAnsi="Times New Roman" w:cs="Times New Roman"/>
          <w:sz w:val="20"/>
          <w:szCs w:val="20"/>
        </w:rPr>
        <w:t xml:space="preserve">Quando for cabível, diante das hipóteses enumeradas pela lei (arts. 62 e 63 do CPC), deverá o réu nomear ao autor aquele que, segundo seu entender, seja realmente o réu legitimo da ação, no prazo que tem para a resposta (art. 64, CPC), </w:t>
      </w:r>
      <w:proofErr w:type="gramStart"/>
      <w:r w:rsidRPr="008E5C55">
        <w:rPr>
          <w:rFonts w:ascii="Times New Roman" w:hAnsi="Times New Roman" w:cs="Times New Roman"/>
          <w:sz w:val="20"/>
          <w:szCs w:val="20"/>
        </w:rPr>
        <w:t>sob pena</w:t>
      </w:r>
      <w:proofErr w:type="gramEnd"/>
      <w:r w:rsidRPr="008E5C55">
        <w:rPr>
          <w:rFonts w:ascii="Times New Roman" w:hAnsi="Times New Roman" w:cs="Times New Roman"/>
          <w:sz w:val="20"/>
          <w:szCs w:val="20"/>
        </w:rPr>
        <w:t xml:space="preserve"> de preclusão. Se efetivamente a situação descrita pelo réu estiver contemplada, em abstrato, pela lei, deferirá o juiz o pedido, ouvindo então o autor, no prazo de cinco dias. O autor, então, poderá aceitar a indicação feita pelo réu ou negá-la. Se não aceitar a nomeação, retomará o processo seu curso regular, em face do réu primitivo, sem que se opere a intervenção, devolvendo-se o prazo para a defesa (art. 67 do CPC). (</w:t>
      </w:r>
      <w:r w:rsidR="007E1FC0">
        <w:rPr>
          <w:rFonts w:ascii="Times New Roman" w:hAnsi="Times New Roman" w:cs="Times New Roman"/>
          <w:sz w:val="20"/>
          <w:szCs w:val="20"/>
        </w:rPr>
        <w:t>MARINONI, 2010, p. 183</w:t>
      </w:r>
      <w:r w:rsidRPr="008E5C55">
        <w:rPr>
          <w:rFonts w:ascii="Times New Roman" w:hAnsi="Times New Roman" w:cs="Times New Roman"/>
          <w:sz w:val="20"/>
          <w:szCs w:val="20"/>
        </w:rPr>
        <w:t>).</w:t>
      </w:r>
    </w:p>
    <w:p w:rsidR="005B0182" w:rsidRDefault="005B0182" w:rsidP="00F85719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7E1FC0" w:rsidRDefault="007E1FC0" w:rsidP="00F85719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 acontecer o contrário, e o autor concordar com a nomeação, o promoverá a citação do nomeado. Ao ser citado, o nomeado poderá aceitar ou rejeitá-la. Se rejeitar fica sem efeito a nomeação, e o processo prossegue em face do réu primitivo, o nomeante. Mas se aceitar a nomeação, o réu nomeado deixa de ser réu e o nomeado </w:t>
      </w:r>
      <w:r>
        <w:rPr>
          <w:rFonts w:ascii="Times New Roman" w:hAnsi="Times New Roman" w:cs="Times New Roman"/>
          <w:sz w:val="24"/>
          <w:szCs w:val="24"/>
        </w:rPr>
        <w:lastRenderedPageBreak/>
        <w:t>assume o polo passivo da relação. “Nota-se que, para que se opere a substituição do polo passivo, é necessário que ocorra a dupla aceitação: do autor e do nomeado”. (MARINONI, 2010, p.184).</w:t>
      </w:r>
    </w:p>
    <w:p w:rsidR="00F85719" w:rsidRDefault="007E1FC0" w:rsidP="00CD633E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Vale ressaltar que na nomeação à autoria não é dada ao réu a faculdade de promover ou não a nomeação, mas o dever de fazê-lo, podendo responder por perdas e danos caso se omita ou caso nomeie pesso</w:t>
      </w:r>
      <w:r w:rsidR="00CD633E">
        <w:rPr>
          <w:rFonts w:ascii="Times New Roman" w:hAnsi="Times New Roman" w:cs="Times New Roman"/>
          <w:sz w:val="24"/>
          <w:szCs w:val="24"/>
        </w:rPr>
        <w:t>a diversa da que detém a coisa demandada ou que o i</w:t>
      </w:r>
      <w:r w:rsidR="00894A06">
        <w:rPr>
          <w:rFonts w:ascii="Times New Roman" w:hAnsi="Times New Roman" w:cs="Times New Roman"/>
          <w:sz w:val="24"/>
          <w:szCs w:val="24"/>
        </w:rPr>
        <w:t>nstruiu a praticar o ato lesivo</w:t>
      </w:r>
      <w:r>
        <w:rPr>
          <w:rFonts w:ascii="Times New Roman" w:hAnsi="Times New Roman" w:cs="Times New Roman"/>
          <w:sz w:val="24"/>
          <w:szCs w:val="24"/>
        </w:rPr>
        <w:t xml:space="preserve"> (art. 69, CPC). </w:t>
      </w:r>
    </w:p>
    <w:p w:rsidR="00CD633E" w:rsidRDefault="00CD633E" w:rsidP="00CD633E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F85719" w:rsidRPr="004E325E" w:rsidRDefault="00F85719" w:rsidP="00F85719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783772" w:rsidRPr="003E4E65" w:rsidRDefault="00EA792C" w:rsidP="00783772">
      <w:pPr>
        <w:pStyle w:val="PargrafodaLista"/>
        <w:spacing w:after="0"/>
        <w:ind w:left="142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E4E65">
        <w:rPr>
          <w:rFonts w:ascii="Times New Roman" w:hAnsi="Times New Roman" w:cs="Times New Roman"/>
          <w:b/>
          <w:sz w:val="24"/>
          <w:szCs w:val="24"/>
        </w:rPr>
        <w:t>4</w:t>
      </w:r>
      <w:proofErr w:type="gramEnd"/>
      <w:r w:rsidR="00783772" w:rsidRPr="003E4E65">
        <w:rPr>
          <w:rFonts w:ascii="Times New Roman" w:hAnsi="Times New Roman" w:cs="Times New Roman"/>
          <w:b/>
          <w:sz w:val="24"/>
          <w:szCs w:val="24"/>
        </w:rPr>
        <w:t xml:space="preserve"> BREVES CONSIDERAÇÕES A RESPEITO DO CHAMAMENTO AO PROCESSO</w:t>
      </w:r>
    </w:p>
    <w:p w:rsidR="00783772" w:rsidRDefault="00783772" w:rsidP="00783772">
      <w:pPr>
        <w:pStyle w:val="PargrafodaLista"/>
        <w:spacing w:after="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CD678F" w:rsidRDefault="00CD678F" w:rsidP="00783772">
      <w:pPr>
        <w:pStyle w:val="PargrafodaLista"/>
        <w:spacing w:after="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285DFE" w:rsidRDefault="00285DFE" w:rsidP="00285DFE">
      <w:pPr>
        <w:pStyle w:val="PargrafodaLista"/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285DFE">
        <w:rPr>
          <w:rFonts w:ascii="Times New Roman" w:hAnsi="Times New Roman" w:cs="Times New Roman"/>
          <w:sz w:val="20"/>
          <w:szCs w:val="20"/>
        </w:rPr>
        <w:t xml:space="preserve">Trata-se de um instituto que consiste num meio de formação de litisconsórcio passivo, por iniciativa do próprio réu. Observe-se que se trata de uma exceção, pois a facultatividade do litisconsórcio está sempre ligada à figura do autor, e não à do réu. Pode-se dizer, em linguagem coloquial, que aquele que lança mão do instituto do chamamento ao processo </w:t>
      </w:r>
      <w:r w:rsidRPr="00206C06">
        <w:rPr>
          <w:rFonts w:ascii="Times New Roman" w:hAnsi="Times New Roman" w:cs="Times New Roman"/>
          <w:sz w:val="20"/>
          <w:szCs w:val="20"/>
        </w:rPr>
        <w:t>chama aqueles que devem tanto quanto ele, ou mais do que ele,</w:t>
      </w:r>
      <w:r w:rsidRPr="00285DFE">
        <w:rPr>
          <w:rFonts w:ascii="Times New Roman" w:hAnsi="Times New Roman" w:cs="Times New Roman"/>
          <w:sz w:val="20"/>
          <w:szCs w:val="20"/>
        </w:rPr>
        <w:t xml:space="preserve"> para responderem conjuntamente a ação, ampliando-se, assim, o polo passivo da relação processual. (WAMBIER, 2007, p. 268).</w:t>
      </w:r>
      <w:r w:rsidR="00206C0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03DBE" w:rsidRDefault="00303DBE" w:rsidP="00285DFE">
      <w:pPr>
        <w:pStyle w:val="PargrafodaLista"/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CD678F" w:rsidRDefault="00CD678F" w:rsidP="00285DFE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285DFE" w:rsidRDefault="00AD2BEE" w:rsidP="00285DFE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Essa modalidade de intervenção de terceiro tem como finalidade principal alargar o campo de defesa dos fiadores e dos devedores solidários, dando chance ao demandado de chamar os demais coobrigados para a relação processual.</w:t>
      </w:r>
      <w:r w:rsidR="00521D7B">
        <w:rPr>
          <w:rFonts w:ascii="Times New Roman" w:hAnsi="Times New Roman" w:cs="Times New Roman"/>
          <w:sz w:val="24"/>
          <w:szCs w:val="24"/>
        </w:rPr>
        <w:t xml:space="preserve"> O principal objetivo do dispositivo é a inclusão de todos os codevedores/coobrigados na mesma condenação</w:t>
      </w:r>
      <w:r w:rsidR="00206C06">
        <w:rPr>
          <w:rFonts w:ascii="Times New Roman" w:hAnsi="Times New Roman" w:cs="Times New Roman"/>
          <w:sz w:val="24"/>
          <w:szCs w:val="24"/>
        </w:rPr>
        <w:t>, visando o princi</w:t>
      </w:r>
      <w:r w:rsidR="00DA270B">
        <w:rPr>
          <w:rFonts w:ascii="Times New Roman" w:hAnsi="Times New Roman" w:cs="Times New Roman"/>
          <w:sz w:val="24"/>
          <w:szCs w:val="24"/>
        </w:rPr>
        <w:t>pio da economia processual</w:t>
      </w:r>
      <w:r w:rsidR="00521D7B">
        <w:rPr>
          <w:rFonts w:ascii="Times New Roman" w:hAnsi="Times New Roman" w:cs="Times New Roman"/>
          <w:sz w:val="24"/>
          <w:szCs w:val="24"/>
        </w:rPr>
        <w:t>.</w:t>
      </w:r>
      <w:r w:rsidR="00923E61">
        <w:rPr>
          <w:rFonts w:ascii="Times New Roman" w:hAnsi="Times New Roman" w:cs="Times New Roman"/>
          <w:sz w:val="24"/>
          <w:szCs w:val="24"/>
        </w:rPr>
        <w:t xml:space="preserve"> “Mais que isso isto, autoriza, posteriormente, àquele que satisfazer a obrigação a sub-rogar-se na condição de credor frente aos seus pares, cobrando de cada qual a parcela por eles devida em relação à dívida comum” (MARINONI, 2010, p. 190).</w:t>
      </w:r>
      <w:r w:rsidR="00206C0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85DFE" w:rsidRDefault="00D168A4" w:rsidP="00303DBE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chamamento ao processo não acarreta prejuízo ao réu se o mesmo não chamar à relação os demais coobrigados, podendo-se dizer que tal modalidade é facultativa. </w:t>
      </w:r>
      <w:r w:rsidR="004F05DC">
        <w:rPr>
          <w:rFonts w:ascii="Times New Roman" w:hAnsi="Times New Roman" w:cs="Times New Roman"/>
          <w:sz w:val="24"/>
          <w:szCs w:val="24"/>
        </w:rPr>
        <w:t xml:space="preserve">“O litisconsórcio que se forma é ulterior, passivo e facultativo. Será unitário ou simples, a depender da indivisibilidade do bem objeto da divida solidária” (DIDIER, 2011, p. 398). </w:t>
      </w:r>
    </w:p>
    <w:p w:rsidR="0087225E" w:rsidRDefault="0087225E" w:rsidP="00303DBE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87225E" w:rsidRPr="0087225E" w:rsidRDefault="0087225E" w:rsidP="0087225E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87225E">
        <w:rPr>
          <w:rFonts w:ascii="Times New Roman" w:hAnsi="Times New Roman" w:cs="Times New Roman"/>
          <w:sz w:val="20"/>
          <w:szCs w:val="20"/>
        </w:rPr>
        <w:t xml:space="preserve">Sendo cabível </w:t>
      </w:r>
      <w:r>
        <w:rPr>
          <w:rFonts w:ascii="Times New Roman" w:hAnsi="Times New Roman" w:cs="Times New Roman"/>
          <w:sz w:val="20"/>
          <w:szCs w:val="20"/>
        </w:rPr>
        <w:t xml:space="preserve">o chamamento, deverá o réu promovê-lo no prazo que se lhe confere para a resposta (art. 78 do CPC), </w:t>
      </w:r>
      <w:proofErr w:type="gramStart"/>
      <w:r>
        <w:rPr>
          <w:rFonts w:ascii="Times New Roman" w:hAnsi="Times New Roman" w:cs="Times New Roman"/>
          <w:sz w:val="20"/>
          <w:szCs w:val="20"/>
        </w:rPr>
        <w:t>sob pena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de preclusão, convocando para o processo aqueles que entenda</w:t>
      </w:r>
      <w:r w:rsidR="00845C0D">
        <w:rPr>
          <w:rFonts w:ascii="Times New Roman" w:hAnsi="Times New Roman" w:cs="Times New Roman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845C0D">
        <w:rPr>
          <w:rFonts w:ascii="Times New Roman" w:hAnsi="Times New Roman" w:cs="Times New Roman"/>
          <w:sz w:val="20"/>
          <w:szCs w:val="20"/>
        </w:rPr>
        <w:t xml:space="preserve">que </w:t>
      </w:r>
      <w:r>
        <w:rPr>
          <w:rFonts w:ascii="Times New Roman" w:hAnsi="Times New Roman" w:cs="Times New Roman"/>
          <w:sz w:val="20"/>
          <w:szCs w:val="20"/>
        </w:rPr>
        <w:t xml:space="preserve">devam responder conjuntamente </w:t>
      </w:r>
      <w:r>
        <w:rPr>
          <w:rFonts w:ascii="Times New Roman" w:hAnsi="Times New Roman" w:cs="Times New Roman"/>
          <w:sz w:val="20"/>
          <w:szCs w:val="20"/>
        </w:rPr>
        <w:lastRenderedPageBreak/>
        <w:t>com ele pela obrigação comum. Admitindo o pedido, o juiz suspenderá o processo, determinando a citação dos chamados para responderem. Estes serão citados nos prazos estipulados pelo art. 72 do CPC, sob pena de tornar-se ineficaz o pedido de intervenção. Poderão os chamados, então, aceitar a condição de coobrigados ou não; se aceitarem, forma-se litisconsórcio passivo; caso não aceitem, haverá mera cumulação subjetiva, passando a haver uma ação proposta pelo autor em face do réu, e outra pelo réu diante dos chamados. (MARINONI, 2010, p. 190).</w:t>
      </w:r>
    </w:p>
    <w:p w:rsidR="00303DBE" w:rsidRDefault="00303DBE" w:rsidP="00A519A9">
      <w:pPr>
        <w:pStyle w:val="PargrafodaLista"/>
        <w:spacing w:after="0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545FAC" w:rsidRDefault="00545FAC" w:rsidP="00A519A9">
      <w:pPr>
        <w:pStyle w:val="PargrafodaLista"/>
        <w:spacing w:after="0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783772" w:rsidRPr="003E4E65" w:rsidRDefault="00EA792C" w:rsidP="00EA792C">
      <w:pPr>
        <w:pStyle w:val="PargrafodaLista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E4E65">
        <w:rPr>
          <w:rFonts w:ascii="Times New Roman" w:hAnsi="Times New Roman" w:cs="Times New Roman"/>
          <w:b/>
          <w:sz w:val="24"/>
          <w:szCs w:val="24"/>
        </w:rPr>
        <w:t>5</w:t>
      </w:r>
      <w:proofErr w:type="gramEnd"/>
      <w:r w:rsidR="00C80B64" w:rsidRPr="003E4E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3772" w:rsidRPr="003E4E65">
        <w:rPr>
          <w:rFonts w:ascii="Times New Roman" w:hAnsi="Times New Roman" w:cs="Times New Roman"/>
          <w:b/>
          <w:sz w:val="24"/>
          <w:szCs w:val="24"/>
        </w:rPr>
        <w:t>ARTIGO 63 DO CPC: NOMEAÇÃO À AUTORIA OU CHAMAMENTO AO PROCESSO?</w:t>
      </w:r>
    </w:p>
    <w:p w:rsidR="00783772" w:rsidRDefault="00783772" w:rsidP="00783772">
      <w:pPr>
        <w:pStyle w:val="PargrafodaLista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CE5FEC" w:rsidRDefault="00FD431E" w:rsidP="00FD431E">
      <w:pPr>
        <w:pStyle w:val="PargrafodaLista"/>
        <w:spacing w:before="240" w:after="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artigo 63 do CPC dispõe sobre </w:t>
      </w:r>
      <w:r w:rsidR="00CE5FEC">
        <w:rPr>
          <w:rFonts w:ascii="Times New Roman" w:hAnsi="Times New Roman" w:cs="Times New Roman"/>
          <w:sz w:val="24"/>
          <w:szCs w:val="24"/>
        </w:rPr>
        <w:t>a aplicação da me</w:t>
      </w:r>
      <w:r w:rsidR="00F62700">
        <w:rPr>
          <w:rFonts w:ascii="Times New Roman" w:hAnsi="Times New Roman" w:cs="Times New Roman"/>
          <w:sz w:val="24"/>
          <w:szCs w:val="24"/>
        </w:rPr>
        <w:t>sma regra do artigo 62:</w:t>
      </w:r>
      <w:r w:rsidR="001915B4">
        <w:rPr>
          <w:rFonts w:ascii="Times New Roman" w:hAnsi="Times New Roman" w:cs="Times New Roman"/>
          <w:sz w:val="24"/>
          <w:szCs w:val="24"/>
        </w:rPr>
        <w:t xml:space="preserve"> nomear</w:t>
      </w:r>
      <w:r w:rsidR="00CE5FEC">
        <w:rPr>
          <w:rFonts w:ascii="Times New Roman" w:hAnsi="Times New Roman" w:cs="Times New Roman"/>
          <w:sz w:val="24"/>
          <w:szCs w:val="24"/>
        </w:rPr>
        <w:t xml:space="preserve"> o proprietário ou o possuidor</w:t>
      </w:r>
      <w:r w:rsidR="001915B4">
        <w:rPr>
          <w:rFonts w:ascii="Times New Roman" w:hAnsi="Times New Roman" w:cs="Times New Roman"/>
          <w:sz w:val="24"/>
          <w:szCs w:val="24"/>
        </w:rPr>
        <w:t xml:space="preserve"> para correção do polo passivo quando o autor demandar contra a parte ilegítima, quando se tratar de ação de indenização intentada pelo proprietário ou titular de um direito sobre a coisa, toda vez que o responsável pelos prejuízos alegar que praticou o ato por ordem, ou em cumprimento de instruções de terceiros. </w:t>
      </w:r>
    </w:p>
    <w:p w:rsidR="002B177D" w:rsidRPr="002B177D" w:rsidRDefault="002B177D" w:rsidP="002B177D">
      <w:pPr>
        <w:pStyle w:val="PargrafodaLista"/>
        <w:spacing w:before="240" w:after="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presente dispositivo</w:t>
      </w:r>
      <w:r w:rsidR="001915B4">
        <w:rPr>
          <w:rFonts w:ascii="Times New Roman" w:hAnsi="Times New Roman" w:cs="Times New Roman"/>
          <w:sz w:val="24"/>
          <w:szCs w:val="24"/>
        </w:rPr>
        <w:t xml:space="preserve"> então prevê que a pessoa que causou ato lesivo a alguém obedecendo </w:t>
      </w:r>
      <w:r w:rsidR="00545C30">
        <w:rPr>
          <w:rFonts w:ascii="Times New Roman" w:hAnsi="Times New Roman" w:cs="Times New Roman"/>
          <w:sz w:val="24"/>
          <w:szCs w:val="24"/>
        </w:rPr>
        <w:t>à</w:t>
      </w:r>
      <w:r w:rsidR="001915B4">
        <w:rPr>
          <w:rFonts w:ascii="Times New Roman" w:hAnsi="Times New Roman" w:cs="Times New Roman"/>
          <w:sz w:val="24"/>
          <w:szCs w:val="24"/>
        </w:rPr>
        <w:t xml:space="preserve"> ordem ou cumprindo instruções, nomeie </w:t>
      </w:r>
      <w:r>
        <w:rPr>
          <w:rFonts w:ascii="Times New Roman" w:hAnsi="Times New Roman" w:cs="Times New Roman"/>
          <w:sz w:val="24"/>
          <w:szCs w:val="24"/>
        </w:rPr>
        <w:t>a</w:t>
      </w:r>
      <w:r w:rsidR="001915B4">
        <w:rPr>
          <w:rFonts w:ascii="Times New Roman" w:hAnsi="Times New Roman" w:cs="Times New Roman"/>
          <w:sz w:val="24"/>
          <w:szCs w:val="24"/>
        </w:rPr>
        <w:t xml:space="preserve"> autoria o terceiro que determinou tal prática. </w:t>
      </w:r>
    </w:p>
    <w:p w:rsidR="001915B4" w:rsidRPr="001915B4" w:rsidRDefault="001915B4" w:rsidP="001915B4">
      <w:pPr>
        <w:pStyle w:val="PargrafodaLista"/>
        <w:spacing w:before="240"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1915B4">
        <w:rPr>
          <w:rFonts w:ascii="Times New Roman" w:hAnsi="Times New Roman" w:cs="Times New Roman"/>
          <w:sz w:val="20"/>
          <w:szCs w:val="20"/>
        </w:rPr>
        <w:t>Frise-se que o Código de Processo Civil dispõe que o terceiro (aquele que determinou a prática do ato lesivo ao proprietário ou titular de um direito sobre a coisa) seja chamado a compor a relação processual através da Nomeação à Autoria.</w:t>
      </w:r>
      <w:r>
        <w:rPr>
          <w:rFonts w:ascii="Times New Roman" w:hAnsi="Times New Roman" w:cs="Times New Roman"/>
          <w:sz w:val="20"/>
          <w:szCs w:val="20"/>
        </w:rPr>
        <w:t xml:space="preserve"> (ARAÚJO FILHO, 2009).</w:t>
      </w:r>
    </w:p>
    <w:p w:rsidR="002B177D" w:rsidRDefault="002B177D" w:rsidP="002B177D">
      <w:pPr>
        <w:pStyle w:val="PargrafodaLista"/>
        <w:spacing w:before="240" w:after="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2B177D" w:rsidRDefault="002B177D" w:rsidP="002B177D">
      <w:pPr>
        <w:pStyle w:val="PargrafodaLista"/>
        <w:spacing w:before="240" w:after="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Entretanto, o Código Civil de 2002 trouxe em seu artigo 942 algo controverso ao que dispõe o Código de Processo Civil, a saber:</w:t>
      </w:r>
    </w:p>
    <w:p w:rsidR="002B177D" w:rsidRDefault="002B177D" w:rsidP="002B177D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“</w:t>
      </w:r>
      <w:r w:rsidRPr="002B177D">
        <w:rPr>
          <w:rFonts w:ascii="Times New Roman" w:hAnsi="Times New Roman" w:cs="Times New Roman"/>
          <w:i/>
          <w:sz w:val="24"/>
          <w:szCs w:val="24"/>
        </w:rPr>
        <w:t xml:space="preserve">Art. 942: os bens do responsável pela ofensa ou violação do direito de outrem ficam sujeitos à reparação do dano causado; </w:t>
      </w:r>
      <w:r w:rsidRPr="002B6EFB">
        <w:rPr>
          <w:rFonts w:ascii="Times New Roman" w:hAnsi="Times New Roman" w:cs="Times New Roman"/>
          <w:i/>
          <w:sz w:val="24"/>
          <w:szCs w:val="24"/>
        </w:rPr>
        <w:t>e, se a ofensa tiver mais de um autor, todos responderão solidariamente pela reparação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B177D" w:rsidRDefault="002B177D" w:rsidP="002B177D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B177D">
        <w:rPr>
          <w:rFonts w:ascii="Times New Roman" w:hAnsi="Times New Roman" w:cs="Times New Roman"/>
          <w:i/>
          <w:sz w:val="24"/>
          <w:szCs w:val="24"/>
        </w:rPr>
        <w:t>Parágrafo único: São solidariamente responsáveis com os autores os coautores e as pessoas designadas no artigo 932</w:t>
      </w:r>
      <w:r>
        <w:rPr>
          <w:rFonts w:ascii="Times New Roman" w:hAnsi="Times New Roman" w:cs="Times New Roman"/>
          <w:sz w:val="24"/>
          <w:szCs w:val="24"/>
        </w:rPr>
        <w:t>”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2B177D" w:rsidRDefault="00F62700" w:rsidP="002B177D">
      <w:pPr>
        <w:spacing w:before="240"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Código Civil de 20</w:t>
      </w:r>
      <w:r w:rsidR="003C59EA">
        <w:rPr>
          <w:rFonts w:ascii="Times New Roman" w:hAnsi="Times New Roman" w:cs="Times New Roman"/>
          <w:sz w:val="24"/>
          <w:szCs w:val="24"/>
        </w:rPr>
        <w:t>02 dispôs que todo aquele que contribuir para a violação do direito ou ofensa a outrem, será por ele responsabilizado, tratando de</w:t>
      </w:r>
      <w:r w:rsidR="009D5F13">
        <w:rPr>
          <w:rFonts w:ascii="Times New Roman" w:hAnsi="Times New Roman" w:cs="Times New Roman"/>
          <w:sz w:val="24"/>
          <w:szCs w:val="24"/>
        </w:rPr>
        <w:t xml:space="preserve"> uma hipótese de solidariedade.</w:t>
      </w:r>
    </w:p>
    <w:p w:rsidR="00E826CA" w:rsidRPr="00E826CA" w:rsidRDefault="00E826CA" w:rsidP="00E826CA">
      <w:pPr>
        <w:pStyle w:val="NormalWeb"/>
        <w:ind w:left="2268"/>
        <w:jc w:val="both"/>
        <w:rPr>
          <w:bCs/>
          <w:sz w:val="20"/>
          <w:szCs w:val="20"/>
        </w:rPr>
      </w:pPr>
      <w:r w:rsidRPr="003F42E7">
        <w:rPr>
          <w:rStyle w:val="Forte"/>
          <w:b w:val="0"/>
          <w:sz w:val="20"/>
          <w:szCs w:val="20"/>
        </w:rPr>
        <w:lastRenderedPageBreak/>
        <w:t xml:space="preserve">A norma contida no artigo 942 do Código Civil parece estabelecer que a vítima de um evento danoso </w:t>
      </w:r>
      <w:proofErr w:type="gramStart"/>
      <w:r w:rsidRPr="003F42E7">
        <w:rPr>
          <w:rStyle w:val="Forte"/>
          <w:b w:val="0"/>
          <w:sz w:val="20"/>
          <w:szCs w:val="20"/>
          <w:u w:val="single"/>
        </w:rPr>
        <w:t>pode</w:t>
      </w:r>
      <w:proofErr w:type="gramEnd"/>
      <w:r w:rsidRPr="003F42E7">
        <w:rPr>
          <w:rStyle w:val="Forte"/>
          <w:b w:val="0"/>
          <w:sz w:val="20"/>
          <w:szCs w:val="20"/>
        </w:rPr>
        <w:t xml:space="preserve"> ajuizar ação de indenização em face de um ou de todos aqueles que causaram o dano.</w:t>
      </w:r>
      <w:r w:rsidRPr="003F42E7">
        <w:rPr>
          <w:b/>
          <w:sz w:val="20"/>
          <w:szCs w:val="20"/>
        </w:rPr>
        <w:t xml:space="preserve"> </w:t>
      </w:r>
      <w:r w:rsidRPr="003F42E7">
        <w:rPr>
          <w:rStyle w:val="Forte"/>
          <w:b w:val="0"/>
          <w:sz w:val="20"/>
          <w:szCs w:val="20"/>
        </w:rPr>
        <w:t xml:space="preserve">Já o artigo 63 do Código de Processo Civil dispõe, como </w:t>
      </w:r>
      <w:proofErr w:type="gramStart"/>
      <w:r w:rsidRPr="003F42E7">
        <w:rPr>
          <w:rStyle w:val="Forte"/>
          <w:b w:val="0"/>
          <w:sz w:val="20"/>
          <w:szCs w:val="20"/>
        </w:rPr>
        <w:t>vimos,</w:t>
      </w:r>
      <w:proofErr w:type="gramEnd"/>
      <w:r w:rsidRPr="003F42E7">
        <w:rPr>
          <w:rStyle w:val="Forte"/>
          <w:b w:val="0"/>
          <w:sz w:val="20"/>
          <w:szCs w:val="20"/>
        </w:rPr>
        <w:t xml:space="preserve"> que, caso o autor da ação indenizatória</w:t>
      </w:r>
      <w:r w:rsidRPr="003F42E7">
        <w:rPr>
          <w:sz w:val="20"/>
          <w:szCs w:val="20"/>
        </w:rPr>
        <w:t>, proprietário ou titular de um direito sobre a coisa</w:t>
      </w:r>
      <w:r w:rsidRPr="003F42E7">
        <w:rPr>
          <w:b/>
          <w:sz w:val="20"/>
          <w:szCs w:val="20"/>
        </w:rPr>
        <w:t>,</w:t>
      </w:r>
      <w:r w:rsidRPr="003F42E7">
        <w:rPr>
          <w:rStyle w:val="Forte"/>
          <w:b w:val="0"/>
          <w:sz w:val="20"/>
          <w:szCs w:val="20"/>
        </w:rPr>
        <w:t xml:space="preserve"> demande contra aquele que cumpriu ordens ou instruções de terceiro, </w:t>
      </w:r>
      <w:r w:rsidRPr="003F42E7">
        <w:rPr>
          <w:rStyle w:val="Forte"/>
          <w:b w:val="0"/>
          <w:sz w:val="20"/>
          <w:szCs w:val="20"/>
          <w:u w:val="single"/>
        </w:rPr>
        <w:t>deve</w:t>
      </w:r>
      <w:r w:rsidRPr="003F42E7">
        <w:rPr>
          <w:rStyle w:val="Forte"/>
          <w:b w:val="0"/>
          <w:sz w:val="20"/>
          <w:szCs w:val="20"/>
        </w:rPr>
        <w:t xml:space="preserve"> o réu originário nomear a autoria aquele terceiro que determinou a prática dos atos lesivos, com o objetivo de que haja a </w:t>
      </w:r>
      <w:proofErr w:type="spellStart"/>
      <w:r w:rsidRPr="003F42E7">
        <w:rPr>
          <w:rStyle w:val="Forte"/>
          <w:b w:val="0"/>
          <w:sz w:val="20"/>
          <w:szCs w:val="20"/>
        </w:rPr>
        <w:t>extromissão</w:t>
      </w:r>
      <w:proofErr w:type="spellEnd"/>
      <w:r w:rsidRPr="003F42E7">
        <w:rPr>
          <w:rStyle w:val="Forte"/>
          <w:b w:val="0"/>
          <w:sz w:val="20"/>
          <w:szCs w:val="20"/>
        </w:rPr>
        <w:t xml:space="preserve"> (substituição do réu antigo por aquele que determinou a prática dos atos danosos).</w:t>
      </w:r>
      <w:r>
        <w:rPr>
          <w:rStyle w:val="Forte"/>
          <w:b w:val="0"/>
          <w:sz w:val="20"/>
          <w:szCs w:val="20"/>
        </w:rPr>
        <w:t xml:space="preserve"> (ARAÚJO FILHO, 2009).</w:t>
      </w:r>
    </w:p>
    <w:p w:rsidR="00AE651D" w:rsidRDefault="00AE651D" w:rsidP="002B177D">
      <w:pPr>
        <w:spacing w:before="240"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Percebe-se assim </w:t>
      </w:r>
      <w:r w:rsidR="00F62700">
        <w:rPr>
          <w:rFonts w:ascii="Times New Roman" w:hAnsi="Times New Roman" w:cs="Times New Roman"/>
          <w:sz w:val="24"/>
          <w:szCs w:val="24"/>
        </w:rPr>
        <w:t xml:space="preserve">que </w:t>
      </w:r>
      <w:r>
        <w:rPr>
          <w:rFonts w:ascii="Times New Roman" w:hAnsi="Times New Roman" w:cs="Times New Roman"/>
          <w:sz w:val="24"/>
          <w:szCs w:val="24"/>
        </w:rPr>
        <w:t>o artigo 63 do CPC trata que o réu deve nomear o verdadeiro responsável pelo prejuízo que praticou</w:t>
      </w:r>
      <w:r w:rsidR="00302E91">
        <w:rPr>
          <w:rFonts w:ascii="Times New Roman" w:hAnsi="Times New Roman" w:cs="Times New Roman"/>
          <w:sz w:val="24"/>
          <w:szCs w:val="24"/>
        </w:rPr>
        <w:t>, determinando a substituição do réu ilegítimo pelo réu legitimo responsável pelas ordens ou instruções causadoras do dano. E o artigo 942 do CC-02 prevê que se mais de um autor forem responsáveis pela ofensa, “</w:t>
      </w:r>
      <w:r w:rsidR="00302E91" w:rsidRPr="00302E91">
        <w:rPr>
          <w:rFonts w:ascii="Times New Roman" w:hAnsi="Times New Roman" w:cs="Times New Roman"/>
          <w:i/>
          <w:sz w:val="24"/>
          <w:szCs w:val="24"/>
        </w:rPr>
        <w:t>todos deverão responder solidariamente pela reparação</w:t>
      </w:r>
      <w:r w:rsidR="00302E91">
        <w:rPr>
          <w:rFonts w:ascii="Times New Roman" w:hAnsi="Times New Roman" w:cs="Times New Roman"/>
          <w:i/>
          <w:sz w:val="24"/>
          <w:szCs w:val="24"/>
        </w:rPr>
        <w:t>”</w:t>
      </w:r>
      <w:r w:rsidR="0051387A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51387A">
        <w:rPr>
          <w:rFonts w:ascii="Times New Roman" w:hAnsi="Times New Roman" w:cs="Times New Roman"/>
          <w:sz w:val="24"/>
          <w:szCs w:val="24"/>
        </w:rPr>
        <w:t>seria então, um caso de chamamento ao processo</w:t>
      </w:r>
      <w:r w:rsidR="00764BFA">
        <w:rPr>
          <w:rFonts w:ascii="Times New Roman" w:hAnsi="Times New Roman" w:cs="Times New Roman"/>
          <w:sz w:val="24"/>
          <w:szCs w:val="24"/>
        </w:rPr>
        <w:t xml:space="preserve">, pois estaria chamando </w:t>
      </w:r>
      <w:r w:rsidR="002E52F8">
        <w:rPr>
          <w:rFonts w:ascii="Times New Roman" w:hAnsi="Times New Roman" w:cs="Times New Roman"/>
          <w:sz w:val="24"/>
          <w:szCs w:val="24"/>
        </w:rPr>
        <w:t>outro responsável</w:t>
      </w:r>
      <w:r w:rsidR="00302E91">
        <w:rPr>
          <w:rFonts w:ascii="Times New Roman" w:hAnsi="Times New Roman" w:cs="Times New Roman"/>
          <w:sz w:val="24"/>
          <w:szCs w:val="24"/>
        </w:rPr>
        <w:t>.</w:t>
      </w:r>
      <w:r w:rsidR="00E826CA">
        <w:rPr>
          <w:rFonts w:ascii="Times New Roman" w:hAnsi="Times New Roman" w:cs="Times New Roman"/>
          <w:sz w:val="24"/>
          <w:szCs w:val="24"/>
        </w:rPr>
        <w:t xml:space="preserve"> Nota-se então que “a</w:t>
      </w:r>
      <w:r w:rsidR="009D5F13">
        <w:rPr>
          <w:rFonts w:ascii="Times New Roman" w:hAnsi="Times New Roman" w:cs="Times New Roman"/>
          <w:sz w:val="24"/>
          <w:szCs w:val="24"/>
        </w:rPr>
        <w:t xml:space="preserve"> rigor, ambos respondem pelos prejuízos: a) o réu, preposto, porque causador direto do dano; b) o preponente, de forma objetiva responde pelos prejuízos causados pelo preposto” (NERY, 2003 apud DIDIER, 2011, p. 370).</w:t>
      </w:r>
    </w:p>
    <w:p w:rsidR="002D64AC" w:rsidRPr="002D64AC" w:rsidRDefault="002D64AC" w:rsidP="002D64AC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Código Civil instituiu em 2002 “</w:t>
      </w:r>
      <w:r w:rsidRPr="002D64AC">
        <w:rPr>
          <w:rFonts w:ascii="Times New Roman" w:hAnsi="Times New Roman" w:cs="Times New Roman"/>
          <w:sz w:val="24"/>
          <w:szCs w:val="24"/>
        </w:rPr>
        <w:t xml:space="preserve">o réu originário da demanda (um preposto, por exemplo) </w:t>
      </w:r>
      <w:proofErr w:type="gramStart"/>
      <w:r w:rsidRPr="002D64AC">
        <w:rPr>
          <w:rFonts w:ascii="Times New Roman" w:hAnsi="Times New Roman" w:cs="Times New Roman"/>
          <w:sz w:val="24"/>
          <w:szCs w:val="24"/>
        </w:rPr>
        <w:t>co-responsável</w:t>
      </w:r>
      <w:proofErr w:type="gramEnd"/>
      <w:r w:rsidRPr="002D64AC">
        <w:rPr>
          <w:rFonts w:ascii="Times New Roman" w:hAnsi="Times New Roman" w:cs="Times New Roman"/>
          <w:sz w:val="24"/>
          <w:szCs w:val="24"/>
        </w:rPr>
        <w:t xml:space="preserve"> pelos atos praticados, sendo, portanto, p</w:t>
      </w:r>
      <w:r>
        <w:rPr>
          <w:rFonts w:ascii="Times New Roman" w:hAnsi="Times New Roman" w:cs="Times New Roman"/>
          <w:sz w:val="24"/>
          <w:szCs w:val="24"/>
        </w:rPr>
        <w:t>arte legítima para figurar no po</w:t>
      </w:r>
      <w:r w:rsidRPr="002D64AC">
        <w:rPr>
          <w:rFonts w:ascii="Times New Roman" w:hAnsi="Times New Roman" w:cs="Times New Roman"/>
          <w:sz w:val="24"/>
          <w:szCs w:val="24"/>
        </w:rPr>
        <w:t>lo passivo da ação, seja sozinho, seja na companhia de quem ordenou a pr</w:t>
      </w:r>
      <w:r>
        <w:rPr>
          <w:rFonts w:ascii="Times New Roman" w:hAnsi="Times New Roman" w:cs="Times New Roman"/>
          <w:sz w:val="24"/>
          <w:szCs w:val="24"/>
        </w:rPr>
        <w:t>ática de tais atos (seu patrão)” (ARAÚJO FILHO, 2009), revogando parte do que instituiu o artigo 63 do CPC em 1973. Dessa forma, ainda segundo ARAÚJO FILHO, atendendo “</w:t>
      </w:r>
      <w:r w:rsidRPr="002D64AC">
        <w:rPr>
          <w:rFonts w:ascii="Times New Roman" w:hAnsi="Times New Roman" w:cs="Times New Roman"/>
          <w:sz w:val="24"/>
          <w:szCs w:val="24"/>
        </w:rPr>
        <w:t>o princípio da economia e da celeridade processual e ainda ao princípio da efetividade da tutela jurisdicional</w:t>
      </w:r>
      <w:r>
        <w:rPr>
          <w:rFonts w:ascii="Times New Roman" w:hAnsi="Times New Roman" w:cs="Times New Roman"/>
          <w:sz w:val="24"/>
          <w:szCs w:val="24"/>
        </w:rPr>
        <w:t>”.</w:t>
      </w:r>
    </w:p>
    <w:p w:rsidR="002D64AC" w:rsidRDefault="002D64AC" w:rsidP="002B177D">
      <w:pPr>
        <w:spacing w:before="240"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2B177D" w:rsidRDefault="002B177D" w:rsidP="008235DD">
      <w:pPr>
        <w:pStyle w:val="PargrafodaLista"/>
        <w:spacing w:after="0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783772" w:rsidRPr="00F97918" w:rsidRDefault="00EA792C" w:rsidP="00EA792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97918">
        <w:rPr>
          <w:rFonts w:ascii="Times New Roman" w:hAnsi="Times New Roman" w:cs="Times New Roman"/>
          <w:b/>
          <w:sz w:val="24"/>
          <w:szCs w:val="24"/>
        </w:rPr>
        <w:t>6</w:t>
      </w:r>
      <w:proofErr w:type="gramEnd"/>
      <w:r w:rsidR="00C80B64" w:rsidRPr="00F979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3772" w:rsidRPr="00F97918">
        <w:rPr>
          <w:rFonts w:ascii="Times New Roman" w:hAnsi="Times New Roman" w:cs="Times New Roman"/>
          <w:b/>
          <w:sz w:val="24"/>
          <w:szCs w:val="24"/>
        </w:rPr>
        <w:t>CONSIDERAÇÕES FINAIS</w:t>
      </w:r>
    </w:p>
    <w:p w:rsidR="00B20C62" w:rsidRDefault="00B20C62"/>
    <w:p w:rsidR="00EA0340" w:rsidRDefault="00AD7DE9" w:rsidP="002B6EFB">
      <w:pPr>
        <w:spacing w:before="24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Diante do exposto</w:t>
      </w:r>
      <w:r w:rsidR="00435863">
        <w:rPr>
          <w:rFonts w:ascii="Times New Roman" w:hAnsi="Times New Roman" w:cs="Times New Roman"/>
          <w:sz w:val="24"/>
          <w:szCs w:val="24"/>
        </w:rPr>
        <w:t xml:space="preserve">, tendo em vista a regra imposta pelo Código Civil, quando o titular do direito ajuizar a ação indenizatória em face daquele que praticou os atos por ordem de terceiro, deverá chama-lo para compor o polo passivo juntamente com ele, pois os dois são responsáveis pelos atos lesivos. </w:t>
      </w:r>
      <w:r w:rsidR="002B6EFB">
        <w:rPr>
          <w:rFonts w:ascii="Times New Roman" w:hAnsi="Times New Roman" w:cs="Times New Roman"/>
          <w:sz w:val="24"/>
          <w:szCs w:val="24"/>
        </w:rPr>
        <w:t>“</w:t>
      </w:r>
      <w:r w:rsidR="002B6EFB" w:rsidRPr="002B6EFB">
        <w:rPr>
          <w:rFonts w:ascii="Times New Roman" w:hAnsi="Times New Roman" w:cs="Times New Roman"/>
          <w:sz w:val="24"/>
          <w:szCs w:val="24"/>
        </w:rPr>
        <w:t xml:space="preserve">O Chamamento ao Processo seria o meio idôneo para fazer com que devedores solidários componham a relação processual e, a partir de então, defendam-se e, se for o caso, </w:t>
      </w:r>
      <w:proofErr w:type="gramStart"/>
      <w:r w:rsidR="002B6EFB" w:rsidRPr="002B6EFB">
        <w:rPr>
          <w:rFonts w:ascii="Times New Roman" w:hAnsi="Times New Roman" w:cs="Times New Roman"/>
          <w:sz w:val="24"/>
          <w:szCs w:val="24"/>
        </w:rPr>
        <w:t>sejam responsabilizados</w:t>
      </w:r>
      <w:proofErr w:type="gramEnd"/>
      <w:r w:rsidR="002B6EFB" w:rsidRPr="002B6EFB">
        <w:rPr>
          <w:rFonts w:ascii="Times New Roman" w:hAnsi="Times New Roman" w:cs="Times New Roman"/>
          <w:sz w:val="24"/>
          <w:szCs w:val="24"/>
        </w:rPr>
        <w:t xml:space="preserve"> pela prática do ato cometido contra o autor da ação de indenização.</w:t>
      </w:r>
      <w:r w:rsidR="002B6EFB">
        <w:rPr>
          <w:rFonts w:ascii="Times New Roman" w:hAnsi="Times New Roman" w:cs="Times New Roman"/>
          <w:sz w:val="24"/>
          <w:szCs w:val="24"/>
        </w:rPr>
        <w:t>” (ARAÚJO FILHO, 2009).</w:t>
      </w:r>
    </w:p>
    <w:p w:rsidR="00435863" w:rsidRDefault="00435863" w:rsidP="008235DD">
      <w:pPr>
        <w:spacing w:before="24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Sendo a primeira parte do artigo 63 do CPC incompatível com o artigo 942 do CC, e aplica</w:t>
      </w:r>
      <w:r w:rsidR="002B6EFB">
        <w:rPr>
          <w:rFonts w:ascii="Times New Roman" w:hAnsi="Times New Roman" w:cs="Times New Roman"/>
          <w:sz w:val="24"/>
          <w:szCs w:val="24"/>
        </w:rPr>
        <w:t>-se assim</w:t>
      </w:r>
      <w:r>
        <w:rPr>
          <w:rFonts w:ascii="Times New Roman" w:hAnsi="Times New Roman" w:cs="Times New Roman"/>
          <w:sz w:val="24"/>
          <w:szCs w:val="24"/>
        </w:rPr>
        <w:t xml:space="preserve"> o artigo 2º, §1º da Lei de Introdução do Código Civil, onde “</w:t>
      </w:r>
      <w:r w:rsidRPr="00435863">
        <w:rPr>
          <w:rFonts w:ascii="Times New Roman" w:hAnsi="Times New Roman" w:cs="Times New Roman"/>
          <w:i/>
          <w:sz w:val="24"/>
          <w:szCs w:val="24"/>
        </w:rPr>
        <w:t>a lei posterior</w:t>
      </w:r>
      <w:r>
        <w:rPr>
          <w:rFonts w:ascii="Times New Roman" w:hAnsi="Times New Roman" w:cs="Times New Roman"/>
          <w:i/>
          <w:sz w:val="24"/>
          <w:szCs w:val="24"/>
        </w:rPr>
        <w:t xml:space="preserve"> revoga a anterior quando expressamente o declare, quando seja com ela incompatível ou quando regule inteiramente a matéria de que tratava a lei anterior</w:t>
      </w:r>
      <w:r>
        <w:rPr>
          <w:rFonts w:ascii="Times New Roman" w:hAnsi="Times New Roman" w:cs="Times New Roman"/>
          <w:sz w:val="24"/>
          <w:szCs w:val="24"/>
        </w:rPr>
        <w:t xml:space="preserve">”.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BF1AB3" w:rsidRDefault="00BF1AB3"/>
    <w:p w:rsidR="00EA0340" w:rsidRDefault="00EA0340"/>
    <w:p w:rsidR="00EA0340" w:rsidRDefault="00EA0340"/>
    <w:p w:rsidR="00BF1AB3" w:rsidRDefault="00BF1AB3"/>
    <w:p w:rsidR="00BF1AB3" w:rsidRDefault="00BF1AB3"/>
    <w:p w:rsidR="00000AAE" w:rsidRDefault="00000AAE"/>
    <w:p w:rsidR="00000AAE" w:rsidRDefault="00000AAE"/>
    <w:p w:rsidR="00000AAE" w:rsidRDefault="00000AAE"/>
    <w:p w:rsidR="00000AAE" w:rsidRDefault="00000AAE"/>
    <w:p w:rsidR="00000AAE" w:rsidRDefault="00000AAE"/>
    <w:p w:rsidR="00000AAE" w:rsidRDefault="00000AAE"/>
    <w:p w:rsidR="00000AAE" w:rsidRDefault="00000AAE"/>
    <w:p w:rsidR="00000AAE" w:rsidRDefault="00000AAE"/>
    <w:p w:rsidR="00000AAE" w:rsidRDefault="00000AAE"/>
    <w:p w:rsidR="00000AAE" w:rsidRDefault="00000AAE"/>
    <w:p w:rsidR="00000AAE" w:rsidRDefault="00000AAE"/>
    <w:p w:rsidR="00000AAE" w:rsidRDefault="00000AAE"/>
    <w:p w:rsidR="00000AAE" w:rsidRDefault="00000AAE"/>
    <w:p w:rsidR="00000AAE" w:rsidRDefault="00000AAE"/>
    <w:p w:rsidR="00000AAE" w:rsidRDefault="00000AAE"/>
    <w:p w:rsidR="00F97565" w:rsidRDefault="00F97565"/>
    <w:p w:rsidR="00F97565" w:rsidRDefault="00F97565"/>
    <w:p w:rsidR="00F97565" w:rsidRDefault="00F97565"/>
    <w:p w:rsidR="00F97565" w:rsidRDefault="00F97565"/>
    <w:p w:rsidR="00DA420C" w:rsidRDefault="00DA420C" w:rsidP="00DA420C">
      <w:pPr>
        <w:jc w:val="center"/>
        <w:rPr>
          <w:rFonts w:ascii="Times New Roman" w:hAnsi="Times New Roman" w:cs="Times New Roman"/>
          <w:sz w:val="24"/>
          <w:szCs w:val="24"/>
        </w:rPr>
      </w:pPr>
      <w:r w:rsidRPr="00DA420C">
        <w:rPr>
          <w:rFonts w:ascii="Times New Roman" w:hAnsi="Times New Roman" w:cs="Times New Roman"/>
          <w:sz w:val="24"/>
          <w:szCs w:val="24"/>
        </w:rPr>
        <w:lastRenderedPageBreak/>
        <w:t>REFERÊNCIAS BIBLIOGRÁFICAS</w:t>
      </w:r>
    </w:p>
    <w:p w:rsidR="002C3F22" w:rsidRDefault="002C3F22" w:rsidP="00DA420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915B4" w:rsidRDefault="001915B4" w:rsidP="00000A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ARAÚJO FILHO, Arnaldo Correia de. </w:t>
      </w:r>
      <w:r w:rsidRPr="002B4B4D">
        <w:rPr>
          <w:rFonts w:ascii="Times New Roman" w:hAnsi="Times New Roman" w:cs="Times New Roman"/>
          <w:sz w:val="24"/>
          <w:szCs w:val="24"/>
        </w:rPr>
        <w:t>Artigo 63 do CPC</w:t>
      </w:r>
      <w:r>
        <w:rPr>
          <w:rFonts w:ascii="Times New Roman" w:hAnsi="Times New Roman" w:cs="Times New Roman"/>
          <w:sz w:val="24"/>
          <w:szCs w:val="24"/>
        </w:rPr>
        <w:t xml:space="preserve">: Nomeação à Autoria ou Chamamento ao Processo? </w:t>
      </w:r>
      <w:r w:rsidRPr="002B4B4D">
        <w:rPr>
          <w:rFonts w:ascii="Times New Roman" w:hAnsi="Times New Roman" w:cs="Times New Roman"/>
          <w:b/>
          <w:sz w:val="24"/>
          <w:szCs w:val="24"/>
        </w:rPr>
        <w:t>Revista Consultor Jurídico</w:t>
      </w:r>
      <w:r>
        <w:rPr>
          <w:rFonts w:ascii="Times New Roman" w:hAnsi="Times New Roman" w:cs="Times New Roman"/>
          <w:sz w:val="24"/>
          <w:szCs w:val="24"/>
        </w:rPr>
        <w:t>: 15 jun. 2009. Disponível em: &lt;</w:t>
      </w:r>
      <w:r w:rsidRPr="001915B4">
        <w:rPr>
          <w:rFonts w:ascii="Times New Roman" w:hAnsi="Times New Roman" w:cs="Times New Roman"/>
          <w:sz w:val="24"/>
          <w:szCs w:val="24"/>
        </w:rPr>
        <w:t>http://www.conjur.com.br/2009-jun-15/artigo-63-cpc-nomeacao-autoria-ou-chamamento-processo</w:t>
      </w:r>
      <w:r>
        <w:rPr>
          <w:rFonts w:ascii="Times New Roman" w:hAnsi="Times New Roman" w:cs="Times New Roman"/>
          <w:sz w:val="24"/>
          <w:szCs w:val="24"/>
        </w:rPr>
        <w:t>&gt;. Acesso em: 10 mai. 2012.</w:t>
      </w:r>
    </w:p>
    <w:p w:rsidR="001915B4" w:rsidRDefault="001915B4" w:rsidP="00000A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AAE" w:rsidRDefault="00000AAE" w:rsidP="00000A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AAE" w:rsidRDefault="00000AAE" w:rsidP="00000AAE">
      <w:pPr>
        <w:pStyle w:val="NormalWeb"/>
        <w:spacing w:before="0" w:beforeAutospacing="0" w:after="0" w:afterAutospacing="0"/>
      </w:pPr>
      <w:r>
        <w:t xml:space="preserve">BRASIL. Lei nº 10.406, de 10 de janeiro de 2002. Institui o Código Civil. </w:t>
      </w:r>
      <w:r w:rsidRPr="00000AAE">
        <w:rPr>
          <w:b/>
        </w:rPr>
        <w:t>Diário Oficial da União</w:t>
      </w:r>
      <w:r>
        <w:t>, Poder Executivo, Brasília, DF, 11 jan. 2002.</w:t>
      </w:r>
    </w:p>
    <w:p w:rsidR="00000AAE" w:rsidRDefault="00000AAE" w:rsidP="00000AAE">
      <w:pPr>
        <w:pStyle w:val="NormalWeb"/>
        <w:spacing w:before="0" w:beforeAutospacing="0" w:after="0" w:afterAutospacing="0"/>
      </w:pPr>
    </w:p>
    <w:p w:rsidR="00000AAE" w:rsidRDefault="00000AAE" w:rsidP="00000AAE">
      <w:pPr>
        <w:pStyle w:val="NormalWeb"/>
        <w:spacing w:before="0" w:beforeAutospacing="0" w:after="0" w:afterAutospacing="0"/>
      </w:pPr>
    </w:p>
    <w:p w:rsidR="00000AAE" w:rsidRDefault="00000AAE" w:rsidP="00000AAE">
      <w:pPr>
        <w:pStyle w:val="NormalWeb"/>
        <w:spacing w:before="0" w:beforeAutospacing="0" w:after="0" w:afterAutospacing="0"/>
      </w:pPr>
      <w:r>
        <w:t xml:space="preserve">BRASIL. Lei nº 5.869, de 11 de janeiro de 1973. Institui o Código de Processo Civil. </w:t>
      </w:r>
      <w:r w:rsidRPr="00000AAE">
        <w:rPr>
          <w:b/>
        </w:rPr>
        <w:t>Diário Oficial da União</w:t>
      </w:r>
      <w:r>
        <w:t>, Poder Executivo, Brasília, DF, 17 jan. 1973.</w:t>
      </w:r>
    </w:p>
    <w:p w:rsidR="00000AAE" w:rsidRDefault="00000AAE" w:rsidP="00000A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AAE" w:rsidRPr="00DA420C" w:rsidRDefault="00000AAE" w:rsidP="00000A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420C" w:rsidRDefault="00DA420C" w:rsidP="00000A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420C">
        <w:rPr>
          <w:rFonts w:ascii="Times New Roman" w:hAnsi="Times New Roman" w:cs="Times New Roman"/>
          <w:sz w:val="24"/>
          <w:szCs w:val="24"/>
        </w:rPr>
        <w:t xml:space="preserve">CÂMARA, Alexandre Freitas. </w:t>
      </w:r>
      <w:r w:rsidRPr="00DA420C">
        <w:rPr>
          <w:rFonts w:ascii="Times New Roman" w:hAnsi="Times New Roman" w:cs="Times New Roman"/>
          <w:b/>
          <w:sz w:val="24"/>
          <w:szCs w:val="24"/>
        </w:rPr>
        <w:t xml:space="preserve">Lições de Direito Processual </w:t>
      </w:r>
      <w:proofErr w:type="gramStart"/>
      <w:r w:rsidRPr="00DA420C">
        <w:rPr>
          <w:rFonts w:ascii="Times New Roman" w:hAnsi="Times New Roman" w:cs="Times New Roman"/>
          <w:b/>
          <w:sz w:val="24"/>
          <w:szCs w:val="24"/>
        </w:rPr>
        <w:t>Civil</w:t>
      </w:r>
      <w:r w:rsidRPr="00DA420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A420C">
        <w:rPr>
          <w:rFonts w:ascii="Times New Roman" w:hAnsi="Times New Roman" w:cs="Times New Roman"/>
          <w:sz w:val="24"/>
          <w:szCs w:val="24"/>
        </w:rPr>
        <w:t xml:space="preserve">16 ed. Rio de Janeiro: Ed. </w:t>
      </w:r>
      <w:proofErr w:type="spellStart"/>
      <w:r w:rsidRPr="00DA420C">
        <w:rPr>
          <w:rFonts w:ascii="Times New Roman" w:hAnsi="Times New Roman" w:cs="Times New Roman"/>
          <w:sz w:val="24"/>
          <w:szCs w:val="24"/>
        </w:rPr>
        <w:t>Lumen</w:t>
      </w:r>
      <w:proofErr w:type="spellEnd"/>
      <w:r w:rsidRPr="00DA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420C">
        <w:rPr>
          <w:rFonts w:ascii="Times New Roman" w:hAnsi="Times New Roman" w:cs="Times New Roman"/>
          <w:sz w:val="24"/>
          <w:szCs w:val="24"/>
        </w:rPr>
        <w:t>Juris</w:t>
      </w:r>
      <w:proofErr w:type="spellEnd"/>
      <w:r w:rsidRPr="00DA420C">
        <w:rPr>
          <w:rFonts w:ascii="Times New Roman" w:hAnsi="Times New Roman" w:cs="Times New Roman"/>
          <w:sz w:val="24"/>
          <w:szCs w:val="24"/>
        </w:rPr>
        <w:t xml:space="preserve">, 2007. </w:t>
      </w:r>
      <w:proofErr w:type="gramStart"/>
      <w:r w:rsidRPr="00DA420C">
        <w:rPr>
          <w:rFonts w:ascii="Times New Roman" w:hAnsi="Times New Roman" w:cs="Times New Roman"/>
          <w:sz w:val="24"/>
          <w:szCs w:val="24"/>
        </w:rPr>
        <w:t>p.</w:t>
      </w:r>
      <w:proofErr w:type="gramEnd"/>
      <w:r w:rsidRPr="00DA420C">
        <w:rPr>
          <w:rFonts w:ascii="Times New Roman" w:hAnsi="Times New Roman" w:cs="Times New Roman"/>
          <w:sz w:val="24"/>
          <w:szCs w:val="24"/>
        </w:rPr>
        <w:t xml:space="preserve"> 188-222. </w:t>
      </w:r>
    </w:p>
    <w:p w:rsidR="001706C2" w:rsidRDefault="001706C2" w:rsidP="00000A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06C2" w:rsidRPr="00DA420C" w:rsidRDefault="001706C2" w:rsidP="00000A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420C" w:rsidRDefault="00DA420C" w:rsidP="00000A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420C">
        <w:rPr>
          <w:rFonts w:ascii="Times New Roman" w:hAnsi="Times New Roman" w:cs="Times New Roman"/>
          <w:sz w:val="24"/>
          <w:szCs w:val="24"/>
        </w:rPr>
        <w:t xml:space="preserve">DIDIER JR., Fredie. </w:t>
      </w:r>
      <w:r w:rsidRPr="00DA420C">
        <w:rPr>
          <w:rFonts w:ascii="Times New Roman" w:hAnsi="Times New Roman" w:cs="Times New Roman"/>
          <w:b/>
          <w:iCs/>
          <w:sz w:val="24"/>
          <w:szCs w:val="24"/>
        </w:rPr>
        <w:t>Curso de direito processual civil</w:t>
      </w:r>
      <w:r w:rsidRPr="00DA420C">
        <w:rPr>
          <w:rFonts w:ascii="Times New Roman" w:hAnsi="Times New Roman" w:cs="Times New Roman"/>
          <w:sz w:val="24"/>
          <w:szCs w:val="24"/>
        </w:rPr>
        <w:t xml:space="preserve">. Vol. 1. Salvador: </w:t>
      </w:r>
      <w:proofErr w:type="spellStart"/>
      <w:r w:rsidRPr="00DA420C">
        <w:rPr>
          <w:rFonts w:ascii="Times New Roman" w:hAnsi="Times New Roman" w:cs="Times New Roman"/>
          <w:sz w:val="24"/>
          <w:szCs w:val="24"/>
        </w:rPr>
        <w:t>Juspodivm</w:t>
      </w:r>
      <w:proofErr w:type="spellEnd"/>
      <w:r w:rsidRPr="00DA420C">
        <w:rPr>
          <w:rFonts w:ascii="Times New Roman" w:hAnsi="Times New Roman" w:cs="Times New Roman"/>
          <w:sz w:val="24"/>
          <w:szCs w:val="24"/>
        </w:rPr>
        <w:t xml:space="preserve">. 2011. </w:t>
      </w:r>
      <w:proofErr w:type="gramStart"/>
      <w:r w:rsidRPr="00DA420C">
        <w:rPr>
          <w:rFonts w:ascii="Times New Roman" w:hAnsi="Times New Roman" w:cs="Times New Roman"/>
          <w:sz w:val="24"/>
          <w:szCs w:val="24"/>
        </w:rPr>
        <w:t>cap.</w:t>
      </w:r>
      <w:proofErr w:type="gramEnd"/>
      <w:r w:rsidRPr="00DA420C">
        <w:rPr>
          <w:rFonts w:ascii="Times New Roman" w:hAnsi="Times New Roman" w:cs="Times New Roman"/>
          <w:sz w:val="24"/>
          <w:szCs w:val="24"/>
        </w:rPr>
        <w:t xml:space="preserve"> XII, p. 349-420.</w:t>
      </w:r>
    </w:p>
    <w:p w:rsidR="001706C2" w:rsidRDefault="001706C2" w:rsidP="00000A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06C2" w:rsidRPr="00DA420C" w:rsidRDefault="001706C2" w:rsidP="00000A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420C" w:rsidRPr="00DA420C" w:rsidRDefault="00DA420C" w:rsidP="00000A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420C">
        <w:rPr>
          <w:rFonts w:ascii="Times New Roman" w:hAnsi="Times New Roman" w:cs="Times New Roman"/>
          <w:sz w:val="24"/>
          <w:szCs w:val="24"/>
        </w:rPr>
        <w:t xml:space="preserve">DINAMARCO, Cândido Rangel. </w:t>
      </w:r>
      <w:r w:rsidRPr="00DA420C">
        <w:rPr>
          <w:rFonts w:ascii="Times New Roman" w:hAnsi="Times New Roman" w:cs="Times New Roman"/>
          <w:b/>
          <w:sz w:val="24"/>
          <w:szCs w:val="24"/>
        </w:rPr>
        <w:t>Intervenção de Terceiros</w:t>
      </w:r>
      <w:r w:rsidRPr="00DA420C">
        <w:rPr>
          <w:rFonts w:ascii="Times New Roman" w:hAnsi="Times New Roman" w:cs="Times New Roman"/>
          <w:sz w:val="24"/>
          <w:szCs w:val="24"/>
        </w:rPr>
        <w:t xml:space="preserve">. 5ª ed. São Paulo: Ed. Malheiros, 2009. </w:t>
      </w:r>
    </w:p>
    <w:p w:rsidR="00DA420C" w:rsidRDefault="00DA420C" w:rsidP="00000AAE">
      <w:pPr>
        <w:spacing w:after="0" w:line="240" w:lineRule="auto"/>
      </w:pPr>
    </w:p>
    <w:p w:rsidR="001227F1" w:rsidRDefault="001227F1" w:rsidP="00000AAE">
      <w:pPr>
        <w:spacing w:after="0" w:line="240" w:lineRule="auto"/>
      </w:pPr>
    </w:p>
    <w:p w:rsidR="001227F1" w:rsidRPr="001227F1" w:rsidRDefault="001227F1" w:rsidP="00000A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27F1">
        <w:rPr>
          <w:rFonts w:ascii="Times New Roman" w:hAnsi="Times New Roman" w:cs="Times New Roman"/>
          <w:sz w:val="24"/>
          <w:szCs w:val="24"/>
        </w:rPr>
        <w:t xml:space="preserve">MARINONI, Luiz Guilherme; ARENHART, Sérgio Cruz. </w:t>
      </w:r>
      <w:r w:rsidRPr="001227F1">
        <w:rPr>
          <w:rFonts w:ascii="Times New Roman" w:hAnsi="Times New Roman" w:cs="Times New Roman"/>
          <w:b/>
          <w:sz w:val="24"/>
          <w:szCs w:val="24"/>
        </w:rPr>
        <w:t>Processo de Conhecimento</w:t>
      </w:r>
      <w:r w:rsidRPr="001227F1">
        <w:rPr>
          <w:rFonts w:ascii="Times New Roman" w:hAnsi="Times New Roman" w:cs="Times New Roman"/>
          <w:sz w:val="24"/>
          <w:szCs w:val="24"/>
        </w:rPr>
        <w:t xml:space="preserve">. 9ª ed. v. 2.  São Paulo: Revista dos Tribunais, 2010. </w:t>
      </w:r>
      <w:proofErr w:type="gramStart"/>
      <w:r w:rsidRPr="001227F1">
        <w:rPr>
          <w:rFonts w:ascii="Times New Roman" w:hAnsi="Times New Roman" w:cs="Times New Roman"/>
          <w:sz w:val="24"/>
          <w:szCs w:val="24"/>
        </w:rPr>
        <w:t>cap.</w:t>
      </w:r>
      <w:proofErr w:type="gramEnd"/>
      <w:r w:rsidRPr="001227F1">
        <w:rPr>
          <w:rFonts w:ascii="Times New Roman" w:hAnsi="Times New Roman" w:cs="Times New Roman"/>
          <w:sz w:val="24"/>
          <w:szCs w:val="24"/>
        </w:rPr>
        <w:t xml:space="preserve"> 7, p. 161-190. </w:t>
      </w:r>
    </w:p>
    <w:p w:rsidR="001706C2" w:rsidRDefault="001706C2" w:rsidP="00000AAE">
      <w:pPr>
        <w:spacing w:after="0" w:line="240" w:lineRule="auto"/>
      </w:pPr>
    </w:p>
    <w:p w:rsidR="001227F1" w:rsidRDefault="001227F1" w:rsidP="00000AAE">
      <w:pPr>
        <w:spacing w:after="0" w:line="240" w:lineRule="auto"/>
      </w:pPr>
    </w:p>
    <w:p w:rsidR="001706C2" w:rsidRDefault="001706C2" w:rsidP="00000A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WAMBIER, Luiz Rodrigues. </w:t>
      </w:r>
      <w:r w:rsidRPr="001706C2">
        <w:rPr>
          <w:rFonts w:ascii="Times New Roman" w:hAnsi="Times New Roman" w:cs="Times New Roman"/>
          <w:b/>
          <w:sz w:val="24"/>
          <w:szCs w:val="24"/>
        </w:rPr>
        <w:t>Curso Avançado de Processo Civil</w:t>
      </w:r>
      <w:r>
        <w:rPr>
          <w:rFonts w:ascii="Times New Roman" w:hAnsi="Times New Roman" w:cs="Times New Roman"/>
          <w:sz w:val="24"/>
          <w:szCs w:val="24"/>
        </w:rPr>
        <w:t xml:space="preserve">: Teoria Geral do Processo e Processo de Conhecimento. </w:t>
      </w:r>
      <w:proofErr w:type="gramStart"/>
      <w:r>
        <w:rPr>
          <w:rFonts w:ascii="Times New Roman" w:hAnsi="Times New Roman" w:cs="Times New Roman"/>
          <w:sz w:val="24"/>
          <w:szCs w:val="24"/>
        </w:rPr>
        <w:t>v.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1. São Paulo: Revista dos Tribunais, 2007. </w:t>
      </w:r>
      <w:proofErr w:type="gramStart"/>
      <w:r>
        <w:rPr>
          <w:rFonts w:ascii="Times New Roman" w:hAnsi="Times New Roman" w:cs="Times New Roman"/>
          <w:sz w:val="24"/>
          <w:szCs w:val="24"/>
        </w:rPr>
        <w:t>cap.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20, p. 256-281. </w:t>
      </w:r>
    </w:p>
    <w:p w:rsidR="00374817" w:rsidRDefault="00374817" w:rsidP="00000A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4817" w:rsidRPr="001706C2" w:rsidRDefault="00374817" w:rsidP="00000A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74817" w:rsidRPr="001706C2" w:rsidSect="00783772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1A75" w:rsidRDefault="00A01A75" w:rsidP="00783772">
      <w:pPr>
        <w:spacing w:after="0" w:line="240" w:lineRule="auto"/>
      </w:pPr>
      <w:r>
        <w:separator/>
      </w:r>
    </w:p>
  </w:endnote>
  <w:endnote w:type="continuationSeparator" w:id="0">
    <w:p w:rsidR="00A01A75" w:rsidRDefault="00A01A75" w:rsidP="00783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F6F" w:rsidRDefault="004F3F6F">
    <w:pPr>
      <w:pStyle w:val="Rodap"/>
    </w:pPr>
    <w:r>
      <w:rPr>
        <w:sz w:val="20"/>
        <w:szCs w:val="20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F6F" w:rsidRPr="00783772" w:rsidRDefault="004F3F6F" w:rsidP="00783772">
    <w:pPr>
      <w:pStyle w:val="Rodap"/>
      <w:rPr>
        <w:rFonts w:ascii="Times New Roman" w:hAnsi="Times New Roman" w:cs="Times New Roman"/>
        <w:sz w:val="20"/>
        <w:szCs w:val="20"/>
      </w:rPr>
    </w:pPr>
    <w:r w:rsidRPr="00783772">
      <w:rPr>
        <w:rFonts w:ascii="Times New Roman" w:hAnsi="Times New Roman" w:cs="Times New Roman"/>
        <w:sz w:val="20"/>
        <w:szCs w:val="20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1A75" w:rsidRDefault="00A01A75" w:rsidP="00783772">
      <w:pPr>
        <w:spacing w:after="0" w:line="240" w:lineRule="auto"/>
      </w:pPr>
      <w:r>
        <w:separator/>
      </w:r>
    </w:p>
  </w:footnote>
  <w:footnote w:type="continuationSeparator" w:id="0">
    <w:p w:rsidR="00A01A75" w:rsidRDefault="00A01A75" w:rsidP="007837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41056"/>
      <w:docPartObj>
        <w:docPartGallery w:val="Page Numbers (Top of Page)"/>
        <w:docPartUnique/>
      </w:docPartObj>
    </w:sdtPr>
    <w:sdtContent>
      <w:p w:rsidR="00EA0340" w:rsidRDefault="000677D9">
        <w:pPr>
          <w:pStyle w:val="Cabealho"/>
          <w:jc w:val="right"/>
          <w:rPr>
            <w:color w:val="4F81BD" w:themeColor="accent1"/>
            <w:sz w:val="28"/>
            <w:szCs w:val="28"/>
          </w:rPr>
        </w:pPr>
        <w:fldSimple w:instr=" PAGE  \* ROMAN  \* MERGEFORMAT ">
          <w:r w:rsidR="00A65129" w:rsidRPr="00A65129">
            <w:rPr>
              <w:noProof/>
              <w:sz w:val="28"/>
              <w:szCs w:val="28"/>
            </w:rPr>
            <w:t>II</w:t>
          </w:r>
        </w:fldSimple>
      </w:p>
    </w:sdtContent>
  </w:sdt>
  <w:p w:rsidR="004F3F6F" w:rsidRDefault="004F3F6F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1808"/>
      <w:docPartObj>
        <w:docPartGallery w:val="Page Numbers (Top of Page)"/>
        <w:docPartUnique/>
      </w:docPartObj>
    </w:sdtPr>
    <w:sdtContent>
      <w:p w:rsidR="004F3F6F" w:rsidRDefault="000677D9">
        <w:pPr>
          <w:pStyle w:val="Cabealho"/>
          <w:jc w:val="right"/>
        </w:pPr>
        <w:fldSimple w:instr=" PAGE   \* MERGEFORMAT ">
          <w:r w:rsidR="00A65129">
            <w:rPr>
              <w:noProof/>
            </w:rPr>
            <w:t>1</w:t>
          </w:r>
        </w:fldSimple>
      </w:p>
    </w:sdtContent>
  </w:sdt>
  <w:p w:rsidR="004F3F6F" w:rsidRDefault="004F3F6F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4C6562"/>
    <w:multiLevelType w:val="hybridMultilevel"/>
    <w:tmpl w:val="AFBE9E1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FC0F9E"/>
    <w:multiLevelType w:val="hybridMultilevel"/>
    <w:tmpl w:val="5686E5A0"/>
    <w:lvl w:ilvl="0" w:tplc="74127A1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0C273C"/>
    <w:multiLevelType w:val="hybridMultilevel"/>
    <w:tmpl w:val="FEC42B2C"/>
    <w:lvl w:ilvl="0" w:tplc="F1F4B024">
      <w:start w:val="4"/>
      <w:numFmt w:val="decimal"/>
      <w:lvlText w:val="%1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710E747D"/>
    <w:multiLevelType w:val="hybridMultilevel"/>
    <w:tmpl w:val="B50860DC"/>
    <w:lvl w:ilvl="0" w:tplc="67B62F5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522A"/>
    <w:rsid w:val="00000AAE"/>
    <w:rsid w:val="00024D68"/>
    <w:rsid w:val="0002692B"/>
    <w:rsid w:val="00051806"/>
    <w:rsid w:val="000677D9"/>
    <w:rsid w:val="000E57AA"/>
    <w:rsid w:val="0010240A"/>
    <w:rsid w:val="00114FA9"/>
    <w:rsid w:val="001227F1"/>
    <w:rsid w:val="001706C2"/>
    <w:rsid w:val="00180408"/>
    <w:rsid w:val="00182616"/>
    <w:rsid w:val="00185FB7"/>
    <w:rsid w:val="001915B4"/>
    <w:rsid w:val="00192C51"/>
    <w:rsid w:val="001A7AD5"/>
    <w:rsid w:val="001E10CF"/>
    <w:rsid w:val="001F0D83"/>
    <w:rsid w:val="001F7998"/>
    <w:rsid w:val="00206C06"/>
    <w:rsid w:val="00230096"/>
    <w:rsid w:val="002350A2"/>
    <w:rsid w:val="00267138"/>
    <w:rsid w:val="00285DFE"/>
    <w:rsid w:val="002B177D"/>
    <w:rsid w:val="002B4B4D"/>
    <w:rsid w:val="002B6EFB"/>
    <w:rsid w:val="002C3F22"/>
    <w:rsid w:val="002D64AC"/>
    <w:rsid w:val="002E52F8"/>
    <w:rsid w:val="00302E91"/>
    <w:rsid w:val="00303DBE"/>
    <w:rsid w:val="003114E3"/>
    <w:rsid w:val="003227E9"/>
    <w:rsid w:val="0032713F"/>
    <w:rsid w:val="00374817"/>
    <w:rsid w:val="00380D6E"/>
    <w:rsid w:val="00394111"/>
    <w:rsid w:val="0039522A"/>
    <w:rsid w:val="003A1ACD"/>
    <w:rsid w:val="003C3B7E"/>
    <w:rsid w:val="003C59EA"/>
    <w:rsid w:val="003E4488"/>
    <w:rsid w:val="003E4E65"/>
    <w:rsid w:val="003F10DF"/>
    <w:rsid w:val="003F42E7"/>
    <w:rsid w:val="00435863"/>
    <w:rsid w:val="004466D2"/>
    <w:rsid w:val="00472274"/>
    <w:rsid w:val="00494089"/>
    <w:rsid w:val="004A470B"/>
    <w:rsid w:val="004B253D"/>
    <w:rsid w:val="004E325E"/>
    <w:rsid w:val="004F05DC"/>
    <w:rsid w:val="004F3F6F"/>
    <w:rsid w:val="0051387A"/>
    <w:rsid w:val="00521D7B"/>
    <w:rsid w:val="005269C1"/>
    <w:rsid w:val="005312CB"/>
    <w:rsid w:val="005337AB"/>
    <w:rsid w:val="00545C30"/>
    <w:rsid w:val="00545FAC"/>
    <w:rsid w:val="005B0182"/>
    <w:rsid w:val="00607863"/>
    <w:rsid w:val="0066660D"/>
    <w:rsid w:val="006749BD"/>
    <w:rsid w:val="006A1644"/>
    <w:rsid w:val="006A771C"/>
    <w:rsid w:val="00704E9C"/>
    <w:rsid w:val="007338D1"/>
    <w:rsid w:val="00733ABC"/>
    <w:rsid w:val="007476E2"/>
    <w:rsid w:val="00764BFA"/>
    <w:rsid w:val="00783772"/>
    <w:rsid w:val="00787AF1"/>
    <w:rsid w:val="007B02AC"/>
    <w:rsid w:val="007D0207"/>
    <w:rsid w:val="007E1FC0"/>
    <w:rsid w:val="007F1F17"/>
    <w:rsid w:val="008235DD"/>
    <w:rsid w:val="0083564C"/>
    <w:rsid w:val="00845C0D"/>
    <w:rsid w:val="0085097D"/>
    <w:rsid w:val="0087001B"/>
    <w:rsid w:val="0087225E"/>
    <w:rsid w:val="00894A06"/>
    <w:rsid w:val="00896D36"/>
    <w:rsid w:val="008B17B0"/>
    <w:rsid w:val="008E5C55"/>
    <w:rsid w:val="00923E61"/>
    <w:rsid w:val="00941C3E"/>
    <w:rsid w:val="00983284"/>
    <w:rsid w:val="009975A1"/>
    <w:rsid w:val="009D1FE1"/>
    <w:rsid w:val="009D5F13"/>
    <w:rsid w:val="009E3B0D"/>
    <w:rsid w:val="00A01A75"/>
    <w:rsid w:val="00A34B3F"/>
    <w:rsid w:val="00A519A9"/>
    <w:rsid w:val="00A56F70"/>
    <w:rsid w:val="00A65129"/>
    <w:rsid w:val="00A8459B"/>
    <w:rsid w:val="00A97946"/>
    <w:rsid w:val="00AA0139"/>
    <w:rsid w:val="00AD2BEE"/>
    <w:rsid w:val="00AD7DE9"/>
    <w:rsid w:val="00AE1BA6"/>
    <w:rsid w:val="00AE651D"/>
    <w:rsid w:val="00AE6537"/>
    <w:rsid w:val="00B20C62"/>
    <w:rsid w:val="00B359B8"/>
    <w:rsid w:val="00B81ACC"/>
    <w:rsid w:val="00B867AE"/>
    <w:rsid w:val="00B923C4"/>
    <w:rsid w:val="00BA2E80"/>
    <w:rsid w:val="00BF1AB3"/>
    <w:rsid w:val="00C06BC6"/>
    <w:rsid w:val="00C31415"/>
    <w:rsid w:val="00C512E4"/>
    <w:rsid w:val="00C80B64"/>
    <w:rsid w:val="00CC53C4"/>
    <w:rsid w:val="00CD633E"/>
    <w:rsid w:val="00CD678F"/>
    <w:rsid w:val="00CE5FEC"/>
    <w:rsid w:val="00D07EBD"/>
    <w:rsid w:val="00D168A4"/>
    <w:rsid w:val="00D419BC"/>
    <w:rsid w:val="00D90112"/>
    <w:rsid w:val="00DA270B"/>
    <w:rsid w:val="00DA420C"/>
    <w:rsid w:val="00DC07BC"/>
    <w:rsid w:val="00DD2F82"/>
    <w:rsid w:val="00E24FA5"/>
    <w:rsid w:val="00E6414E"/>
    <w:rsid w:val="00E826CA"/>
    <w:rsid w:val="00EA0340"/>
    <w:rsid w:val="00EA49E6"/>
    <w:rsid w:val="00EA792C"/>
    <w:rsid w:val="00EB0230"/>
    <w:rsid w:val="00EE74BA"/>
    <w:rsid w:val="00EF3C19"/>
    <w:rsid w:val="00F168C5"/>
    <w:rsid w:val="00F60069"/>
    <w:rsid w:val="00F62700"/>
    <w:rsid w:val="00F85719"/>
    <w:rsid w:val="00F86DD7"/>
    <w:rsid w:val="00F97565"/>
    <w:rsid w:val="00F97918"/>
    <w:rsid w:val="00FD43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22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837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83772"/>
  </w:style>
  <w:style w:type="paragraph" w:styleId="Rodap">
    <w:name w:val="footer"/>
    <w:basedOn w:val="Normal"/>
    <w:link w:val="RodapChar"/>
    <w:uiPriority w:val="99"/>
    <w:unhideWhenUsed/>
    <w:rsid w:val="007837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83772"/>
  </w:style>
  <w:style w:type="paragraph" w:styleId="Textodebalo">
    <w:name w:val="Balloon Text"/>
    <w:basedOn w:val="Normal"/>
    <w:link w:val="TextodebaloChar"/>
    <w:uiPriority w:val="99"/>
    <w:semiHidden/>
    <w:unhideWhenUsed/>
    <w:rsid w:val="007837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377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8377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783772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915B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C5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3C59EA"/>
    <w:rPr>
      <w:i/>
      <w:iCs/>
    </w:rPr>
  </w:style>
  <w:style w:type="character" w:styleId="Forte">
    <w:name w:val="Strong"/>
    <w:basedOn w:val="Fontepargpadro"/>
    <w:uiPriority w:val="22"/>
    <w:qFormat/>
    <w:rsid w:val="003F42E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73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1163</TotalTime>
  <Pages>8</Pages>
  <Words>2433</Words>
  <Characters>13143</Characters>
  <Application>Microsoft Office Word</Application>
  <DocSecurity>0</DocSecurity>
  <Lines>109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Marine Melo</dc:creator>
  <cp:lastModifiedBy>Marine Melo</cp:lastModifiedBy>
  <cp:revision>74</cp:revision>
  <dcterms:created xsi:type="dcterms:W3CDTF">2012-05-06T21:09:00Z</dcterms:created>
  <dcterms:modified xsi:type="dcterms:W3CDTF">2015-10-21T01:48:00Z</dcterms:modified>
</cp:coreProperties>
</file>