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B6D" w:rsidRPr="00877B6D" w:rsidRDefault="00877B6D" w:rsidP="00877B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77B6D">
        <w:rPr>
          <w:rFonts w:ascii="Times New Roman" w:hAnsi="Times New Roman" w:cs="Times New Roman"/>
          <w:b/>
          <w:sz w:val="24"/>
          <w:szCs w:val="24"/>
        </w:rPr>
        <w:t>Medida de segurança: uma análise critica da sua indeterminação temporal</w:t>
      </w:r>
      <w:r>
        <w:rPr>
          <w:rStyle w:val="Refdenotaderodap"/>
          <w:rFonts w:ascii="Times New Roman" w:hAnsi="Times New Roman" w:cs="Times New Roman"/>
          <w:b/>
          <w:sz w:val="24"/>
          <w:szCs w:val="24"/>
        </w:rPr>
        <w:footnoteReference w:id="1"/>
      </w:r>
    </w:p>
    <w:p w:rsidR="00877B6D" w:rsidRDefault="00877B6D" w:rsidP="00877B6D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77B6D" w:rsidRPr="00E33AF6" w:rsidRDefault="00877B6D" w:rsidP="00877B6D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33AF6">
        <w:rPr>
          <w:rFonts w:ascii="Times New Roman" w:hAnsi="Times New Roman" w:cs="Times New Roman"/>
          <w:i/>
          <w:sz w:val="24"/>
          <w:szCs w:val="24"/>
        </w:rPr>
        <w:t>Luiza Sousa Barros Vieira</w:t>
      </w:r>
      <w:r w:rsidRPr="00E33AF6">
        <w:rPr>
          <w:rStyle w:val="Refdenotaderodap"/>
          <w:rFonts w:ascii="Times New Roman" w:hAnsi="Times New Roman" w:cs="Times New Roman"/>
          <w:i/>
          <w:sz w:val="24"/>
          <w:szCs w:val="24"/>
        </w:rPr>
        <w:footnoteReference w:id="2"/>
      </w:r>
    </w:p>
    <w:p w:rsidR="00877B6D" w:rsidRPr="00E33AF6" w:rsidRDefault="00877B6D" w:rsidP="00877B6D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E33AF6">
        <w:rPr>
          <w:rFonts w:ascii="Times New Roman" w:hAnsi="Times New Roman" w:cs="Times New Roman"/>
          <w:i/>
          <w:color w:val="000000"/>
          <w:sz w:val="24"/>
          <w:szCs w:val="24"/>
        </w:rPr>
        <w:t>Thiciane</w:t>
      </w:r>
      <w:proofErr w:type="spellEnd"/>
      <w:r w:rsidRPr="00E33AF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Teixeira Ribeiro Gonçalves</w:t>
      </w:r>
      <w:r w:rsidRPr="00E33AF6">
        <w:rPr>
          <w:rStyle w:val="Refdenotaderodap"/>
          <w:rFonts w:ascii="Times New Roman" w:hAnsi="Times New Roman" w:cs="Times New Roman"/>
          <w:i/>
          <w:sz w:val="24"/>
          <w:szCs w:val="24"/>
        </w:rPr>
        <w:t xml:space="preserve"> </w:t>
      </w:r>
      <w:r w:rsidRPr="00E33AF6">
        <w:rPr>
          <w:rStyle w:val="Refdenotaderodap"/>
          <w:rFonts w:ascii="Times New Roman" w:hAnsi="Times New Roman" w:cs="Times New Roman"/>
          <w:i/>
          <w:sz w:val="24"/>
          <w:szCs w:val="24"/>
        </w:rPr>
        <w:footnoteReference w:id="3"/>
      </w:r>
    </w:p>
    <w:p w:rsidR="00877B6D" w:rsidRDefault="00877B6D" w:rsidP="00877B6D">
      <w:pPr>
        <w:jc w:val="right"/>
      </w:pPr>
    </w:p>
    <w:p w:rsidR="00877B6D" w:rsidRPr="00E33AF6" w:rsidRDefault="00877B6D" w:rsidP="00512BDA">
      <w:pPr>
        <w:spacing w:after="0"/>
        <w:ind w:left="2835"/>
        <w:jc w:val="both"/>
        <w:rPr>
          <w:rFonts w:ascii="Times New Roman" w:hAnsi="Times New Roman" w:cs="Times New Roman"/>
          <w:sz w:val="20"/>
          <w:szCs w:val="20"/>
        </w:rPr>
      </w:pPr>
      <w:r w:rsidRPr="00E33AF6">
        <w:rPr>
          <w:rFonts w:ascii="Times New Roman" w:hAnsi="Times New Roman" w:cs="Times New Roman"/>
          <w:b/>
          <w:sz w:val="20"/>
          <w:szCs w:val="20"/>
        </w:rPr>
        <w:t>Sumário:</w:t>
      </w:r>
      <w:r w:rsidRPr="00E33AF6">
        <w:rPr>
          <w:rFonts w:ascii="Times New Roman" w:hAnsi="Times New Roman" w:cs="Times New Roman"/>
          <w:sz w:val="20"/>
          <w:szCs w:val="20"/>
        </w:rPr>
        <w:t xml:space="preserve"> Introdução; </w:t>
      </w:r>
      <w:proofErr w:type="gramStart"/>
      <w:r w:rsidRPr="00E33AF6">
        <w:rPr>
          <w:rFonts w:ascii="Times New Roman" w:hAnsi="Times New Roman" w:cs="Times New Roman"/>
          <w:sz w:val="20"/>
          <w:szCs w:val="20"/>
        </w:rPr>
        <w:t>1</w:t>
      </w:r>
      <w:proofErr w:type="gramEnd"/>
      <w:r w:rsidRPr="00E33AF6">
        <w:rPr>
          <w:rFonts w:ascii="Times New Roman" w:hAnsi="Times New Roman" w:cs="Times New Roman"/>
          <w:sz w:val="20"/>
          <w:szCs w:val="20"/>
        </w:rPr>
        <w:t xml:space="preserve">. Medidas de segurança em geral; </w:t>
      </w:r>
      <w:proofErr w:type="gramStart"/>
      <w:r w:rsidRPr="00E33AF6">
        <w:rPr>
          <w:rFonts w:ascii="Times New Roman" w:hAnsi="Times New Roman" w:cs="Times New Roman"/>
          <w:sz w:val="20"/>
          <w:szCs w:val="20"/>
        </w:rPr>
        <w:t>2</w:t>
      </w:r>
      <w:proofErr w:type="gramEnd"/>
      <w:r w:rsidRPr="00E33AF6">
        <w:rPr>
          <w:rFonts w:ascii="Times New Roman" w:hAnsi="Times New Roman" w:cs="Times New Roman"/>
          <w:sz w:val="20"/>
          <w:szCs w:val="20"/>
        </w:rPr>
        <w:t xml:space="preserve">. Espécies de medida de segurança; </w:t>
      </w:r>
      <w:proofErr w:type="gramStart"/>
      <w:r w:rsidRPr="00E33AF6">
        <w:rPr>
          <w:rFonts w:ascii="Times New Roman" w:hAnsi="Times New Roman" w:cs="Times New Roman"/>
          <w:sz w:val="20"/>
          <w:szCs w:val="20"/>
        </w:rPr>
        <w:t>2.1.</w:t>
      </w:r>
      <w:proofErr w:type="gramEnd"/>
      <w:r w:rsidRPr="00E33AF6">
        <w:rPr>
          <w:rFonts w:ascii="Times New Roman" w:hAnsi="Times New Roman" w:cs="Times New Roman"/>
          <w:sz w:val="20"/>
          <w:szCs w:val="20"/>
        </w:rPr>
        <w:t xml:space="preserve">Detentiva; 2.2 Restritiva; 3. Considerações doutrinarias </w:t>
      </w:r>
      <w:proofErr w:type="gramStart"/>
      <w:r w:rsidRPr="00E33AF6">
        <w:rPr>
          <w:rFonts w:ascii="Times New Roman" w:hAnsi="Times New Roman" w:cs="Times New Roman"/>
          <w:sz w:val="20"/>
          <w:szCs w:val="20"/>
        </w:rPr>
        <w:t>à</w:t>
      </w:r>
      <w:proofErr w:type="gramEnd"/>
      <w:r w:rsidRPr="00E33AF6">
        <w:rPr>
          <w:rFonts w:ascii="Times New Roman" w:hAnsi="Times New Roman" w:cs="Times New Roman"/>
          <w:sz w:val="20"/>
          <w:szCs w:val="20"/>
        </w:rPr>
        <w:t xml:space="preserve"> respeito da indeterminação temporal da medida de segurança; 4.Críticas ao prazo de cumprimento indeterminado;5. Princípios infringidos devido à indeterminação temporal da medida de segurança. Conclusão; Referências.</w:t>
      </w:r>
    </w:p>
    <w:p w:rsidR="00877B6D" w:rsidRDefault="00877B6D" w:rsidP="00877B6D">
      <w:pPr>
        <w:jc w:val="right"/>
      </w:pPr>
    </w:p>
    <w:p w:rsidR="00E4584E" w:rsidRDefault="00E4584E" w:rsidP="00877B6D">
      <w:pPr>
        <w:jc w:val="right"/>
      </w:pPr>
    </w:p>
    <w:p w:rsidR="00877B6D" w:rsidRDefault="00877B6D" w:rsidP="00E458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528A">
        <w:rPr>
          <w:rFonts w:ascii="Times New Roman" w:hAnsi="Times New Roman" w:cs="Times New Roman"/>
          <w:b/>
          <w:sz w:val="24"/>
          <w:szCs w:val="24"/>
        </w:rPr>
        <w:t>RESUMO</w:t>
      </w:r>
    </w:p>
    <w:p w:rsidR="00877B6D" w:rsidRDefault="00877B6D" w:rsidP="00E4584E">
      <w:pPr>
        <w:spacing w:after="0" w:line="240" w:lineRule="auto"/>
      </w:pPr>
    </w:p>
    <w:p w:rsidR="00E4584E" w:rsidRDefault="00E4584E" w:rsidP="00E45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 o presente trabalho, aborda-se inicialmente como ocorre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aplicação das medias de segurança, posteriormente identifica-se e caracteriza-se as espécies de medida de segurança. Em seguida </w:t>
      </w:r>
      <w:proofErr w:type="gramStart"/>
      <w:r>
        <w:rPr>
          <w:rFonts w:ascii="Times New Roman" w:hAnsi="Times New Roman" w:cs="Times New Roman"/>
          <w:sz w:val="24"/>
          <w:szCs w:val="24"/>
        </w:rPr>
        <w:t>aborda-se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as considerações doutrinárias a respeito da indeterminação temporal das medidas de segurança, como também as críticas devido ao </w:t>
      </w:r>
      <w:proofErr w:type="gramStart"/>
      <w:r>
        <w:rPr>
          <w:rFonts w:ascii="Times New Roman" w:hAnsi="Times New Roman" w:cs="Times New Roman"/>
          <w:sz w:val="24"/>
          <w:szCs w:val="24"/>
        </w:rPr>
        <w:t>seu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prazo indeterminado. </w:t>
      </w:r>
      <w:proofErr w:type="gramStart"/>
      <w:r>
        <w:rPr>
          <w:rFonts w:ascii="Times New Roman" w:hAnsi="Times New Roman" w:cs="Times New Roman"/>
          <w:sz w:val="24"/>
          <w:szCs w:val="24"/>
        </w:rPr>
        <w:t>Analisa-se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os princípios infringidos devido a internação que não tem prazo máximo.</w:t>
      </w:r>
    </w:p>
    <w:p w:rsidR="00E4584E" w:rsidRDefault="00E4584E" w:rsidP="00E45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584E" w:rsidRDefault="00E4584E" w:rsidP="00E4584E">
      <w:pPr>
        <w:spacing w:after="0" w:line="240" w:lineRule="auto"/>
        <w:jc w:val="center"/>
      </w:pPr>
    </w:p>
    <w:p w:rsidR="00E4584E" w:rsidRDefault="00E4584E" w:rsidP="00E458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584E">
        <w:rPr>
          <w:rFonts w:ascii="Times New Roman" w:hAnsi="Times New Roman" w:cs="Times New Roman"/>
          <w:b/>
          <w:sz w:val="24"/>
          <w:szCs w:val="24"/>
        </w:rPr>
        <w:t xml:space="preserve">PALAVRA-CHAVE: </w:t>
      </w:r>
    </w:p>
    <w:p w:rsidR="00E4584E" w:rsidRDefault="00E4584E" w:rsidP="00E458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584E" w:rsidRPr="00AB6F02" w:rsidRDefault="00AB6F02" w:rsidP="00E458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6F02">
        <w:rPr>
          <w:rFonts w:ascii="Times New Roman" w:hAnsi="Times New Roman" w:cs="Times New Roman"/>
          <w:sz w:val="24"/>
          <w:szCs w:val="24"/>
        </w:rPr>
        <w:t xml:space="preserve">Medidas de segurança. Princípios. Prazo indeterminado. </w:t>
      </w:r>
    </w:p>
    <w:p w:rsidR="00E4584E" w:rsidRDefault="00E4584E" w:rsidP="00E458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261A" w:rsidRDefault="00FB261A" w:rsidP="00E458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0BF1" w:rsidRPr="00E4584E" w:rsidRDefault="00E4584E" w:rsidP="003B0BF1">
      <w:pPr>
        <w:tabs>
          <w:tab w:val="left" w:pos="851"/>
          <w:tab w:val="left" w:pos="1134"/>
        </w:tabs>
        <w:spacing w:line="360" w:lineRule="auto"/>
        <w:jc w:val="both"/>
        <w:rPr>
          <w:b/>
        </w:rPr>
      </w:pPr>
      <w:r>
        <w:rPr>
          <w:b/>
        </w:rPr>
        <w:t>Introdução</w:t>
      </w:r>
    </w:p>
    <w:p w:rsidR="00E4584E" w:rsidRPr="003B0BF1" w:rsidRDefault="00E4584E" w:rsidP="00512BDA">
      <w:pPr>
        <w:tabs>
          <w:tab w:val="left" w:pos="851"/>
          <w:tab w:val="left" w:pos="1134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 w:rsidRPr="003B0BF1">
        <w:rPr>
          <w:rFonts w:ascii="Times New Roman" w:hAnsi="Times New Roman" w:cs="Times New Roman"/>
          <w:sz w:val="24"/>
          <w:szCs w:val="24"/>
        </w:rPr>
        <w:t>O presente trabalho tem por finalidade propiciar conhecimentos mais vastos aos estudantes acerca do tema: Medidas de segurança.</w:t>
      </w:r>
    </w:p>
    <w:p w:rsidR="00E4584E" w:rsidRPr="003B0BF1" w:rsidRDefault="00E4584E" w:rsidP="00512BDA">
      <w:pPr>
        <w:pStyle w:val="NormalWeb"/>
        <w:spacing w:before="0" w:beforeAutospacing="0" w:after="0" w:afterAutospacing="0" w:line="360" w:lineRule="auto"/>
        <w:ind w:firstLine="1134"/>
        <w:jc w:val="both"/>
        <w:rPr>
          <w:color w:val="000000"/>
        </w:rPr>
      </w:pPr>
      <w:r w:rsidRPr="003B0BF1">
        <w:tab/>
      </w:r>
      <w:r w:rsidRPr="003B0BF1">
        <w:rPr>
          <w:color w:val="000000"/>
        </w:rPr>
        <w:t>A mais antiga lembrança demonstra que já na Roma antiga as</w:t>
      </w:r>
      <w:r w:rsidRPr="003B0BF1">
        <w:rPr>
          <w:rStyle w:val="apple-converted-space"/>
          <w:color w:val="000000"/>
        </w:rPr>
        <w:t> </w:t>
      </w:r>
      <w:r w:rsidRPr="003B0BF1">
        <w:rPr>
          <w:rStyle w:val="qterm"/>
          <w:color w:val="000000"/>
        </w:rPr>
        <w:t>medida</w:t>
      </w:r>
      <w:r w:rsidRPr="003B0BF1">
        <w:rPr>
          <w:color w:val="000000"/>
        </w:rPr>
        <w:t>s conferidas aos insanos possuíam cunho peculiar, na</w:t>
      </w:r>
      <w:r w:rsidRPr="003B0BF1">
        <w:rPr>
          <w:rStyle w:val="apple-converted-space"/>
          <w:color w:val="000000"/>
        </w:rPr>
        <w:t> </w:t>
      </w:r>
      <w:r w:rsidRPr="003B0BF1">
        <w:rPr>
          <w:rStyle w:val="qterm"/>
          <w:color w:val="000000"/>
        </w:rPr>
        <w:t>medida</w:t>
      </w:r>
      <w:r w:rsidRPr="003B0BF1">
        <w:rPr>
          <w:rStyle w:val="apple-converted-space"/>
          <w:color w:val="000000"/>
        </w:rPr>
        <w:t> </w:t>
      </w:r>
      <w:r w:rsidRPr="003B0BF1">
        <w:rPr>
          <w:color w:val="000000"/>
        </w:rPr>
        <w:t xml:space="preserve">em que, visando </w:t>
      </w:r>
      <w:proofErr w:type="gramStart"/>
      <w:r w:rsidRPr="003B0BF1">
        <w:rPr>
          <w:color w:val="000000"/>
        </w:rPr>
        <w:t>a</w:t>
      </w:r>
      <w:proofErr w:type="gramEnd"/>
      <w:r w:rsidRPr="003B0BF1">
        <w:rPr>
          <w:color w:val="000000"/>
        </w:rPr>
        <w:t xml:space="preserve"> paz social, os mesmos eram postos à disposição de suas famílias para serem custodiados ou aprisionados quando da impossibilidade de controle familiar [1].</w:t>
      </w:r>
    </w:p>
    <w:p w:rsidR="00AB6F02" w:rsidRPr="003B0BF1" w:rsidRDefault="00E4584E" w:rsidP="00512BDA">
      <w:pPr>
        <w:tabs>
          <w:tab w:val="left" w:pos="851"/>
          <w:tab w:val="left" w:pos="1134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B0BF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B0BF1">
        <w:rPr>
          <w:rFonts w:ascii="Times New Roman" w:hAnsi="Times New Roman" w:cs="Times New Roman"/>
          <w:sz w:val="24"/>
          <w:szCs w:val="24"/>
        </w:rPr>
        <w:t xml:space="preserve">Condiz tal medida ao tratamento ao qual devem ser submetidos os indivíduos inimputáveis ou </w:t>
      </w:r>
      <w:proofErr w:type="spellStart"/>
      <w:r w:rsidRPr="003B0BF1">
        <w:rPr>
          <w:rFonts w:ascii="Times New Roman" w:hAnsi="Times New Roman" w:cs="Times New Roman"/>
          <w:sz w:val="24"/>
          <w:szCs w:val="24"/>
        </w:rPr>
        <w:t>semi-imputáveis</w:t>
      </w:r>
      <w:proofErr w:type="spellEnd"/>
      <w:r w:rsidRPr="003B0BF1">
        <w:rPr>
          <w:rFonts w:ascii="Times New Roman" w:hAnsi="Times New Roman" w:cs="Times New Roman"/>
          <w:sz w:val="24"/>
          <w:szCs w:val="24"/>
        </w:rPr>
        <w:t xml:space="preserve"> – autor do crime – com a finalidade de </w:t>
      </w:r>
      <w:r w:rsidRPr="003B0BF1">
        <w:rPr>
          <w:rFonts w:ascii="Times New Roman" w:hAnsi="Times New Roman" w:cs="Times New Roman"/>
          <w:sz w:val="24"/>
          <w:szCs w:val="24"/>
        </w:rPr>
        <w:lastRenderedPageBreak/>
        <w:t>proporcionar a “cura” e tornar estes delinquentes aptos a reintegrar a sociedade, sem voltar a delinquir.</w:t>
      </w:r>
    </w:p>
    <w:p w:rsidR="00E4584E" w:rsidRPr="003B0BF1" w:rsidRDefault="00E4584E" w:rsidP="00512BDA">
      <w:pPr>
        <w:tabs>
          <w:tab w:val="left" w:pos="851"/>
          <w:tab w:val="left" w:pos="1134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B0BF1">
        <w:rPr>
          <w:rFonts w:ascii="Times New Roman" w:hAnsi="Times New Roman" w:cs="Times New Roman"/>
          <w:sz w:val="24"/>
          <w:szCs w:val="24"/>
        </w:rPr>
        <w:t xml:space="preserve">Contudo, submeter tais indivíduos ao processo penal com o intuito de aplicar-lhes uma medida de segurança constitui </w:t>
      </w:r>
      <w:r w:rsidRPr="003B0BF1">
        <w:rPr>
          <w:rStyle w:val="nfase"/>
          <w:rFonts w:ascii="Times New Roman" w:hAnsi="Times New Roman" w:cs="Times New Roman"/>
          <w:i w:val="0"/>
          <w:sz w:val="24"/>
          <w:szCs w:val="24"/>
        </w:rPr>
        <w:t>um processo turbulento</w:t>
      </w:r>
      <w:r w:rsidRPr="003B0BF1">
        <w:rPr>
          <w:rFonts w:ascii="Times New Roman" w:hAnsi="Times New Roman" w:cs="Times New Roman"/>
          <w:sz w:val="24"/>
          <w:szCs w:val="24"/>
        </w:rPr>
        <w:t xml:space="preserve">, uma vez que, inúmeros questionamentos insurgem. Onde encontrar a </w:t>
      </w:r>
      <w:r w:rsidRPr="003B0BF1">
        <w:rPr>
          <w:rStyle w:val="nfase"/>
          <w:rFonts w:ascii="Times New Roman" w:hAnsi="Times New Roman" w:cs="Times New Roman"/>
          <w:i w:val="0"/>
          <w:sz w:val="24"/>
          <w:szCs w:val="24"/>
        </w:rPr>
        <w:t>culpa</w:t>
      </w:r>
      <w:r w:rsidRPr="003B0BF1">
        <w:rPr>
          <w:rStyle w:val="nfase"/>
          <w:rFonts w:ascii="Times New Roman" w:hAnsi="Times New Roman" w:cs="Times New Roman"/>
          <w:sz w:val="24"/>
          <w:szCs w:val="24"/>
        </w:rPr>
        <w:t xml:space="preserve"> </w:t>
      </w:r>
      <w:r w:rsidRPr="003B0BF1">
        <w:rPr>
          <w:rFonts w:ascii="Times New Roman" w:hAnsi="Times New Roman" w:cs="Times New Roman"/>
          <w:sz w:val="24"/>
          <w:szCs w:val="24"/>
        </w:rPr>
        <w:t xml:space="preserve">de quem é </w:t>
      </w:r>
      <w:r w:rsidRPr="003B0BF1">
        <w:rPr>
          <w:rStyle w:val="nfase"/>
          <w:rFonts w:ascii="Times New Roman" w:hAnsi="Times New Roman" w:cs="Times New Roman"/>
          <w:i w:val="0"/>
          <w:sz w:val="24"/>
          <w:szCs w:val="24"/>
        </w:rPr>
        <w:t>legalmente</w:t>
      </w:r>
      <w:r w:rsidRPr="003B0BF1">
        <w:rPr>
          <w:rStyle w:val="nfase"/>
          <w:rFonts w:ascii="Times New Roman" w:hAnsi="Times New Roman" w:cs="Times New Roman"/>
          <w:sz w:val="24"/>
          <w:szCs w:val="24"/>
        </w:rPr>
        <w:t xml:space="preserve"> </w:t>
      </w:r>
      <w:r w:rsidRPr="003B0BF1">
        <w:rPr>
          <w:rStyle w:val="nfase"/>
          <w:rFonts w:ascii="Times New Roman" w:hAnsi="Times New Roman" w:cs="Times New Roman"/>
          <w:i w:val="0"/>
          <w:sz w:val="24"/>
          <w:szCs w:val="24"/>
        </w:rPr>
        <w:t>irresponsável</w:t>
      </w:r>
      <w:r w:rsidRPr="003B0BF1">
        <w:rPr>
          <w:rFonts w:ascii="Times New Roman" w:hAnsi="Times New Roman" w:cs="Times New Roman"/>
          <w:sz w:val="24"/>
          <w:szCs w:val="24"/>
        </w:rPr>
        <w:t xml:space="preserve">? Como garantir o </w:t>
      </w:r>
      <w:r w:rsidRPr="003B0BF1">
        <w:rPr>
          <w:rStyle w:val="nfase"/>
          <w:rFonts w:ascii="Times New Roman" w:hAnsi="Times New Roman" w:cs="Times New Roman"/>
          <w:i w:val="0"/>
          <w:sz w:val="24"/>
          <w:szCs w:val="24"/>
        </w:rPr>
        <w:t>devido processo</w:t>
      </w:r>
      <w:r w:rsidRPr="003B0BF1">
        <w:rPr>
          <w:rStyle w:val="nfase"/>
          <w:rFonts w:ascii="Times New Roman" w:hAnsi="Times New Roman" w:cs="Times New Roman"/>
          <w:sz w:val="24"/>
          <w:szCs w:val="24"/>
        </w:rPr>
        <w:t xml:space="preserve"> </w:t>
      </w:r>
      <w:r w:rsidRPr="003B0BF1">
        <w:rPr>
          <w:rStyle w:val="nfase"/>
          <w:rFonts w:ascii="Times New Roman" w:hAnsi="Times New Roman" w:cs="Times New Roman"/>
          <w:i w:val="0"/>
          <w:sz w:val="24"/>
          <w:szCs w:val="24"/>
        </w:rPr>
        <w:t>legal</w:t>
      </w:r>
      <w:r w:rsidRPr="003B0BF1">
        <w:rPr>
          <w:rStyle w:val="nfase"/>
          <w:rFonts w:ascii="Times New Roman" w:hAnsi="Times New Roman" w:cs="Times New Roman"/>
          <w:sz w:val="24"/>
          <w:szCs w:val="24"/>
        </w:rPr>
        <w:t xml:space="preserve"> </w:t>
      </w:r>
      <w:r w:rsidRPr="003B0BF1">
        <w:rPr>
          <w:rFonts w:ascii="Times New Roman" w:hAnsi="Times New Roman" w:cs="Times New Roman"/>
          <w:sz w:val="24"/>
          <w:szCs w:val="24"/>
        </w:rPr>
        <w:t xml:space="preserve">a quem não pode nem ao menos </w:t>
      </w:r>
      <w:r w:rsidRPr="003B0BF1">
        <w:rPr>
          <w:rStyle w:val="nfase"/>
          <w:rFonts w:ascii="Times New Roman" w:hAnsi="Times New Roman" w:cs="Times New Roman"/>
          <w:i w:val="0"/>
          <w:sz w:val="24"/>
          <w:szCs w:val="24"/>
        </w:rPr>
        <w:t>entender seus termos</w:t>
      </w:r>
      <w:r w:rsidRPr="003B0BF1">
        <w:rPr>
          <w:rFonts w:ascii="Times New Roman" w:hAnsi="Times New Roman" w:cs="Times New Roman"/>
          <w:sz w:val="24"/>
          <w:szCs w:val="24"/>
        </w:rPr>
        <w:t>?</w:t>
      </w:r>
    </w:p>
    <w:p w:rsidR="00E4584E" w:rsidRPr="003B0BF1" w:rsidRDefault="00E4584E" w:rsidP="00512BDA">
      <w:pPr>
        <w:pStyle w:val="NormalWeb"/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firstLine="1134"/>
        <w:jc w:val="both"/>
        <w:rPr>
          <w:color w:val="000000"/>
        </w:rPr>
      </w:pPr>
      <w:r w:rsidRPr="003B0BF1">
        <w:tab/>
      </w:r>
      <w:r w:rsidRPr="003B0BF1">
        <w:rPr>
          <w:color w:val="000000"/>
        </w:rPr>
        <w:t xml:space="preserve">O artigo 96 do Código Penal determina que o tratamento </w:t>
      </w:r>
      <w:proofErr w:type="gramStart"/>
      <w:r w:rsidRPr="003B0BF1">
        <w:rPr>
          <w:color w:val="000000"/>
        </w:rPr>
        <w:t>deverá</w:t>
      </w:r>
      <w:proofErr w:type="gramEnd"/>
      <w:r w:rsidRPr="003B0BF1">
        <w:rPr>
          <w:color w:val="000000"/>
        </w:rPr>
        <w:t xml:space="preserve"> ser feito em hospital de custódia e tratamento, nos casos em que é necessária internação do paciente ou, quando não houver necessidade de internação, o tratamento será ambulatorial (a pessoa se apresenta durante o dia em local próprio para o atendimento), dando-se assistência médica ao paciente [2].</w:t>
      </w:r>
    </w:p>
    <w:p w:rsidR="00E4584E" w:rsidRPr="003B0BF1" w:rsidRDefault="00E4584E" w:rsidP="00512BDA">
      <w:pPr>
        <w:pStyle w:val="NormalWeb"/>
        <w:tabs>
          <w:tab w:val="left" w:pos="851"/>
        </w:tabs>
        <w:spacing w:before="0" w:beforeAutospacing="0" w:after="0" w:afterAutospacing="0" w:line="360" w:lineRule="auto"/>
        <w:ind w:firstLine="1134"/>
        <w:jc w:val="both"/>
        <w:rPr>
          <w:color w:val="000000"/>
        </w:rPr>
      </w:pPr>
      <w:r w:rsidRPr="003B0BF1">
        <w:rPr>
          <w:color w:val="000000"/>
        </w:rPr>
        <w:tab/>
        <w:t>Contudo, se houver falta de hospitais para tratamento, o Código autoriza que o procedimento seja realizado em outro estabelecimento adequado, não devendo em hipótese alguma ser efetuado em presídio, uma vez que este não é considerado estabelecimento adequado para tratar um indivíduo doente mental.</w:t>
      </w:r>
    </w:p>
    <w:p w:rsidR="00E4584E" w:rsidRPr="003B0BF1" w:rsidRDefault="00E4584E" w:rsidP="00512BDA">
      <w:pPr>
        <w:pStyle w:val="NormalWeb"/>
        <w:shd w:val="clear" w:color="auto" w:fill="FCFDEF"/>
        <w:tabs>
          <w:tab w:val="left" w:pos="851"/>
        </w:tabs>
        <w:spacing w:before="0" w:beforeAutospacing="0" w:after="0" w:afterAutospacing="0" w:line="360" w:lineRule="auto"/>
        <w:ind w:firstLine="1134"/>
        <w:jc w:val="both"/>
        <w:rPr>
          <w:rStyle w:val="apple-converted-space"/>
        </w:rPr>
      </w:pPr>
      <w:r w:rsidRPr="003B0BF1">
        <w:rPr>
          <w:color w:val="000000"/>
        </w:rPr>
        <w:tab/>
        <w:t xml:space="preserve">As medidas de seguranças foram pela </w:t>
      </w:r>
      <w:proofErr w:type="gramStart"/>
      <w:r w:rsidRPr="003B0BF1">
        <w:rPr>
          <w:color w:val="000000"/>
        </w:rPr>
        <w:t>primeira vez devidamente sistematizadas no Projeto de Código de Virgílio de Sá Pereira</w:t>
      </w:r>
      <w:proofErr w:type="gramEnd"/>
      <w:r w:rsidRPr="003B0BF1">
        <w:rPr>
          <w:color w:val="000000"/>
        </w:rPr>
        <w:t xml:space="preserve">, onde foi prevista a responsabilidade atenuada para os </w:t>
      </w:r>
      <w:proofErr w:type="spellStart"/>
      <w:r w:rsidRPr="003B0BF1">
        <w:rPr>
          <w:color w:val="000000"/>
        </w:rPr>
        <w:t>semi-imputáveis</w:t>
      </w:r>
      <w:proofErr w:type="spellEnd"/>
      <w:r w:rsidRPr="003B0BF1">
        <w:rPr>
          <w:color w:val="000000"/>
        </w:rPr>
        <w:t>. Havia o que se chama de sistema duplo binário, cumprimento cumulativo de pena e medida de segurança.</w:t>
      </w:r>
    </w:p>
    <w:p w:rsidR="00E4584E" w:rsidRPr="003B0BF1" w:rsidRDefault="00E4584E" w:rsidP="00512BDA">
      <w:pPr>
        <w:pStyle w:val="NormalWeb"/>
        <w:shd w:val="clear" w:color="auto" w:fill="FCFDEF"/>
        <w:tabs>
          <w:tab w:val="left" w:pos="851"/>
        </w:tabs>
        <w:spacing w:before="0" w:beforeAutospacing="0" w:after="0" w:afterAutospacing="0" w:line="360" w:lineRule="auto"/>
        <w:ind w:firstLine="1134"/>
        <w:jc w:val="both"/>
        <w:rPr>
          <w:rStyle w:val="apple-converted-space"/>
          <w:color w:val="000000"/>
        </w:rPr>
      </w:pPr>
      <w:r w:rsidRPr="003B0BF1">
        <w:rPr>
          <w:color w:val="000000"/>
        </w:rPr>
        <w:tab/>
        <w:t xml:space="preserve">O atual código trabalha com o critério </w:t>
      </w:r>
      <w:proofErr w:type="spellStart"/>
      <w:r w:rsidRPr="003B0BF1">
        <w:rPr>
          <w:color w:val="000000"/>
        </w:rPr>
        <w:t>biopsicológico</w:t>
      </w:r>
      <w:proofErr w:type="spellEnd"/>
      <w:r w:rsidRPr="003B0BF1">
        <w:rPr>
          <w:color w:val="000000"/>
        </w:rPr>
        <w:t xml:space="preserve"> para determinação da imputabilidade do criminoso, através da análise da existência de um nexo de causalidade entre o estado mental patológico e o crime, sendo indispensável </w:t>
      </w:r>
      <w:proofErr w:type="gramStart"/>
      <w:r w:rsidRPr="003B0BF1">
        <w:rPr>
          <w:color w:val="000000"/>
        </w:rPr>
        <w:t>a</w:t>
      </w:r>
      <w:proofErr w:type="gramEnd"/>
      <w:r w:rsidRPr="003B0BF1">
        <w:rPr>
          <w:color w:val="000000"/>
        </w:rPr>
        <w:t xml:space="preserve"> ausência da vontade ou do entendimento</w:t>
      </w:r>
      <w:r w:rsidRPr="003B0BF1">
        <w:rPr>
          <w:rStyle w:val="apple-converted-space"/>
          <w:color w:val="000000"/>
        </w:rPr>
        <w:t>.</w:t>
      </w:r>
    </w:p>
    <w:p w:rsidR="00FB261A" w:rsidRDefault="00FB261A" w:rsidP="00512BDA">
      <w:pPr>
        <w:spacing w:after="0" w:line="240" w:lineRule="auto"/>
        <w:ind w:firstLine="1134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B0BF1" w:rsidRPr="00FB261A" w:rsidRDefault="003B0BF1" w:rsidP="003B0BF1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FB261A">
        <w:rPr>
          <w:rFonts w:ascii="Times New Roman" w:hAnsi="Times New Roman" w:cs="Times New Roman"/>
          <w:b/>
          <w:sz w:val="24"/>
          <w:szCs w:val="24"/>
        </w:rPr>
        <w:t>Medidas de segurança em geral</w:t>
      </w:r>
    </w:p>
    <w:p w:rsidR="003B0BF1" w:rsidRDefault="003B0BF1" w:rsidP="003B0BF1">
      <w:pPr>
        <w:pStyle w:val="PargrafodaLista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B0BF1" w:rsidRDefault="003B0BF1" w:rsidP="00512BDA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B0BF1">
        <w:rPr>
          <w:rFonts w:ascii="Times New Roman" w:hAnsi="Times New Roman" w:cs="Times New Roman"/>
          <w:sz w:val="24"/>
          <w:szCs w:val="24"/>
        </w:rPr>
        <w:t xml:space="preserve">As medidas de segurança representam as sanções jurídico-penais, são apresentadas pelo Estado, tem finalidade preventiva de tratar </w:t>
      </w:r>
      <w:proofErr w:type="gramStart"/>
      <w:r w:rsidRPr="003B0BF1">
        <w:rPr>
          <w:rFonts w:ascii="Times New Roman" w:hAnsi="Times New Roman" w:cs="Times New Roman"/>
          <w:sz w:val="24"/>
          <w:szCs w:val="24"/>
        </w:rPr>
        <w:t>aqueles que não tem</w:t>
      </w:r>
      <w:proofErr w:type="gramEnd"/>
      <w:r w:rsidRPr="003B0BF1">
        <w:rPr>
          <w:rFonts w:ascii="Times New Roman" w:hAnsi="Times New Roman" w:cs="Times New Roman"/>
          <w:sz w:val="24"/>
          <w:szCs w:val="24"/>
        </w:rPr>
        <w:t xml:space="preserve"> consciência acerca dos atos praticados, os inimputáveis e os </w:t>
      </w:r>
      <w:proofErr w:type="spellStart"/>
      <w:r w:rsidRPr="003B0BF1">
        <w:rPr>
          <w:rFonts w:ascii="Times New Roman" w:hAnsi="Times New Roman" w:cs="Times New Roman"/>
          <w:sz w:val="24"/>
          <w:szCs w:val="24"/>
        </w:rPr>
        <w:t>semi</w:t>
      </w:r>
      <w:proofErr w:type="spellEnd"/>
      <w:r w:rsidRPr="003B0BF1">
        <w:rPr>
          <w:rFonts w:ascii="Times New Roman" w:hAnsi="Times New Roman" w:cs="Times New Roman"/>
          <w:sz w:val="24"/>
          <w:szCs w:val="24"/>
        </w:rPr>
        <w:t xml:space="preserve">- imputáveis, que demonstram periculosidade, para que não pratiquem novas ações danosas. Quanto ao conceito de Medida de Segurança, Prado (2007. p. 704.) leciona que: </w:t>
      </w:r>
    </w:p>
    <w:p w:rsidR="003B0BF1" w:rsidRPr="003B0BF1" w:rsidRDefault="003B0BF1" w:rsidP="003B0BF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B0BF1" w:rsidRDefault="003B0BF1" w:rsidP="003B0BF1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São consequências jurídicas do delito, de caráter penal, orientadas por razões de prevenção especial. Consubstanciam-se na reação do ordenamento </w:t>
      </w:r>
      <w:r>
        <w:rPr>
          <w:rFonts w:ascii="Times New Roman" w:hAnsi="Times New Roman" w:cs="Times New Roman"/>
          <w:sz w:val="20"/>
          <w:szCs w:val="20"/>
        </w:rPr>
        <w:lastRenderedPageBreak/>
        <w:t xml:space="preserve">jurídico diante da periculosidade criminal revelada pelo delinquente após a prática de um delito. O objetivo primeiro da medida de segurança imposta é impedir que a pessoa sobre a qual </w:t>
      </w:r>
      <w:proofErr w:type="gramStart"/>
      <w:r>
        <w:rPr>
          <w:rFonts w:ascii="Times New Roman" w:hAnsi="Times New Roman" w:cs="Times New Roman"/>
          <w:sz w:val="20"/>
          <w:szCs w:val="20"/>
        </w:rPr>
        <w:t>atue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volte a delinquir, a fim de que possa levar uma vida sem conflitos com a sociedade. </w:t>
      </w:r>
    </w:p>
    <w:p w:rsidR="003B0BF1" w:rsidRDefault="003B0BF1" w:rsidP="003B0BF1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FB261A" w:rsidRPr="004563BD" w:rsidRDefault="00FB261A" w:rsidP="003B0BF1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3B0BF1" w:rsidRDefault="003B0BF1" w:rsidP="00512BDA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Quando se aborda sobre as medida de segurança dois valores se contrapõem a impossibilidade da punição imposta pelo Estado à pessoa que não tem consciência dos atos que pratica e sob outra perspectiva os atos praticados devem obter uma resposta</w:t>
      </w:r>
      <w:r w:rsidR="00493F75">
        <w:rPr>
          <w:rFonts w:ascii="Times New Roman" w:hAnsi="Times New Roman" w:cs="Times New Roman"/>
          <w:sz w:val="24"/>
          <w:szCs w:val="24"/>
        </w:rPr>
        <w:t xml:space="preserve"> por parte do Estado. Ocorre o entendimento de </w:t>
      </w:r>
      <w:r>
        <w:rPr>
          <w:rFonts w:ascii="Times New Roman" w:hAnsi="Times New Roman" w:cs="Times New Roman"/>
          <w:sz w:val="24"/>
          <w:szCs w:val="24"/>
        </w:rPr>
        <w:t>não há possibilidade de punição aos atos praticados por inimputáveis, o que ocorre é o tratamento.</w:t>
      </w:r>
    </w:p>
    <w:p w:rsidR="003B0BF1" w:rsidRDefault="003B0BF1" w:rsidP="00512BDA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Código Penal de 1940, prevalecia o sistema Duplo Binário, sendo possível a aplicação cumulativa de pena, mais a aplicação de medida de segurança ao </w:t>
      </w:r>
      <w:proofErr w:type="spellStart"/>
      <w:r>
        <w:rPr>
          <w:rFonts w:ascii="Times New Roman" w:hAnsi="Times New Roman" w:cs="Times New Roman"/>
          <w:sz w:val="24"/>
          <w:szCs w:val="24"/>
        </w:rPr>
        <w:t>semi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imputável. Em 1984 com a reforma adotou- se o Sistema </w:t>
      </w:r>
      <w:proofErr w:type="spellStart"/>
      <w:r>
        <w:rPr>
          <w:rFonts w:ascii="Times New Roman" w:hAnsi="Times New Roman" w:cs="Times New Roman"/>
          <w:sz w:val="24"/>
          <w:szCs w:val="24"/>
        </w:rPr>
        <w:t>Vacariante</w:t>
      </w:r>
      <w:proofErr w:type="spellEnd"/>
      <w:r>
        <w:rPr>
          <w:rFonts w:ascii="Times New Roman" w:hAnsi="Times New Roman" w:cs="Times New Roman"/>
          <w:sz w:val="24"/>
          <w:szCs w:val="24"/>
        </w:rPr>
        <w:t>, aplica-se desde então ou a pena ou a medida de segurança. Dessa forma aos imputáveis é aplicada a pena e aos inimputáveis a medida de segurança, presente no artigo 98 do Código Penal. Diferente da finalidade a pena, a medida de segurança tem como finalidade o tratamento ou cura, preparando-os para voltar à sociedade sem que voltem a delinquir.</w:t>
      </w:r>
    </w:p>
    <w:p w:rsidR="003B0BF1" w:rsidRDefault="003B0BF1" w:rsidP="00512BDA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aplicação da medida de segurança requer como pressupostos a pratica de um fato definido como crime, potencialidade para a ocorrência de novas ações danosas, periculosidade. Quando a pratica do crime não se aplica medida de segurança caso não haja prova da autoria ou do fato, se houver excludente de ilicitude, se o caso for impossível ou caso ocorra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prescrição ou outra causa extintiva de punibilidade. Só será aplicada a medida de segurança aos doentes mentais que realizavam fatos típicos e ilícitos, a periculosidade é presumida na inimputabilidade, na </w:t>
      </w:r>
      <w:proofErr w:type="spellStart"/>
      <w:r>
        <w:rPr>
          <w:rFonts w:ascii="Times New Roman" w:hAnsi="Times New Roman" w:cs="Times New Roman"/>
          <w:sz w:val="24"/>
          <w:szCs w:val="24"/>
        </w:rPr>
        <w:t>semi-imputabilidade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precisa ser constatada pelo juiz.</w:t>
      </w:r>
    </w:p>
    <w:p w:rsidR="003B0BF1" w:rsidRPr="00FB261A" w:rsidRDefault="003B0BF1" w:rsidP="00512BDA">
      <w:pPr>
        <w:spacing w:after="0" w:line="36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0BF1" w:rsidRDefault="003B0BF1" w:rsidP="003B0BF1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FB261A">
        <w:rPr>
          <w:rFonts w:ascii="Times New Roman" w:hAnsi="Times New Roman" w:cs="Times New Roman"/>
          <w:b/>
          <w:sz w:val="24"/>
          <w:szCs w:val="24"/>
        </w:rPr>
        <w:t>Espécies de Medida de Segurança</w:t>
      </w:r>
    </w:p>
    <w:p w:rsidR="00FB261A" w:rsidRPr="00FB261A" w:rsidRDefault="00FB261A" w:rsidP="00FB261A">
      <w:pPr>
        <w:pStyle w:val="PargrafodaLista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3B0BF1" w:rsidRDefault="003B0BF1" w:rsidP="00512BDA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legislação penal admite duas espécies de medida de segurança, detentivas e restritivas; na detentiva existe a necessidade de internação e hospital de custodia e tratamento psiquiátrico; na restritiva é realizado o tratamento ambulatorial, presente no artigo 97 do Código Penal. </w:t>
      </w:r>
    </w:p>
    <w:p w:rsidR="003B0BF1" w:rsidRDefault="003B0BF1" w:rsidP="00512BDA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espécie detentiva é consolidada na internação em hospital de custodia e tratamento, ocorrendo abstenção poderá ocorrer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aplicação da medida de segurança em outro estabelecimento se esse for apropriado para tal finalidade. O juiz tem a faculdade de determinar qual o tratamento é mais adequado, tendo como base a periculosidade.</w:t>
      </w:r>
    </w:p>
    <w:p w:rsidR="003B0BF1" w:rsidRDefault="003B0BF1" w:rsidP="00512BDA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 medida de segurança detentiva apresenta algumas características como o fato de não ser estabelecido o prazo determinado, sendo a sua duração equivalente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cessação de periculosidade, que será constatada através de pericia medica realizada durante o período de internação. A observação da cessação da periculosidade é realizada após prazo mínimo, que varia entre um e três anos. Caso o juiz da execução determine alteração desse prazo</w:t>
      </w:r>
      <w:r w:rsidR="004C46B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será alterado, presente na Lei de Execução Penal, art.176.</w:t>
      </w:r>
    </w:p>
    <w:p w:rsidR="003B0BF1" w:rsidRDefault="003B0BF1" w:rsidP="00512BDA">
      <w:pPr>
        <w:spacing w:after="0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Caso ocorra a cessação da periculosidade pela pericia medica, a medida de segurança será</w:t>
      </w:r>
      <w:r w:rsidR="004C46B0">
        <w:rPr>
          <w:rFonts w:ascii="Times New Roman" w:hAnsi="Times New Roman" w:cs="Times New Roman"/>
          <w:sz w:val="24"/>
          <w:szCs w:val="24"/>
        </w:rPr>
        <w:t xml:space="preserve"> suspensa, ocorre a </w:t>
      </w:r>
      <w:proofErr w:type="spellStart"/>
      <w:r w:rsidR="004C46B0">
        <w:rPr>
          <w:rFonts w:ascii="Times New Roman" w:hAnsi="Times New Roman" w:cs="Times New Roman"/>
          <w:sz w:val="24"/>
          <w:szCs w:val="24"/>
        </w:rPr>
        <w:t>desinternaçã</w:t>
      </w:r>
      <w:r>
        <w:rPr>
          <w:rFonts w:ascii="Times New Roman" w:hAnsi="Times New Roman" w:cs="Times New Roman"/>
          <w:sz w:val="24"/>
          <w:szCs w:val="24"/>
        </w:rPr>
        <w:t>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será condicional, de forma provisória no prazo de um ano com a liberação do agente. Ao final do prazo se o imputável se durante esse tempo não praticar fato indicativo da persistência da periculosidade, não sendo necessariamente crime ocorre de fato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extinção da medida de segurança, estabelecido no artigo 97, </w:t>
      </w:r>
      <w:bookmarkStart w:id="1" w:name="a97_3"/>
      <w:r w:rsidRPr="0074050B">
        <w:rPr>
          <w:rFonts w:ascii="Times New Roman" w:hAnsi="Times New Roman" w:cs="Times New Roman"/>
          <w:bCs/>
          <w:sz w:val="24"/>
          <w:szCs w:val="24"/>
        </w:rPr>
        <w:t>§ 3º</w:t>
      </w:r>
      <w:bookmarkEnd w:id="1"/>
      <w:r>
        <w:rPr>
          <w:b/>
          <w:bCs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do Código Penal.</w:t>
      </w:r>
    </w:p>
    <w:p w:rsidR="003B0BF1" w:rsidRPr="00905EF7" w:rsidRDefault="003B0BF1" w:rsidP="00512BDA">
      <w:pPr>
        <w:spacing w:after="0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 espécie restritiva ocorre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sujeição a tratamento ambulatorial, presente no artigo 97 do Código Penal. </w:t>
      </w:r>
      <w:r w:rsidRPr="00905EF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Acerca das espécies de medida de segurança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905EF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Queiroz </w:t>
      </w:r>
      <w:r w:rsidRPr="0094054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2005, p.379-380) </w:t>
      </w:r>
      <w:r w:rsidRPr="0094054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leciona que:</w:t>
      </w:r>
    </w:p>
    <w:p w:rsidR="003B0BF1" w:rsidRDefault="003B0BF1" w:rsidP="004C46B0">
      <w:pPr>
        <w:shd w:val="clear" w:color="auto" w:fill="FFFFFF"/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905EF7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Duas são as medidas de segurança previstas no Código: internação e tratamento ambulatorial (art. 96). A primeira, cumprida nos atuais Hospitais de Custódia e Tratamento psiquiátrico (HCT) ou, à falta, em estabelecimento adequado, e que importa em privação da liberdade do paciente, destina-se aos crimes mais graves, punidos com reclusão; a segunda, cujo tratamento </w:t>
      </w:r>
      <w:proofErr w:type="gramStart"/>
      <w:r w:rsidRPr="00905EF7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ocorrerá nos</w:t>
      </w:r>
      <w:proofErr w:type="gramEnd"/>
      <w:r w:rsidRPr="00905EF7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mesmos locais, dirige-se aos delitos menos graves, punidos com detenção. </w:t>
      </w:r>
    </w:p>
    <w:p w:rsidR="003B0BF1" w:rsidRDefault="003B0BF1" w:rsidP="003B0BF1">
      <w:pPr>
        <w:shd w:val="clear" w:color="auto" w:fill="FFFFFF"/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</w:p>
    <w:p w:rsidR="003B0BF1" w:rsidRDefault="003B0BF1" w:rsidP="00512BDA">
      <w:pPr>
        <w:shd w:val="clear" w:color="auto" w:fill="FFFFFF"/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tratamento ambulatorial até a constatação da cessação da periculosidade não tem prazo determinado, sendo feita a constatação através de pericia medica, no prazo de um a três anos, entretanto poderá ocorrer a qualquer momento se o juiz da execução determinar, LEI, art. 176.</w:t>
      </w:r>
    </w:p>
    <w:p w:rsidR="00512BDA" w:rsidRPr="00512BDA" w:rsidRDefault="00512BDA" w:rsidP="00512BD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C46B0" w:rsidRPr="00512BDA" w:rsidRDefault="004C46B0" w:rsidP="004C46B0">
      <w:pPr>
        <w:pStyle w:val="PargrafodaLista"/>
        <w:numPr>
          <w:ilvl w:val="0"/>
          <w:numId w:val="1"/>
        </w:numPr>
        <w:shd w:val="clear" w:color="auto" w:fill="FFFFFF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12BD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Considerações doutrinárias a respeito da indeterminação temporária da medida de segurança </w:t>
      </w:r>
    </w:p>
    <w:p w:rsidR="004C46B0" w:rsidRPr="004C46B0" w:rsidRDefault="004C46B0" w:rsidP="00512BDA">
      <w:pPr>
        <w:shd w:val="clear" w:color="auto" w:fill="FFFFFF"/>
        <w:tabs>
          <w:tab w:val="left" w:pos="0"/>
          <w:tab w:val="left" w:pos="851"/>
        </w:tabs>
        <w:spacing w:after="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color w:val="000000" w:themeColor="text1"/>
        </w:rPr>
        <w:tab/>
      </w:r>
      <w:r w:rsidRPr="004C46B0">
        <w:rPr>
          <w:rFonts w:ascii="Times New Roman" w:hAnsi="Times New Roman" w:cs="Times New Roman"/>
          <w:color w:val="000000" w:themeColor="text1"/>
          <w:sz w:val="24"/>
          <w:szCs w:val="24"/>
        </w:rPr>
        <w:t>Segundo o art. 97, § 1º, e 98 do Código Penal o prazo mínimo de duração da medida de segurança é de um a três anos a ser aplicado a um determinado ato ilícito praticado. A questão debatida entre diversos doutrinadores criminalistas gira em torno do conteúdo exposto no artigo 97 § 1º do Có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digo Penal, onde diz que: </w:t>
      </w:r>
      <w:r w:rsidRPr="004C46B0">
        <w:rPr>
          <w:rFonts w:ascii="Times New Roman" w:hAnsi="Times New Roman" w:cs="Times New Roman"/>
          <w:color w:val="000000" w:themeColor="text1"/>
          <w:sz w:val="24"/>
          <w:szCs w:val="24"/>
        </w:rPr>
        <w:t>‘’A internação, ou tratamento ambulatorial, será por tempo indeterminado, perdurando enquanto não for averiguada, mediante perícia médica, a cessação da periculosidade. O prazo mínimo deverá ser de 1 a 3 anos. ’’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4C46B0" w:rsidRDefault="004C46B0" w:rsidP="00512BDA">
      <w:pPr>
        <w:shd w:val="clear" w:color="auto" w:fill="FFFFFF"/>
        <w:spacing w:after="0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46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O legislador quantifica somente o prazo mínimo da aplicação da medida de segurança, quanto ao prazo máximo, tem-se que a medida de segurança perdura por tempo indeterminado, ou seja, se prolonga até que através de laudo médico seja demonstrada a cessação da periculosidade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4C46B0" w:rsidRPr="004C46B0" w:rsidRDefault="004C46B0" w:rsidP="00512BDA">
      <w:pPr>
        <w:shd w:val="clear" w:color="auto" w:fill="FFFFFF"/>
        <w:spacing w:after="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46B0">
        <w:rPr>
          <w:rFonts w:ascii="Times New Roman" w:hAnsi="Times New Roman" w:cs="Times New Roman"/>
          <w:sz w:val="24"/>
          <w:szCs w:val="24"/>
          <w:shd w:val="clear" w:color="auto" w:fill="FFFFFF"/>
        </w:rPr>
        <w:t>Entretanto, a Constituição Federal Brasileira, no art. 5º, inc. XLVII, "b", proíbe a pena perpétua. Por sua vez, o artigo 75 do Código Penal se notabiliza por limitar o cumprimento da pena de prisão em trinta anos. Assim, insurge o embate quanto à constitucionalidade da perpetuidade da medida de segurança.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46B0">
        <w:rPr>
          <w:rFonts w:ascii="Times New Roman" w:hAnsi="Times New Roman" w:cs="Times New Roman"/>
          <w:color w:val="000000" w:themeColor="text1"/>
        </w:rPr>
        <w:t>De acordo com Ferrari (2001, p. 195):</w:t>
      </w:r>
    </w:p>
    <w:p w:rsidR="004C46B0" w:rsidRPr="004C46B0" w:rsidRDefault="004C46B0" w:rsidP="00FB261A">
      <w:pPr>
        <w:pStyle w:val="SemEspaamento"/>
        <w:tabs>
          <w:tab w:val="left" w:pos="851"/>
          <w:tab w:val="left" w:pos="2268"/>
        </w:tabs>
        <w:jc w:val="both"/>
        <w:rPr>
          <w:color w:val="000000" w:themeColor="text1"/>
        </w:rPr>
      </w:pPr>
    </w:p>
    <w:p w:rsidR="004C46B0" w:rsidRDefault="004C46B0" w:rsidP="004C46B0">
      <w:pPr>
        <w:pStyle w:val="SemEspaamento"/>
        <w:tabs>
          <w:tab w:val="left" w:pos="851"/>
          <w:tab w:val="left" w:pos="2268"/>
        </w:tabs>
        <w:ind w:left="2268"/>
        <w:jc w:val="both"/>
        <w:rPr>
          <w:color w:val="000000" w:themeColor="text1"/>
          <w:sz w:val="20"/>
          <w:szCs w:val="20"/>
        </w:rPr>
      </w:pPr>
      <w:r w:rsidRPr="004C46B0">
        <w:rPr>
          <w:color w:val="000000" w:themeColor="text1"/>
          <w:sz w:val="20"/>
          <w:szCs w:val="20"/>
        </w:rPr>
        <w:t>[...] dispor expressamente sobre a inexistência de limites mínimos obrigatórios de duração de prazos das medidas de segurança criminais, admitindo a realização da perícia médica, a qualquer. Tempo reforçando a concepção isolada prevista no art. 176 da Lei de Execução Penal.</w:t>
      </w:r>
    </w:p>
    <w:p w:rsidR="004C46B0" w:rsidRPr="004C46B0" w:rsidRDefault="004C46B0" w:rsidP="004C46B0">
      <w:pPr>
        <w:pStyle w:val="SemEspaamento"/>
        <w:tabs>
          <w:tab w:val="left" w:pos="851"/>
          <w:tab w:val="left" w:pos="2268"/>
        </w:tabs>
        <w:spacing w:line="360" w:lineRule="auto"/>
        <w:ind w:left="2268"/>
        <w:jc w:val="both"/>
        <w:rPr>
          <w:color w:val="000000" w:themeColor="text1"/>
          <w:sz w:val="20"/>
          <w:szCs w:val="20"/>
        </w:rPr>
      </w:pPr>
    </w:p>
    <w:p w:rsidR="004C46B0" w:rsidRDefault="004C46B0" w:rsidP="00512BDA">
      <w:pPr>
        <w:pStyle w:val="SemEspaamento"/>
        <w:tabs>
          <w:tab w:val="left" w:pos="851"/>
        </w:tabs>
        <w:spacing w:line="360" w:lineRule="auto"/>
        <w:ind w:firstLine="1134"/>
        <w:jc w:val="both"/>
        <w:rPr>
          <w:color w:val="000000" w:themeColor="text1"/>
        </w:rPr>
      </w:pPr>
      <w:r w:rsidRPr="004C46B0">
        <w:rPr>
          <w:color w:val="000000" w:themeColor="text1"/>
        </w:rPr>
        <w:tab/>
        <w:t>Posiciona-se quanto ao assunto Rogério Greco (2006, p. 729):</w:t>
      </w:r>
    </w:p>
    <w:p w:rsidR="00FB261A" w:rsidRPr="004C46B0" w:rsidRDefault="00FB261A" w:rsidP="00FB261A">
      <w:pPr>
        <w:pStyle w:val="SemEspaamento"/>
        <w:tabs>
          <w:tab w:val="left" w:pos="851"/>
        </w:tabs>
        <w:jc w:val="both"/>
        <w:rPr>
          <w:color w:val="000000" w:themeColor="text1"/>
        </w:rPr>
      </w:pPr>
    </w:p>
    <w:p w:rsidR="00FB261A" w:rsidRDefault="004C46B0" w:rsidP="00FB261A">
      <w:pPr>
        <w:shd w:val="clear" w:color="auto" w:fill="FFFFFF"/>
        <w:spacing w:line="240" w:lineRule="auto"/>
        <w:ind w:left="220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C46B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Não tem prazo certo de duração, persistindo enquanto houver necessidade do tratamento destinado à cura ou à manutenção da saúde mental do inimputável. Ela terá duração enquanto não for constatada, por meio de perícia médica, a chamada cessação da periculosidade do agente, podendo, não raras </w:t>
      </w:r>
      <w:proofErr w:type="gramStart"/>
      <w:r w:rsidRPr="004C46B0">
        <w:rPr>
          <w:rFonts w:ascii="Times New Roman" w:hAnsi="Times New Roman" w:cs="Times New Roman"/>
          <w:color w:val="000000" w:themeColor="text1"/>
          <w:sz w:val="20"/>
          <w:szCs w:val="20"/>
        </w:rPr>
        <w:t>as</w:t>
      </w:r>
      <w:proofErr w:type="gramEnd"/>
      <w:r w:rsidRPr="004C46B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vezes, ser mantida até o falecimento do paciente.</w:t>
      </w:r>
    </w:p>
    <w:p w:rsidR="004C46B0" w:rsidRPr="00FB261A" w:rsidRDefault="004C46B0" w:rsidP="00FB261A">
      <w:pPr>
        <w:shd w:val="clear" w:color="auto" w:fill="FFFFFF"/>
        <w:spacing w:after="0" w:line="240" w:lineRule="auto"/>
        <w:ind w:left="226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C46B0">
        <w:rPr>
          <w:rFonts w:ascii="Times New Roman" w:hAnsi="Times New Roman" w:cs="Times New Roman"/>
          <w:color w:val="000000" w:themeColor="text1"/>
        </w:rPr>
        <w:t> </w:t>
      </w:r>
    </w:p>
    <w:p w:rsidR="004C46B0" w:rsidRPr="004C46B0" w:rsidRDefault="004C46B0" w:rsidP="00512BDA">
      <w:pPr>
        <w:pStyle w:val="NormalWeb"/>
        <w:tabs>
          <w:tab w:val="left" w:pos="851"/>
          <w:tab w:val="left" w:pos="1134"/>
        </w:tabs>
        <w:spacing w:before="0" w:beforeAutospacing="0" w:after="0" w:afterAutospacing="0" w:line="360" w:lineRule="auto"/>
        <w:ind w:firstLine="1134"/>
        <w:jc w:val="both"/>
        <w:rPr>
          <w:color w:val="000000" w:themeColor="text1"/>
        </w:rPr>
      </w:pPr>
      <w:r w:rsidRPr="004C46B0">
        <w:rPr>
          <w:color w:val="000000" w:themeColor="text1"/>
          <w:shd w:val="clear" w:color="auto" w:fill="FFFFFF"/>
        </w:rPr>
        <w:tab/>
        <w:t>Já Supremo Tribunal Federal (STF) manifesta-se afirmando que o tempo de duração da medida de segurança não poderá extrapolar o limite de trinta anos, previsto constitucionalmente. (HC 84219/SP, DJ 23/09/2005).</w:t>
      </w:r>
    </w:p>
    <w:p w:rsidR="004C46B0" w:rsidRPr="004C46B0" w:rsidRDefault="004C46B0" w:rsidP="004C46B0">
      <w:pPr>
        <w:pStyle w:val="NormalWeb"/>
        <w:tabs>
          <w:tab w:val="left" w:pos="1134"/>
        </w:tabs>
        <w:spacing w:before="0" w:beforeAutospacing="0" w:after="0" w:afterAutospacing="0" w:line="360" w:lineRule="auto"/>
        <w:jc w:val="both"/>
        <w:rPr>
          <w:color w:val="000000" w:themeColor="text1"/>
        </w:rPr>
      </w:pPr>
    </w:p>
    <w:p w:rsidR="004C46B0" w:rsidRDefault="004C46B0" w:rsidP="004C46B0">
      <w:pPr>
        <w:pStyle w:val="NormalWeb"/>
        <w:tabs>
          <w:tab w:val="left" w:pos="1134"/>
        </w:tabs>
        <w:spacing w:before="0" w:beforeAutospacing="0" w:after="0" w:afterAutospacing="0" w:line="360" w:lineRule="auto"/>
        <w:jc w:val="both"/>
        <w:rPr>
          <w:b/>
          <w:color w:val="000000" w:themeColor="text1"/>
        </w:rPr>
      </w:pPr>
      <w:proofErr w:type="gramStart"/>
      <w:r w:rsidRPr="004C46B0">
        <w:rPr>
          <w:b/>
          <w:color w:val="000000" w:themeColor="text1"/>
        </w:rPr>
        <w:t>4</w:t>
      </w:r>
      <w:proofErr w:type="gramEnd"/>
      <w:r w:rsidRPr="004C46B0">
        <w:rPr>
          <w:b/>
          <w:color w:val="000000" w:themeColor="text1"/>
        </w:rPr>
        <w:t xml:space="preserve"> Críticas ao prazo de cumprimento indeterminado</w:t>
      </w:r>
    </w:p>
    <w:p w:rsidR="004C46B0" w:rsidRPr="004C46B0" w:rsidRDefault="004C46B0" w:rsidP="004C46B0">
      <w:pPr>
        <w:pStyle w:val="NormalWeb"/>
        <w:tabs>
          <w:tab w:val="left" w:pos="1134"/>
        </w:tabs>
        <w:spacing w:before="0" w:beforeAutospacing="0" w:after="0" w:afterAutospacing="0" w:line="360" w:lineRule="auto"/>
        <w:jc w:val="both"/>
        <w:rPr>
          <w:b/>
          <w:color w:val="000000" w:themeColor="text1"/>
        </w:rPr>
      </w:pPr>
    </w:p>
    <w:p w:rsidR="004C46B0" w:rsidRPr="004C46B0" w:rsidRDefault="004C46B0" w:rsidP="00512BDA">
      <w:pPr>
        <w:shd w:val="clear" w:color="auto" w:fill="FFFFFF"/>
        <w:tabs>
          <w:tab w:val="left" w:pos="851"/>
        </w:tabs>
        <w:spacing w:after="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46B0">
        <w:rPr>
          <w:rFonts w:ascii="Times New Roman" w:hAnsi="Times New Roman" w:cs="Times New Roman"/>
          <w:color w:val="000000" w:themeColor="text1"/>
        </w:rPr>
        <w:tab/>
      </w:r>
      <w:r w:rsidRPr="004C46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Embasado no Código Penal infere-se que não há prazo determinado quanto </w:t>
      </w:r>
      <w:proofErr w:type="gramStart"/>
      <w:r w:rsidRPr="004C46B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gramEnd"/>
      <w:r w:rsidRPr="004C46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duração da aplicação da medida de segurança. Todavia, sabe-se da existência de duas correntes doutrinárias que divergem sobre o tema. </w:t>
      </w:r>
    </w:p>
    <w:p w:rsidR="004C46B0" w:rsidRPr="004C46B0" w:rsidRDefault="004C46B0" w:rsidP="00512BDA">
      <w:pPr>
        <w:shd w:val="clear" w:color="auto" w:fill="FFFFFF"/>
        <w:tabs>
          <w:tab w:val="left" w:pos="851"/>
        </w:tabs>
        <w:spacing w:after="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46B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 primeira afirma que o cumprimento da medida de segurança deve perdurar até a cessação da periculosidade do agente, o que de fato seria o fim da perturbação da saúde mental, tal fato pode durar a vida inteira do agente, não havendo dessa forma, prazo máximo de duração da medida de segurança.</w:t>
      </w:r>
    </w:p>
    <w:p w:rsidR="004C46B0" w:rsidRPr="004C46B0" w:rsidRDefault="004C46B0" w:rsidP="00512BDA">
      <w:pPr>
        <w:shd w:val="clear" w:color="auto" w:fill="FFFFFF"/>
        <w:tabs>
          <w:tab w:val="left" w:pos="851"/>
        </w:tabs>
        <w:spacing w:after="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46B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Adversamente, de acordo com a segunda corrente, a medida de segurança deve possuir prazo determinado previamente, uma vez que, se houver a omissão deste </w:t>
      </w:r>
      <w:r w:rsidRPr="004C46B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prazo, se estará admitindo a institucionalização da pena com caráter perpétuo, o que iria de encontro a Constituição da República de 1988. </w:t>
      </w:r>
    </w:p>
    <w:p w:rsidR="004C46B0" w:rsidRPr="004C46B0" w:rsidRDefault="004C46B0" w:rsidP="00512BDA">
      <w:pPr>
        <w:shd w:val="clear" w:color="auto" w:fill="FFFFFF"/>
        <w:tabs>
          <w:tab w:val="left" w:pos="851"/>
        </w:tabs>
        <w:spacing w:after="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46B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Esta corrente subdivide-se em duas subcorrentes, onde a primeira objetiva que a medida de segurança possua o limite máximo de sua aplicação semelhante ao das penas privativas de liberdade, trinta anos, conforme artigo 75 do Código Penal. Tal posicionamento é adotado pelo Supremo Tribunal Federal.</w:t>
      </w:r>
    </w:p>
    <w:p w:rsidR="004C46B0" w:rsidRPr="004C46B0" w:rsidRDefault="004C46B0" w:rsidP="00512BDA">
      <w:pPr>
        <w:shd w:val="clear" w:color="auto" w:fill="FFFFFF"/>
        <w:tabs>
          <w:tab w:val="left" w:pos="851"/>
        </w:tabs>
        <w:spacing w:after="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46B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A segunda afirma que o limite máximo para a aplicação da medida de segurança á àquele cominado ao fato específico, por exemplo, de acordo com o artigo 121 do Código Penal, se o agente cometeu homicídio simples, a pena imposta não poderá ultrapassar vinte anos, que é a pena máxima aplicada ao agente que cometeu o homicídio simples. </w:t>
      </w:r>
      <w:r w:rsidRPr="004C46B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4C46B0" w:rsidRPr="004C46B0" w:rsidRDefault="004C46B0" w:rsidP="00512BDA">
      <w:pPr>
        <w:pStyle w:val="NormalWeb"/>
        <w:tabs>
          <w:tab w:val="left" w:pos="851"/>
          <w:tab w:val="left" w:pos="1134"/>
        </w:tabs>
        <w:spacing w:before="0" w:beforeAutospacing="0" w:after="0" w:afterAutospacing="0" w:line="360" w:lineRule="auto"/>
        <w:ind w:firstLine="1134"/>
        <w:jc w:val="both"/>
        <w:rPr>
          <w:color w:val="000000" w:themeColor="text1"/>
          <w:shd w:val="clear" w:color="auto" w:fill="FFFFFF"/>
        </w:rPr>
      </w:pPr>
      <w:r w:rsidRPr="004C46B0">
        <w:rPr>
          <w:color w:val="000000" w:themeColor="text1"/>
          <w:shd w:val="clear" w:color="auto" w:fill="FFFFFF"/>
        </w:rPr>
        <w:tab/>
        <w:t>De acordo com o artigo 97, § 1º, do Código Penal, considera-se que as medidas de segurança por tempo indeterminado enquanto não cessar a periculosidade do agente não vai ao encontro da Constituição de 1988, uma vez que, esta garante que a sanção penal não seja perpétua.</w:t>
      </w:r>
    </w:p>
    <w:p w:rsidR="004C46B0" w:rsidRPr="004C46B0" w:rsidRDefault="004C46B0" w:rsidP="00512BDA">
      <w:pPr>
        <w:pStyle w:val="NormalWeb"/>
        <w:shd w:val="clear" w:color="auto" w:fill="FFFFFF"/>
        <w:spacing w:before="0" w:beforeAutospacing="0" w:after="0" w:afterAutospacing="0" w:line="360" w:lineRule="auto"/>
        <w:ind w:firstLine="1134"/>
        <w:jc w:val="both"/>
        <w:rPr>
          <w:color w:val="000000" w:themeColor="text1"/>
        </w:rPr>
      </w:pPr>
      <w:r w:rsidRPr="004C46B0">
        <w:rPr>
          <w:color w:val="000000" w:themeColor="text1"/>
        </w:rPr>
        <w:t xml:space="preserve">Segundo, Paulo de Souza Queiroz “no que tange à indeterminação do prazo máximo das medidas de segurança - herança do positivismo criminológico -, cabe redarguir que, em homenagem aos princípios da igualdade, proporcionalidade, humanidade e </w:t>
      </w:r>
      <w:proofErr w:type="gramStart"/>
      <w:r w:rsidRPr="004C46B0">
        <w:rPr>
          <w:color w:val="000000" w:themeColor="text1"/>
        </w:rPr>
        <w:t>não-perpetuação</w:t>
      </w:r>
      <w:proofErr w:type="gramEnd"/>
      <w:r w:rsidRPr="004C46B0">
        <w:rPr>
          <w:color w:val="000000" w:themeColor="text1"/>
        </w:rPr>
        <w:t xml:space="preserve"> das penas, não se justifica, numa perspectiva </w:t>
      </w:r>
      <w:proofErr w:type="spellStart"/>
      <w:r w:rsidRPr="004C46B0">
        <w:rPr>
          <w:color w:val="000000" w:themeColor="text1"/>
        </w:rPr>
        <w:t>garantista</w:t>
      </w:r>
      <w:proofErr w:type="spellEnd"/>
      <w:r w:rsidRPr="004C46B0">
        <w:rPr>
          <w:color w:val="000000" w:themeColor="text1"/>
        </w:rPr>
        <w:t>, que tais sanções, diferentemente das penas, possam durar indefinidamente, enquanto ‘não for averiguada, mediante perícia médica, a cessação da periculosidade’ (CP, art. 97, § 1º), razão pela qual jamais deverão exceder o tempo da pena que seria cabível na espécie”.</w:t>
      </w:r>
    </w:p>
    <w:p w:rsidR="004C46B0" w:rsidRPr="004C46B0" w:rsidRDefault="004C46B0" w:rsidP="00512BDA">
      <w:pPr>
        <w:pStyle w:val="NormalWeb"/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firstLine="1134"/>
        <w:jc w:val="both"/>
        <w:rPr>
          <w:color w:val="000000" w:themeColor="text1"/>
        </w:rPr>
      </w:pPr>
      <w:r w:rsidRPr="004C46B0">
        <w:rPr>
          <w:color w:val="000000" w:themeColor="text1"/>
        </w:rPr>
        <w:tab/>
        <w:t xml:space="preserve">Conclui-se dessa forma, que denso número dos doutrinadores aponta a </w:t>
      </w:r>
      <w:proofErr w:type="gramStart"/>
      <w:r w:rsidRPr="004C46B0">
        <w:rPr>
          <w:color w:val="000000" w:themeColor="text1"/>
        </w:rPr>
        <w:t>não-recepção</w:t>
      </w:r>
      <w:proofErr w:type="gramEnd"/>
      <w:r w:rsidRPr="004C46B0">
        <w:rPr>
          <w:color w:val="000000" w:themeColor="text1"/>
        </w:rPr>
        <w:t xml:space="preserve"> pela Constituição Federal da República de 1988 da medida de segurança por tempo indeterminado.</w:t>
      </w:r>
    </w:p>
    <w:p w:rsidR="003B0BF1" w:rsidRDefault="003B0BF1" w:rsidP="00512BD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B261A" w:rsidRDefault="00FB261A" w:rsidP="004C46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C46B0" w:rsidRDefault="004C46B0" w:rsidP="004C46B0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6B0">
        <w:rPr>
          <w:rFonts w:ascii="Times New Roman" w:hAnsi="Times New Roman" w:cs="Times New Roman"/>
          <w:b/>
          <w:sz w:val="24"/>
          <w:szCs w:val="24"/>
        </w:rPr>
        <w:t>Princípios infringidos devido à indeterminação temporal da medida de segurança</w:t>
      </w:r>
    </w:p>
    <w:p w:rsidR="004C46B0" w:rsidRPr="004C46B0" w:rsidRDefault="004C46B0" w:rsidP="004C46B0">
      <w:pPr>
        <w:pStyle w:val="PargrafodaLista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46B0" w:rsidRDefault="004C46B0" w:rsidP="00512BDA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33B87">
        <w:rPr>
          <w:rFonts w:ascii="Times New Roman" w:hAnsi="Times New Roman" w:cs="Times New Roman"/>
          <w:sz w:val="24"/>
          <w:szCs w:val="24"/>
        </w:rPr>
        <w:t>O Principio da dignidade da pessoa humana, tem como objetivo proteger a pessoa humana, o Estado, deve</w:t>
      </w:r>
      <w:r>
        <w:rPr>
          <w:rFonts w:ascii="Times New Roman" w:hAnsi="Times New Roman" w:cs="Times New Roman"/>
          <w:sz w:val="24"/>
          <w:szCs w:val="24"/>
        </w:rPr>
        <w:t>, portanto</w:t>
      </w:r>
      <w:r w:rsidRPr="00D33B87">
        <w:rPr>
          <w:rFonts w:ascii="Times New Roman" w:hAnsi="Times New Roman" w:cs="Times New Roman"/>
          <w:sz w:val="24"/>
          <w:szCs w:val="24"/>
        </w:rPr>
        <w:t xml:space="preserve"> assegurar a todos </w:t>
      </w:r>
      <w:r>
        <w:rPr>
          <w:rFonts w:ascii="Times New Roman" w:hAnsi="Times New Roman" w:cs="Times New Roman"/>
          <w:sz w:val="24"/>
          <w:szCs w:val="24"/>
        </w:rPr>
        <w:t xml:space="preserve">os cidadãos, as </w:t>
      </w:r>
      <w:r w:rsidRPr="00D33B87">
        <w:rPr>
          <w:rFonts w:ascii="Times New Roman" w:hAnsi="Times New Roman" w:cs="Times New Roman"/>
          <w:sz w:val="24"/>
          <w:szCs w:val="24"/>
        </w:rPr>
        <w:t xml:space="preserve">condições necessárias para a realização da vida com dignidade. </w:t>
      </w:r>
      <w:r>
        <w:rPr>
          <w:rFonts w:ascii="Times New Roman" w:hAnsi="Times New Roman" w:cs="Times New Roman"/>
          <w:sz w:val="24"/>
          <w:szCs w:val="24"/>
        </w:rPr>
        <w:t xml:space="preserve">O estado tem seu poder regulado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de forma racional e humanitária, devendo os direitos inerentes aos seres humanos </w:t>
      </w:r>
      <w:proofErr w:type="gramStart"/>
      <w:r>
        <w:rPr>
          <w:rFonts w:ascii="Times New Roman" w:hAnsi="Times New Roman" w:cs="Times New Roman"/>
          <w:sz w:val="24"/>
          <w:szCs w:val="24"/>
        </w:rPr>
        <w:t>serem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respeitados, sem lhes causar sofrimentos, humilhações.</w:t>
      </w:r>
    </w:p>
    <w:p w:rsidR="004C46B0" w:rsidRDefault="004C46B0" w:rsidP="00512BDA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principio da dignidade da pessoa humana também deve ser seguido no direito penal, não sendo possível a criação nem a aplicação de penas ou medidas de segurança que de alguma forma degradem o cidadão, não sendo aplicáveis penas perpetuas, não ocorrendo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ligação direta entre restrição de liberdade e a perda da liberdade do individuo.</w:t>
      </w:r>
    </w:p>
    <w:p w:rsidR="004C46B0" w:rsidRPr="00872EA8" w:rsidRDefault="004C46B0" w:rsidP="00512BDA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significado de dignidade da pessoa humana é feita por Alexandre de Morais </w:t>
      </w:r>
      <w:r w:rsidRPr="00872EA8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(2003, p.75): </w:t>
      </w:r>
    </w:p>
    <w:p w:rsidR="004C46B0" w:rsidRDefault="004C46B0" w:rsidP="004C46B0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t-BR"/>
        </w:rPr>
      </w:pPr>
      <w:r w:rsidRPr="0090555B">
        <w:rPr>
          <w:rFonts w:ascii="Times New Roman" w:eastAsia="Times New Roman" w:hAnsi="Times New Roman" w:cs="Times New Roman"/>
          <w:iCs/>
          <w:sz w:val="20"/>
          <w:szCs w:val="20"/>
          <w:lang w:eastAsia="pt-BR"/>
        </w:rPr>
        <w:t xml:space="preserve">A dignidade da pessoa humana concede unidade aos direitos e garantias </w:t>
      </w:r>
      <w:proofErr w:type="gramStart"/>
      <w:r w:rsidRPr="0090555B">
        <w:rPr>
          <w:rFonts w:ascii="Times New Roman" w:eastAsia="Times New Roman" w:hAnsi="Times New Roman" w:cs="Times New Roman"/>
          <w:iCs/>
          <w:sz w:val="20"/>
          <w:szCs w:val="20"/>
          <w:lang w:eastAsia="pt-BR"/>
        </w:rPr>
        <w:t>fundamentais ,</w:t>
      </w:r>
      <w:proofErr w:type="gramEnd"/>
      <w:r w:rsidRPr="0090555B">
        <w:rPr>
          <w:rFonts w:ascii="Times New Roman" w:eastAsia="Times New Roman" w:hAnsi="Times New Roman" w:cs="Times New Roman"/>
          <w:iCs/>
          <w:sz w:val="20"/>
          <w:szCs w:val="20"/>
          <w:lang w:eastAsia="pt-BR"/>
        </w:rPr>
        <w:t xml:space="preserve"> sendo inerente às personalidades humanas. Esse fundamento afasta a </w:t>
      </w:r>
      <w:proofErr w:type="spellStart"/>
      <w:r w:rsidRPr="0090555B">
        <w:rPr>
          <w:rFonts w:ascii="Times New Roman" w:eastAsia="Times New Roman" w:hAnsi="Times New Roman" w:cs="Times New Roman"/>
          <w:iCs/>
          <w:sz w:val="20"/>
          <w:szCs w:val="20"/>
          <w:lang w:eastAsia="pt-BR"/>
        </w:rPr>
        <w:t>idéia</w:t>
      </w:r>
      <w:proofErr w:type="spellEnd"/>
      <w:r w:rsidRPr="0090555B">
        <w:rPr>
          <w:rFonts w:ascii="Times New Roman" w:eastAsia="Times New Roman" w:hAnsi="Times New Roman" w:cs="Times New Roman"/>
          <w:iCs/>
          <w:sz w:val="20"/>
          <w:szCs w:val="20"/>
          <w:lang w:eastAsia="pt-BR"/>
        </w:rPr>
        <w:t xml:space="preserve"> de predomínio das concepções </w:t>
      </w:r>
      <w:proofErr w:type="spellStart"/>
      <w:r w:rsidRPr="0090555B">
        <w:rPr>
          <w:rFonts w:ascii="Times New Roman" w:eastAsia="Times New Roman" w:hAnsi="Times New Roman" w:cs="Times New Roman"/>
          <w:iCs/>
          <w:sz w:val="20"/>
          <w:szCs w:val="20"/>
          <w:lang w:eastAsia="pt-BR"/>
        </w:rPr>
        <w:t>transpessoalistas</w:t>
      </w:r>
      <w:proofErr w:type="spellEnd"/>
      <w:r w:rsidRPr="0090555B">
        <w:rPr>
          <w:rFonts w:ascii="Times New Roman" w:eastAsia="Times New Roman" w:hAnsi="Times New Roman" w:cs="Times New Roman"/>
          <w:iCs/>
          <w:sz w:val="20"/>
          <w:szCs w:val="20"/>
          <w:lang w:eastAsia="pt-BR"/>
        </w:rPr>
        <w:t xml:space="preserve"> de Estado e Nação, em detrimento da liberdade individual. A dignidade é um valor espiritual e moral inerente à pessoa, que se manifesta singularmente na autodeterminação consciente e responsável da própria e que traz consigo a pretensão ao respeito por parte das demais </w:t>
      </w:r>
      <w:proofErr w:type="gramStart"/>
      <w:r w:rsidRPr="0090555B">
        <w:rPr>
          <w:rFonts w:ascii="Times New Roman" w:eastAsia="Times New Roman" w:hAnsi="Times New Roman" w:cs="Times New Roman"/>
          <w:iCs/>
          <w:sz w:val="20"/>
          <w:szCs w:val="20"/>
          <w:lang w:eastAsia="pt-BR"/>
        </w:rPr>
        <w:t>pessoas ,</w:t>
      </w:r>
      <w:proofErr w:type="gramEnd"/>
      <w:r w:rsidRPr="0090555B">
        <w:rPr>
          <w:rFonts w:ascii="Times New Roman" w:eastAsia="Times New Roman" w:hAnsi="Times New Roman" w:cs="Times New Roman"/>
          <w:iCs/>
          <w:sz w:val="20"/>
          <w:szCs w:val="20"/>
          <w:lang w:eastAsia="pt-BR"/>
        </w:rPr>
        <w:t xml:space="preserve"> constituindo-se um mínimo invulnerável que todo estatuto jurídico deve assegurar, de modo que, somente excepcionalmente, possam ser feitas limitações ao exercício dos direitos fundamentais, mas sempre sem menosprezar a necessária estima que merecem todas as pessoas enquanto seres humanos. </w:t>
      </w:r>
    </w:p>
    <w:p w:rsidR="004C46B0" w:rsidRDefault="004C46B0" w:rsidP="004C46B0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</w:p>
    <w:p w:rsidR="00FB261A" w:rsidRPr="0090555B" w:rsidRDefault="00FB261A" w:rsidP="004C46B0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</w:p>
    <w:p w:rsidR="004C46B0" w:rsidRDefault="004C46B0" w:rsidP="00512BDA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 direitos humanos segundo da Silva (1993, p. 164) se consolidam como uma ‘’ limitação da soberania popular em face dos poderes constitutivos do Estado que dela dependem’’. Dessa forma o poder do Estado não pode ir de encontro aos direitos garantidos aos indivíduos; no artigo </w:t>
      </w:r>
      <w:proofErr w:type="gramStart"/>
      <w:r>
        <w:rPr>
          <w:rFonts w:ascii="Times New Roman" w:hAnsi="Times New Roman" w:cs="Times New Roman"/>
          <w:sz w:val="24"/>
          <w:szCs w:val="24"/>
        </w:rPr>
        <w:t>5</w:t>
      </w:r>
      <w:proofErr w:type="gramEnd"/>
      <w:r>
        <w:rPr>
          <w:rFonts w:ascii="Times New Roman" w:hAnsi="Times New Roman" w:cs="Times New Roman"/>
          <w:sz w:val="24"/>
          <w:szCs w:val="24"/>
        </w:rPr>
        <w:t>, inciso XLVII, alínea b, prevê que na haverá penas de caráter perpetuo, desse aplicar essa norma as medidas de segurança que são regidas pela indeterminação temporal que ofende a dignidade da pessoa humana, principio presente na Constituição Federal.</w:t>
      </w:r>
    </w:p>
    <w:p w:rsidR="00512BDA" w:rsidRDefault="004C46B0" w:rsidP="00512BDA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legalidade penal deve estar presente na aplicação da medida de segurança, o cidadão tem o direito de conhecer de forma clara quais são os limites de sua liberdade e a interferência do Estado sobre ela. A pena perpetua é proibida, mas não existe prazo determinado para as medidas de segurança, todos os cidadãos devem tem as garantias constitucionais asseguradas, saber previamente qual a quantidade da intervenção realizada pelo Estado em sua liberdade individual.</w:t>
      </w:r>
    </w:p>
    <w:p w:rsidR="004C46B0" w:rsidRDefault="004C46B0" w:rsidP="004C46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2DB5" w:rsidRDefault="00712DB5" w:rsidP="00712DB5">
      <w:pPr>
        <w:pStyle w:val="NormalWeb"/>
        <w:tabs>
          <w:tab w:val="left" w:pos="1134"/>
        </w:tabs>
        <w:spacing w:before="0" w:beforeAutospacing="0" w:after="0" w:afterAutospacing="0" w:line="360" w:lineRule="auto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Conclusão</w:t>
      </w:r>
    </w:p>
    <w:p w:rsidR="00712DB5" w:rsidRDefault="00712DB5" w:rsidP="00512BDA">
      <w:pPr>
        <w:pStyle w:val="NormalWeb"/>
        <w:tabs>
          <w:tab w:val="left" w:pos="851"/>
          <w:tab w:val="left" w:pos="1134"/>
        </w:tabs>
        <w:spacing w:before="0" w:beforeAutospacing="0" w:after="0" w:afterAutospacing="0" w:line="360" w:lineRule="auto"/>
        <w:ind w:firstLine="1134"/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Segundo Alexandre de Moraes, “a vedação às penas de caráter perpétuo decorre do princípio da natureza temporária, limitada e definida das penas e compatibiliza-se com a garantia constitucional à liberdade e à dignidade humana”.</w:t>
      </w:r>
    </w:p>
    <w:p w:rsidR="00712DB5" w:rsidRDefault="00712DB5" w:rsidP="00512BDA">
      <w:pPr>
        <w:pStyle w:val="NormalWeb"/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firstLine="1134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ab/>
        <w:t xml:space="preserve">O princípio da humanidade das sanções (uma das maiores conquistas da humanidade, aflorado pelo Iluminismo, em especial, nas </w:t>
      </w:r>
      <w:proofErr w:type="spellStart"/>
      <w:r>
        <w:rPr>
          <w:color w:val="000000" w:themeColor="text1"/>
        </w:rPr>
        <w:t>idéias</w:t>
      </w:r>
      <w:proofErr w:type="spellEnd"/>
      <w:r>
        <w:rPr>
          <w:color w:val="000000" w:themeColor="text1"/>
        </w:rPr>
        <w:t xml:space="preserve"> memoráveis de </w:t>
      </w:r>
      <w:proofErr w:type="spellStart"/>
      <w:r>
        <w:rPr>
          <w:color w:val="000000" w:themeColor="text1"/>
        </w:rPr>
        <w:t>Beccaria</w:t>
      </w:r>
      <w:bookmarkStart w:id="2" w:name="_ftnref19"/>
      <w:proofErr w:type="spellEnd"/>
      <w:r>
        <w:rPr>
          <w:color w:val="000000" w:themeColor="text1"/>
        </w:rPr>
        <w:fldChar w:fldCharType="begin"/>
      </w:r>
      <w:r>
        <w:rPr>
          <w:color w:val="000000" w:themeColor="text1"/>
        </w:rPr>
        <w:instrText xml:space="preserve"> HYPERLINK "http://www.ambito-juridico.com.br/site/?n_link=revista_artigos_leitura&amp;artigo_id=4348&amp;revista_caderno=3" \l "_ftn19" \o "" </w:instrText>
      </w:r>
      <w:r>
        <w:rPr>
          <w:color w:val="000000" w:themeColor="text1"/>
        </w:rPr>
        <w:fldChar w:fldCharType="separate"/>
      </w:r>
      <w:r>
        <w:rPr>
          <w:rStyle w:val="Hyperlink"/>
          <w:color w:val="000000" w:themeColor="text1"/>
        </w:rPr>
        <w:t>[3]</w:t>
      </w:r>
      <w:r>
        <w:rPr>
          <w:color w:val="000000" w:themeColor="text1"/>
        </w:rPr>
        <w:fldChar w:fldCharType="end"/>
      </w:r>
      <w:bookmarkEnd w:id="2"/>
      <w:r>
        <w:rPr>
          <w:color w:val="000000" w:themeColor="text1"/>
        </w:rPr>
        <w:t>) não permite a medida de segurança indeterminada.</w:t>
      </w:r>
    </w:p>
    <w:p w:rsidR="00712DB5" w:rsidRDefault="00712DB5" w:rsidP="00512BDA">
      <w:pPr>
        <w:pStyle w:val="NormalWeb"/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firstLine="1134"/>
        <w:jc w:val="both"/>
        <w:rPr>
          <w:color w:val="000000" w:themeColor="text1"/>
        </w:rPr>
      </w:pPr>
      <w:r>
        <w:rPr>
          <w:color w:val="000000" w:themeColor="text1"/>
        </w:rPr>
        <w:tab/>
        <w:t xml:space="preserve">A medida de segurança indeterminada viola ainda o princípio da proporcionalidade, dessa forma, a duração máxima da medida de segurança será a da pena privativa ou ainda os trinta anos. </w:t>
      </w:r>
      <w:proofErr w:type="gramStart"/>
      <w:r>
        <w:rPr>
          <w:color w:val="000000" w:themeColor="text1"/>
        </w:rPr>
        <w:t>Após</w:t>
      </w:r>
      <w:proofErr w:type="gramEnd"/>
      <w:r>
        <w:rPr>
          <w:color w:val="000000" w:themeColor="text1"/>
        </w:rPr>
        <w:t xml:space="preserve"> decorrido esse prazo deverá ser efetuada a internação cível-administrativa, onde as providências a serem tomadas pelo juiz cível, devem ser realizadas.</w:t>
      </w:r>
    </w:p>
    <w:p w:rsidR="00712DB5" w:rsidRDefault="00712DB5" w:rsidP="00512BDA">
      <w:pPr>
        <w:pStyle w:val="NormalWeb"/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firstLine="1134"/>
        <w:jc w:val="both"/>
        <w:rPr>
          <w:color w:val="000000"/>
        </w:rPr>
      </w:pPr>
      <w:r>
        <w:rPr>
          <w:color w:val="000000" w:themeColor="text1"/>
        </w:rPr>
        <w:tab/>
        <w:t xml:space="preserve">Dessa forma, infere-se que por mais grave que seja a conduta realizada, e por maior que seja o </w:t>
      </w:r>
      <w:proofErr w:type="spellStart"/>
      <w:r>
        <w:rPr>
          <w:color w:val="000000" w:themeColor="text1"/>
        </w:rPr>
        <w:t>desvalor</w:t>
      </w:r>
      <w:proofErr w:type="spellEnd"/>
      <w:r>
        <w:rPr>
          <w:color w:val="000000" w:themeColor="text1"/>
        </w:rPr>
        <w:t xml:space="preserve"> do resultado final, a dignidade da pessoa humana deve permanecer íntegra na execução penal. Portanto, não seria cabível</w:t>
      </w:r>
      <w:r>
        <w:rPr>
          <w:color w:val="000000"/>
        </w:rPr>
        <w:t xml:space="preserve"> conduzir os </w:t>
      </w:r>
      <w:r>
        <w:t xml:space="preserve">indivíduos inimputáveis ou </w:t>
      </w:r>
      <w:proofErr w:type="spellStart"/>
      <w:r>
        <w:t>semi-imputáveis</w:t>
      </w:r>
      <w:proofErr w:type="spellEnd"/>
      <w:r>
        <w:t xml:space="preserve"> </w:t>
      </w:r>
      <w:r>
        <w:rPr>
          <w:color w:val="000000"/>
        </w:rPr>
        <w:t xml:space="preserve">a cumprir pena numa penitenciária, pois isso não evita que eles voltem a delinquir. </w:t>
      </w:r>
    </w:p>
    <w:p w:rsidR="00712DB5" w:rsidRDefault="00712DB5" w:rsidP="00512BDA">
      <w:pPr>
        <w:pStyle w:val="NormalWeb"/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firstLine="1134"/>
        <w:jc w:val="both"/>
        <w:rPr>
          <w:color w:val="000000" w:themeColor="text1"/>
        </w:rPr>
      </w:pPr>
      <w:r>
        <w:rPr>
          <w:color w:val="000000"/>
        </w:rPr>
        <w:t>Não seria cabível ainda, que nos casos de medida de segurança, estes indivíduos sejam encaminhados para manicômios, uma vez que, que o transtorno continuaria atuando, prejudicando então, os indivíduos mais frágeis.</w:t>
      </w:r>
    </w:p>
    <w:p w:rsidR="00712DB5" w:rsidRDefault="00712DB5" w:rsidP="00512BDA">
      <w:pPr>
        <w:pStyle w:val="NormalWeb"/>
        <w:shd w:val="clear" w:color="auto" w:fill="FCFDEF"/>
        <w:tabs>
          <w:tab w:val="left" w:pos="851"/>
        </w:tabs>
        <w:spacing w:before="0" w:beforeAutospacing="0" w:after="0" w:afterAutospacing="0" w:line="360" w:lineRule="auto"/>
        <w:ind w:firstLine="1134"/>
        <w:jc w:val="both"/>
        <w:rPr>
          <w:color w:val="000000"/>
        </w:rPr>
      </w:pPr>
      <w:r>
        <w:rPr>
          <w:color w:val="000000"/>
        </w:rPr>
        <w:tab/>
        <w:t xml:space="preserve">Dessa forma, opta-se pela criação de ambientes projetados para abrigar estes cidadãos, onde </w:t>
      </w:r>
      <w:r>
        <w:rPr>
          <w:color w:val="000000"/>
          <w:shd w:val="clear" w:color="auto" w:fill="FCFDEF"/>
        </w:rPr>
        <w:t>a proteção seja mais eficiente, e a psiquiatria possa melhor estudá-los para que tratamentos futuros mais eficazes sejam desenvolvidos possivelmente.</w:t>
      </w:r>
    </w:p>
    <w:p w:rsidR="00712DB5" w:rsidRDefault="00712DB5" w:rsidP="00512BDA">
      <w:pPr>
        <w:pStyle w:val="NormalWeb"/>
        <w:tabs>
          <w:tab w:val="left" w:pos="1134"/>
        </w:tabs>
        <w:spacing w:before="0" w:beforeAutospacing="0" w:after="0" w:afterAutospacing="0" w:line="360" w:lineRule="auto"/>
        <w:ind w:firstLine="1134"/>
        <w:jc w:val="both"/>
        <w:rPr>
          <w:color w:val="000000" w:themeColor="text1"/>
        </w:rPr>
      </w:pPr>
    </w:p>
    <w:p w:rsidR="00712DB5" w:rsidRDefault="00712DB5" w:rsidP="00512BDA">
      <w:pPr>
        <w:pStyle w:val="NormalWeb"/>
        <w:tabs>
          <w:tab w:val="left" w:pos="1134"/>
        </w:tabs>
        <w:spacing w:before="0" w:beforeAutospacing="0" w:after="0" w:afterAutospacing="0" w:line="360" w:lineRule="auto"/>
        <w:ind w:firstLine="1134"/>
        <w:jc w:val="both"/>
        <w:rPr>
          <w:color w:val="000000" w:themeColor="text1"/>
        </w:rPr>
      </w:pPr>
    </w:p>
    <w:p w:rsidR="00FB261A" w:rsidRDefault="00FB261A" w:rsidP="00FB261A">
      <w:pPr>
        <w:rPr>
          <w:rFonts w:ascii="Times New Roman" w:hAnsi="Times New Roman" w:cs="Times New Roman"/>
          <w:sz w:val="24"/>
          <w:szCs w:val="24"/>
        </w:rPr>
      </w:pPr>
    </w:p>
    <w:p w:rsidR="00FB261A" w:rsidRDefault="00FB261A" w:rsidP="00FB261A">
      <w:pPr>
        <w:rPr>
          <w:rFonts w:ascii="Times New Roman" w:hAnsi="Times New Roman" w:cs="Times New Roman"/>
          <w:sz w:val="24"/>
          <w:szCs w:val="24"/>
        </w:rPr>
      </w:pPr>
    </w:p>
    <w:p w:rsidR="00FB261A" w:rsidRDefault="00FB261A" w:rsidP="00FB261A">
      <w:pPr>
        <w:rPr>
          <w:rFonts w:ascii="Times New Roman" w:hAnsi="Times New Roman" w:cs="Times New Roman"/>
          <w:sz w:val="24"/>
          <w:szCs w:val="24"/>
        </w:rPr>
      </w:pPr>
    </w:p>
    <w:p w:rsidR="00FB261A" w:rsidRDefault="00FB261A" w:rsidP="00FB261A">
      <w:pPr>
        <w:rPr>
          <w:rFonts w:ascii="Times New Roman" w:hAnsi="Times New Roman" w:cs="Times New Roman"/>
          <w:sz w:val="24"/>
          <w:szCs w:val="24"/>
        </w:rPr>
      </w:pPr>
    </w:p>
    <w:p w:rsidR="00FB261A" w:rsidRDefault="00FB261A" w:rsidP="00FB261A">
      <w:pPr>
        <w:rPr>
          <w:rFonts w:ascii="Times New Roman" w:hAnsi="Times New Roman" w:cs="Times New Roman"/>
          <w:sz w:val="24"/>
          <w:szCs w:val="24"/>
        </w:rPr>
      </w:pPr>
    </w:p>
    <w:p w:rsidR="00FB261A" w:rsidRDefault="00FB261A" w:rsidP="00FB261A">
      <w:pPr>
        <w:rPr>
          <w:rFonts w:ascii="Times New Roman" w:hAnsi="Times New Roman" w:cs="Times New Roman"/>
          <w:sz w:val="24"/>
          <w:szCs w:val="24"/>
        </w:rPr>
      </w:pPr>
    </w:p>
    <w:p w:rsidR="00FB261A" w:rsidRDefault="00FB261A" w:rsidP="00FB261A">
      <w:pPr>
        <w:rPr>
          <w:rFonts w:ascii="Times New Roman" w:hAnsi="Times New Roman" w:cs="Times New Roman"/>
          <w:sz w:val="24"/>
          <w:szCs w:val="24"/>
        </w:rPr>
      </w:pPr>
    </w:p>
    <w:p w:rsidR="00512BDA" w:rsidRDefault="00512BDA" w:rsidP="00FB261A">
      <w:pPr>
        <w:rPr>
          <w:rFonts w:ascii="Times New Roman" w:hAnsi="Times New Roman" w:cs="Times New Roman"/>
          <w:sz w:val="24"/>
          <w:szCs w:val="24"/>
        </w:rPr>
      </w:pPr>
    </w:p>
    <w:p w:rsidR="00512BDA" w:rsidRDefault="00512BDA" w:rsidP="00FB261A">
      <w:pPr>
        <w:rPr>
          <w:rFonts w:ascii="Times New Roman" w:hAnsi="Times New Roman" w:cs="Times New Roman"/>
          <w:sz w:val="24"/>
          <w:szCs w:val="24"/>
        </w:rPr>
      </w:pPr>
    </w:p>
    <w:p w:rsidR="00512BDA" w:rsidRDefault="00512BDA" w:rsidP="00FB261A">
      <w:pPr>
        <w:rPr>
          <w:rFonts w:ascii="Times New Roman" w:hAnsi="Times New Roman" w:cs="Times New Roman"/>
          <w:sz w:val="24"/>
          <w:szCs w:val="24"/>
        </w:rPr>
      </w:pPr>
    </w:p>
    <w:p w:rsidR="00FB261A" w:rsidRPr="004C78C4" w:rsidRDefault="00FB261A" w:rsidP="00FB26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C78C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Referências: </w:t>
      </w:r>
    </w:p>
    <w:p w:rsidR="00FB261A" w:rsidRPr="004C78C4" w:rsidRDefault="00FB261A" w:rsidP="00FB26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93F75" w:rsidRPr="004C78C4" w:rsidRDefault="00A64911" w:rsidP="004C78C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78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[1] </w:t>
      </w:r>
      <w:r w:rsidR="00493F75" w:rsidRPr="004C78C4">
        <w:rPr>
          <w:rFonts w:ascii="Times New Roman" w:hAnsi="Times New Roman" w:cs="Times New Roman"/>
          <w:color w:val="000000"/>
          <w:sz w:val="24"/>
          <w:szCs w:val="24"/>
        </w:rPr>
        <w:t xml:space="preserve">ALVES, Márcio Fortuna. </w:t>
      </w:r>
      <w:r w:rsidR="00493F75" w:rsidRPr="004C78C4">
        <w:rPr>
          <w:rStyle w:val="Forte"/>
          <w:rFonts w:ascii="Times New Roman" w:hAnsi="Times New Roman" w:cs="Times New Roman"/>
          <w:color w:val="000000"/>
          <w:sz w:val="24"/>
          <w:szCs w:val="24"/>
        </w:rPr>
        <w:t>A constitucionalidade ou não da indeterminação temporal da medida de segurança.</w:t>
      </w:r>
      <w:r w:rsidR="00493F75" w:rsidRPr="004C78C4">
        <w:rPr>
          <w:rFonts w:ascii="Times New Roman" w:hAnsi="Times New Roman" w:cs="Times New Roman"/>
          <w:color w:val="000000"/>
          <w:sz w:val="24"/>
          <w:szCs w:val="24"/>
        </w:rPr>
        <w:t xml:space="preserve"> Disponível em:</w:t>
      </w:r>
      <w:r w:rsidRPr="004C78C4">
        <w:rPr>
          <w:rStyle w:val="url1"/>
          <w:rFonts w:ascii="Times New Roman" w:hAnsi="Times New Roman" w:cs="Times New Roman"/>
          <w:sz w:val="24"/>
          <w:szCs w:val="24"/>
        </w:rPr>
        <w:t>&lt;</w:t>
      </w:r>
      <w:r w:rsidRPr="004C78C4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4C78C4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http://azlista.com.br/article/detail.php?id=720</w:t>
        </w:r>
      </w:hyperlink>
      <w:r w:rsidR="004C78C4">
        <w:rPr>
          <w:rFonts w:ascii="Times New Roman" w:hAnsi="Times New Roman" w:cs="Times New Roman"/>
          <w:sz w:val="24"/>
          <w:szCs w:val="24"/>
        </w:rPr>
        <w:t>&gt;</w:t>
      </w:r>
      <w:r w:rsidR="00493F75" w:rsidRPr="004C78C4">
        <w:rPr>
          <w:rFonts w:ascii="Times New Roman" w:hAnsi="Times New Roman" w:cs="Times New Roman"/>
          <w:color w:val="000000"/>
          <w:sz w:val="24"/>
          <w:szCs w:val="24"/>
        </w:rPr>
        <w:t xml:space="preserve">. Acesso em: </w:t>
      </w:r>
      <w:r w:rsidRPr="004C78C4">
        <w:rPr>
          <w:rStyle w:val="timeaccess"/>
          <w:rFonts w:ascii="Times New Roman" w:hAnsi="Times New Roman" w:cs="Times New Roman"/>
          <w:color w:val="000000"/>
          <w:sz w:val="24"/>
          <w:szCs w:val="24"/>
        </w:rPr>
        <w:t>10 abr</w:t>
      </w:r>
      <w:r w:rsidR="00CF3D38" w:rsidRPr="004C78C4">
        <w:rPr>
          <w:rStyle w:val="timeaccess"/>
          <w:rFonts w:ascii="Times New Roman" w:hAnsi="Times New Roman" w:cs="Times New Roman"/>
          <w:color w:val="000000"/>
          <w:sz w:val="24"/>
          <w:szCs w:val="24"/>
        </w:rPr>
        <w:t>.</w:t>
      </w:r>
      <w:r w:rsidR="00493F75" w:rsidRPr="004C78C4">
        <w:rPr>
          <w:rStyle w:val="timeaccess"/>
          <w:rFonts w:ascii="Times New Roman" w:hAnsi="Times New Roman" w:cs="Times New Roman"/>
          <w:color w:val="000000"/>
          <w:sz w:val="24"/>
          <w:szCs w:val="24"/>
        </w:rPr>
        <w:t xml:space="preserve"> 2012</w:t>
      </w:r>
      <w:r w:rsidR="00493F75" w:rsidRPr="004C78C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493F75" w:rsidRPr="004C78C4" w:rsidRDefault="00CF3D38" w:rsidP="004C78C4">
      <w:pPr>
        <w:tabs>
          <w:tab w:val="left" w:pos="20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8C4">
        <w:rPr>
          <w:rFonts w:ascii="Times New Roman" w:hAnsi="Times New Roman" w:cs="Times New Roman"/>
          <w:sz w:val="24"/>
          <w:szCs w:val="24"/>
        </w:rPr>
        <w:tab/>
      </w:r>
    </w:p>
    <w:p w:rsidR="0043471D" w:rsidRPr="004C78C4" w:rsidRDefault="0043471D" w:rsidP="004C78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3F75" w:rsidRPr="004C78C4" w:rsidRDefault="00493F75" w:rsidP="004C78C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78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ARAÚJO, Flávio Roque da Silva. </w:t>
      </w:r>
      <w:r w:rsidRPr="004C78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Prazos (mínimo e máximo) da medida de segurança.</w:t>
      </w:r>
      <w:r w:rsidRPr="004C78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Disponível:&lt;</w:t>
      </w:r>
      <w:hyperlink r:id="rId10" w:history="1">
        <w:r w:rsidRPr="004C78C4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http://jus.com.br/revista/texto/11119/prazos-minimo-e-maximo-das-medidas-de-seguranca</w:t>
        </w:r>
      </w:hyperlink>
      <w:r w:rsidR="00A64911" w:rsidRPr="004C78C4">
        <w:rPr>
          <w:rFonts w:ascii="Times New Roman" w:hAnsi="Times New Roman" w:cs="Times New Roman"/>
          <w:color w:val="000000" w:themeColor="text1"/>
          <w:sz w:val="24"/>
          <w:szCs w:val="24"/>
        </w:rPr>
        <w:t>&gt; Acesso em: 15. Abr</w:t>
      </w:r>
      <w:r w:rsidRPr="004C78C4">
        <w:rPr>
          <w:rFonts w:ascii="Times New Roman" w:hAnsi="Times New Roman" w:cs="Times New Roman"/>
          <w:color w:val="000000" w:themeColor="text1"/>
          <w:sz w:val="24"/>
          <w:szCs w:val="24"/>
        </w:rPr>
        <w:t>. 2012.</w:t>
      </w:r>
    </w:p>
    <w:p w:rsidR="00A64911" w:rsidRPr="004C78C4" w:rsidRDefault="00A64911" w:rsidP="004C78C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B261A" w:rsidRPr="004C78C4" w:rsidRDefault="00FB261A" w:rsidP="004C78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B261A" w:rsidRPr="004C78C4" w:rsidRDefault="00FB261A" w:rsidP="004C78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8C4">
        <w:rPr>
          <w:rFonts w:ascii="Times New Roman" w:hAnsi="Times New Roman" w:cs="Times New Roman"/>
          <w:sz w:val="24"/>
          <w:szCs w:val="24"/>
        </w:rPr>
        <w:t xml:space="preserve">CAPEZ, Fernando. </w:t>
      </w:r>
      <w:r w:rsidRPr="004C78C4">
        <w:rPr>
          <w:rFonts w:ascii="Times New Roman" w:hAnsi="Times New Roman" w:cs="Times New Roman"/>
          <w:b/>
          <w:bCs/>
          <w:sz w:val="24"/>
          <w:szCs w:val="24"/>
        </w:rPr>
        <w:t>Curso de direito penal</w:t>
      </w:r>
      <w:r w:rsidRPr="004C78C4">
        <w:rPr>
          <w:rFonts w:ascii="Times New Roman" w:hAnsi="Times New Roman" w:cs="Times New Roman"/>
          <w:sz w:val="24"/>
          <w:szCs w:val="24"/>
        </w:rPr>
        <w:t>: Parte Geral. São Paulo: Saraiva 2007.</w:t>
      </w:r>
    </w:p>
    <w:p w:rsidR="00493F75" w:rsidRDefault="00493F75" w:rsidP="004C78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78C4" w:rsidRDefault="004C78C4" w:rsidP="004C78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78C4" w:rsidRPr="004C78C4" w:rsidRDefault="004C78C4" w:rsidP="004C78C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78C4">
        <w:rPr>
          <w:rFonts w:ascii="Times New Roman" w:hAnsi="Times New Roman" w:cs="Times New Roman"/>
          <w:color w:val="000000" w:themeColor="text1"/>
          <w:sz w:val="24"/>
          <w:szCs w:val="24"/>
        </w:rPr>
        <w:t>[2] CAVALCANTI, Luciana.</w:t>
      </w:r>
      <w:r w:rsidRPr="004C78C4">
        <w:rPr>
          <w:rFonts w:ascii="Times New Roman" w:hAnsi="Times New Roman" w:cs="Times New Roman"/>
          <w:b/>
          <w:bCs/>
          <w:color w:val="345D9F"/>
          <w:sz w:val="24"/>
          <w:szCs w:val="24"/>
        </w:rPr>
        <w:t xml:space="preserve"> </w:t>
      </w:r>
      <w:r w:rsidRPr="004C78C4">
        <w:rPr>
          <w:rFonts w:ascii="Times New Roman" w:hAnsi="Times New Roman" w:cs="Times New Roman"/>
          <w:b/>
          <w:bCs/>
          <w:sz w:val="24"/>
          <w:szCs w:val="24"/>
        </w:rPr>
        <w:t>Visita Técnica ao Hospital de Custódia e Tratamento Psiquiátrico-HCTP/Manicômio Jurídico</w:t>
      </w:r>
      <w:proofErr w:type="gramStart"/>
      <w:r w:rsidRPr="004C78C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4C78C4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4C78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Disponível em: &lt;</w:t>
      </w:r>
      <w:hyperlink r:id="rId11" w:history="1">
        <w:r w:rsidRPr="004C78C4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http://www.webartigos.com/artigos/visita-tecnica-ao-hospital-de-custodia-e-tratamento-psiquiatrico-hctp-manicomio-juridico/59145/</w:t>
        </w:r>
      </w:hyperlink>
      <w:r w:rsidRPr="004C78C4">
        <w:rPr>
          <w:rFonts w:ascii="Times New Roman" w:hAnsi="Times New Roman" w:cs="Times New Roman"/>
          <w:color w:val="000000" w:themeColor="text1"/>
          <w:sz w:val="24"/>
          <w:szCs w:val="24"/>
        </w:rPr>
        <w:t>&gt; Acesso em: 21. Abr. 2012.</w:t>
      </w:r>
    </w:p>
    <w:p w:rsidR="004C78C4" w:rsidRPr="004C78C4" w:rsidRDefault="004C78C4" w:rsidP="004C78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3F75" w:rsidRPr="004C78C4" w:rsidRDefault="00493F75" w:rsidP="004C78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3F75" w:rsidRPr="004C78C4" w:rsidRDefault="00493F75" w:rsidP="004C78C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78C4">
        <w:rPr>
          <w:rFonts w:ascii="Times New Roman" w:hAnsi="Times New Roman" w:cs="Times New Roman"/>
          <w:color w:val="000000" w:themeColor="text1"/>
          <w:sz w:val="24"/>
          <w:szCs w:val="24"/>
        </w:rPr>
        <w:t>FEITOSA, Isabela Britto.</w:t>
      </w:r>
      <w:r w:rsidRPr="004C78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A aplicação da medida de segurança no Direito Penal Brasileiro</w:t>
      </w:r>
      <w:r w:rsidRPr="004C78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Disponível em: &lt; </w:t>
      </w:r>
      <w:hyperlink r:id="rId12" w:history="1">
        <w:r w:rsidRPr="004C78C4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http://www.jurisway.org.br/v2/dhall.asp?id_dh=5982</w:t>
        </w:r>
      </w:hyperlink>
      <w:r w:rsidR="00A64911" w:rsidRPr="004C78C4">
        <w:rPr>
          <w:rFonts w:ascii="Times New Roman" w:hAnsi="Times New Roman" w:cs="Times New Roman"/>
          <w:color w:val="000000" w:themeColor="text1"/>
          <w:sz w:val="24"/>
          <w:szCs w:val="24"/>
        </w:rPr>
        <w:t>&gt; Acesso em: 1</w:t>
      </w:r>
      <w:r w:rsidRPr="004C78C4">
        <w:rPr>
          <w:rFonts w:ascii="Times New Roman" w:hAnsi="Times New Roman" w:cs="Times New Roman"/>
          <w:color w:val="000000" w:themeColor="text1"/>
          <w:sz w:val="24"/>
          <w:szCs w:val="24"/>
        </w:rPr>
        <w:t>5. Mar. 2012.</w:t>
      </w:r>
    </w:p>
    <w:p w:rsidR="00FB261A" w:rsidRPr="004C78C4" w:rsidRDefault="00FB261A" w:rsidP="004C78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B261A" w:rsidRPr="004C78C4" w:rsidRDefault="00FB261A" w:rsidP="004C78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B261A" w:rsidRPr="004C78C4" w:rsidRDefault="00FB261A" w:rsidP="004C78C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78C4">
        <w:rPr>
          <w:rFonts w:ascii="Times New Roman" w:hAnsi="Times New Roman" w:cs="Times New Roman"/>
          <w:color w:val="000000"/>
          <w:sz w:val="24"/>
          <w:szCs w:val="24"/>
        </w:rPr>
        <w:t xml:space="preserve">FERRARI, Eduardo Reale. </w:t>
      </w:r>
      <w:r w:rsidRPr="004C78C4">
        <w:rPr>
          <w:rStyle w:val="Forte"/>
          <w:rFonts w:ascii="Times New Roman" w:hAnsi="Times New Roman" w:cs="Times New Roman"/>
          <w:color w:val="000000"/>
          <w:sz w:val="24"/>
          <w:szCs w:val="24"/>
        </w:rPr>
        <w:t>Medidas de Segurança e Direito Penal no Estado Democrático de Direito</w:t>
      </w:r>
      <w:r w:rsidRPr="004C78C4">
        <w:rPr>
          <w:rFonts w:ascii="Times New Roman" w:hAnsi="Times New Roman" w:cs="Times New Roman"/>
          <w:color w:val="000000"/>
          <w:sz w:val="24"/>
          <w:szCs w:val="24"/>
        </w:rPr>
        <w:t xml:space="preserve">. São Paulo: Revista dos Tribunais, 2001, </w:t>
      </w:r>
      <w:r w:rsidRPr="004C78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p. 195. </w:t>
      </w:r>
      <w:r w:rsidRPr="004C78C4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FB261A" w:rsidRPr="004C78C4" w:rsidRDefault="00FB261A" w:rsidP="004C78C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B261A" w:rsidRPr="004C78C4" w:rsidRDefault="00FB261A" w:rsidP="004C78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8C4">
        <w:rPr>
          <w:rFonts w:ascii="Times New Roman" w:hAnsi="Times New Roman" w:cs="Times New Roman"/>
          <w:sz w:val="24"/>
          <w:szCs w:val="24"/>
        </w:rPr>
        <w:t xml:space="preserve">GRECO, Rogério. </w:t>
      </w:r>
      <w:r w:rsidRPr="004C78C4">
        <w:rPr>
          <w:rFonts w:ascii="Times New Roman" w:hAnsi="Times New Roman" w:cs="Times New Roman"/>
          <w:b/>
          <w:sz w:val="24"/>
          <w:szCs w:val="24"/>
        </w:rPr>
        <w:t>Curso de Direito Penal</w:t>
      </w:r>
      <w:r w:rsidRPr="004C78C4">
        <w:rPr>
          <w:rFonts w:ascii="Times New Roman" w:hAnsi="Times New Roman" w:cs="Times New Roman"/>
          <w:sz w:val="24"/>
          <w:szCs w:val="24"/>
        </w:rPr>
        <w:t>. 7ª ed. Rio de Janeiro: Impetus, 2006.</w:t>
      </w:r>
    </w:p>
    <w:p w:rsidR="00FB261A" w:rsidRPr="004C78C4" w:rsidRDefault="00FB261A" w:rsidP="004C78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261A" w:rsidRPr="004C78C4" w:rsidRDefault="00FB261A" w:rsidP="004C78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261A" w:rsidRPr="004C78C4" w:rsidRDefault="00FB261A" w:rsidP="004C78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8C4">
        <w:rPr>
          <w:rFonts w:ascii="Times New Roman" w:hAnsi="Times New Roman" w:cs="Times New Roman"/>
          <w:sz w:val="24"/>
          <w:szCs w:val="24"/>
        </w:rPr>
        <w:t xml:space="preserve">JESUS, Damásio Evangelista. </w:t>
      </w:r>
      <w:r w:rsidRPr="004C78C4">
        <w:rPr>
          <w:rFonts w:ascii="Times New Roman" w:hAnsi="Times New Roman" w:cs="Times New Roman"/>
          <w:b/>
          <w:bCs/>
          <w:sz w:val="24"/>
          <w:szCs w:val="24"/>
        </w:rPr>
        <w:t>Direito penal</w:t>
      </w:r>
      <w:r w:rsidRPr="004C78C4">
        <w:rPr>
          <w:rFonts w:ascii="Times New Roman" w:hAnsi="Times New Roman" w:cs="Times New Roman"/>
          <w:sz w:val="24"/>
          <w:szCs w:val="24"/>
        </w:rPr>
        <w:t xml:space="preserve">: parte geral. </w:t>
      </w:r>
      <w:proofErr w:type="gramStart"/>
      <w:r w:rsidRPr="004C78C4">
        <w:rPr>
          <w:rFonts w:ascii="Times New Roman" w:hAnsi="Times New Roman" w:cs="Times New Roman"/>
          <w:sz w:val="24"/>
          <w:szCs w:val="24"/>
        </w:rPr>
        <w:t>v.</w:t>
      </w:r>
      <w:proofErr w:type="gramEnd"/>
      <w:r w:rsidRPr="004C78C4">
        <w:rPr>
          <w:rFonts w:ascii="Times New Roman" w:hAnsi="Times New Roman" w:cs="Times New Roman"/>
          <w:sz w:val="24"/>
          <w:szCs w:val="24"/>
        </w:rPr>
        <w:t xml:space="preserve"> 1. São Paulo: </w:t>
      </w:r>
      <w:proofErr w:type="gramStart"/>
      <w:r w:rsidRPr="004C78C4">
        <w:rPr>
          <w:rFonts w:ascii="Times New Roman" w:hAnsi="Times New Roman" w:cs="Times New Roman"/>
          <w:sz w:val="24"/>
          <w:szCs w:val="24"/>
        </w:rPr>
        <w:t>Saraiva,</w:t>
      </w:r>
      <w:proofErr w:type="gramEnd"/>
      <w:r w:rsidRPr="004C78C4">
        <w:rPr>
          <w:rFonts w:ascii="Times New Roman" w:hAnsi="Times New Roman" w:cs="Times New Roman"/>
          <w:sz w:val="24"/>
          <w:szCs w:val="24"/>
        </w:rPr>
        <w:t xml:space="preserve"> 2006.</w:t>
      </w:r>
    </w:p>
    <w:p w:rsidR="00FB261A" w:rsidRPr="004C78C4" w:rsidRDefault="00FB261A" w:rsidP="004C78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261A" w:rsidRDefault="00FB261A" w:rsidP="004C78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78C4" w:rsidRPr="004C78C4" w:rsidRDefault="004C78C4" w:rsidP="004C78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8C4">
        <w:rPr>
          <w:rFonts w:ascii="Times New Roman" w:hAnsi="Times New Roman" w:cs="Times New Roman"/>
          <w:sz w:val="24"/>
          <w:szCs w:val="24"/>
        </w:rPr>
        <w:t xml:space="preserve">MIRABETE, Júlio Fabbrini. </w:t>
      </w:r>
      <w:r w:rsidRPr="004C78C4">
        <w:rPr>
          <w:rFonts w:ascii="Times New Roman" w:hAnsi="Times New Roman" w:cs="Times New Roman"/>
          <w:b/>
          <w:sz w:val="24"/>
          <w:szCs w:val="24"/>
        </w:rPr>
        <w:t>Manual de Direito Penal</w:t>
      </w:r>
      <w:r w:rsidRPr="004C78C4">
        <w:rPr>
          <w:rFonts w:ascii="Times New Roman" w:hAnsi="Times New Roman" w:cs="Times New Roman"/>
          <w:sz w:val="24"/>
          <w:szCs w:val="24"/>
        </w:rPr>
        <w:t>: Parte Geral 18ª ed. São Paulo: Atlas, 2002.</w:t>
      </w:r>
    </w:p>
    <w:p w:rsidR="004C78C4" w:rsidRPr="004C78C4" w:rsidRDefault="004C78C4" w:rsidP="004C78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78C4" w:rsidRPr="004C78C4" w:rsidRDefault="004C78C4" w:rsidP="004C78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78C4" w:rsidRPr="004C78C4" w:rsidRDefault="004C78C4" w:rsidP="004C78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8C4">
        <w:rPr>
          <w:rFonts w:ascii="Times New Roman" w:hAnsi="Times New Roman" w:cs="Times New Roman"/>
          <w:sz w:val="24"/>
          <w:szCs w:val="24"/>
        </w:rPr>
        <w:t xml:space="preserve">MORAES, Alexandre de. </w:t>
      </w:r>
      <w:r w:rsidRPr="004C78C4">
        <w:rPr>
          <w:rFonts w:ascii="Times New Roman" w:hAnsi="Times New Roman" w:cs="Times New Roman"/>
          <w:i/>
          <w:iCs/>
          <w:sz w:val="24"/>
          <w:szCs w:val="24"/>
        </w:rPr>
        <w:t>Direito Constitucional.</w:t>
      </w:r>
      <w:r w:rsidRPr="004C78C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C78C4">
        <w:rPr>
          <w:rFonts w:ascii="Times New Roman" w:hAnsi="Times New Roman" w:cs="Times New Roman"/>
          <w:sz w:val="24"/>
          <w:szCs w:val="24"/>
        </w:rPr>
        <w:t xml:space="preserve">13. </w:t>
      </w:r>
      <w:proofErr w:type="gramStart"/>
      <w:r w:rsidRPr="004C78C4">
        <w:rPr>
          <w:rFonts w:ascii="Times New Roman" w:hAnsi="Times New Roman" w:cs="Times New Roman"/>
          <w:sz w:val="24"/>
          <w:szCs w:val="24"/>
        </w:rPr>
        <w:t>ed.</w:t>
      </w:r>
      <w:proofErr w:type="gramEnd"/>
      <w:r w:rsidRPr="004C78C4">
        <w:rPr>
          <w:rFonts w:ascii="Times New Roman" w:hAnsi="Times New Roman" w:cs="Times New Roman"/>
          <w:sz w:val="24"/>
          <w:szCs w:val="24"/>
        </w:rPr>
        <w:t xml:space="preserve"> São Paulo: Atlas, 2003.</w:t>
      </w:r>
    </w:p>
    <w:p w:rsidR="004C78C4" w:rsidRDefault="004C78C4" w:rsidP="004C78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78C4" w:rsidRDefault="004C78C4" w:rsidP="004C78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78C4" w:rsidRPr="004C78C4" w:rsidRDefault="004C78C4" w:rsidP="004C78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8C4">
        <w:rPr>
          <w:rFonts w:ascii="Times New Roman" w:hAnsi="Times New Roman" w:cs="Times New Roman"/>
          <w:sz w:val="24"/>
          <w:szCs w:val="24"/>
        </w:rPr>
        <w:t xml:space="preserve">PRADO, Luiz Regis. </w:t>
      </w:r>
      <w:r w:rsidRPr="004C78C4">
        <w:rPr>
          <w:rFonts w:ascii="Times New Roman" w:hAnsi="Times New Roman" w:cs="Times New Roman"/>
          <w:b/>
          <w:bCs/>
          <w:sz w:val="24"/>
          <w:szCs w:val="24"/>
        </w:rPr>
        <w:t xml:space="preserve">Curso de Direito Brasileiro. </w:t>
      </w:r>
      <w:r w:rsidRPr="004C78C4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4C78C4">
        <w:rPr>
          <w:rFonts w:ascii="Times New Roman" w:hAnsi="Times New Roman" w:cs="Times New Roman"/>
          <w:sz w:val="24"/>
          <w:szCs w:val="24"/>
        </w:rPr>
        <w:t>ed.</w:t>
      </w:r>
      <w:proofErr w:type="gramEnd"/>
      <w:r w:rsidRPr="004C78C4">
        <w:rPr>
          <w:rFonts w:ascii="Times New Roman" w:hAnsi="Times New Roman" w:cs="Times New Roman"/>
          <w:sz w:val="24"/>
          <w:szCs w:val="24"/>
        </w:rPr>
        <w:t xml:space="preserve"> São Paulo: Revista dos Tribunais, 2000.</w:t>
      </w:r>
    </w:p>
    <w:p w:rsidR="004C78C4" w:rsidRPr="004C78C4" w:rsidRDefault="004C78C4" w:rsidP="004C78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78C4" w:rsidRPr="004C78C4" w:rsidRDefault="004C78C4" w:rsidP="004C78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78C4" w:rsidRPr="004C78C4" w:rsidRDefault="004C78C4" w:rsidP="004C78C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78C4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QUEIROZ, Paulo. </w:t>
      </w:r>
      <w:r w:rsidRPr="004C78C4">
        <w:rPr>
          <w:rStyle w:val="Forte"/>
          <w:rFonts w:ascii="Times New Roman" w:hAnsi="Times New Roman" w:cs="Times New Roman"/>
          <w:color w:val="000000"/>
          <w:sz w:val="24"/>
          <w:szCs w:val="24"/>
        </w:rPr>
        <w:t>Direito Penal Parte Geral</w:t>
      </w:r>
      <w:r w:rsidRPr="004C78C4">
        <w:rPr>
          <w:rFonts w:ascii="Times New Roman" w:hAnsi="Times New Roman" w:cs="Times New Roman"/>
          <w:color w:val="000000"/>
          <w:sz w:val="24"/>
          <w:szCs w:val="24"/>
        </w:rPr>
        <w:t xml:space="preserve">. 2. </w:t>
      </w:r>
      <w:proofErr w:type="gramStart"/>
      <w:r w:rsidRPr="004C78C4">
        <w:rPr>
          <w:rFonts w:ascii="Times New Roman" w:hAnsi="Times New Roman" w:cs="Times New Roman"/>
          <w:color w:val="000000"/>
          <w:sz w:val="24"/>
          <w:szCs w:val="24"/>
        </w:rPr>
        <w:t>ed.</w:t>
      </w:r>
      <w:proofErr w:type="gramEnd"/>
      <w:r w:rsidRPr="004C78C4">
        <w:rPr>
          <w:rFonts w:ascii="Times New Roman" w:hAnsi="Times New Roman" w:cs="Times New Roman"/>
          <w:color w:val="000000"/>
          <w:sz w:val="24"/>
          <w:szCs w:val="24"/>
        </w:rPr>
        <w:t xml:space="preserve"> rev. e aum. São Paulo: Saraiva, 2005.</w:t>
      </w:r>
      <w:r w:rsidRPr="004C78C4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4C78C4" w:rsidRPr="004C78C4" w:rsidRDefault="004C78C4" w:rsidP="004C78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261A" w:rsidRPr="004C78C4" w:rsidRDefault="00FB261A" w:rsidP="004C78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8C4">
        <w:rPr>
          <w:rFonts w:ascii="Times New Roman" w:hAnsi="Times New Roman" w:cs="Times New Roman"/>
          <w:sz w:val="24"/>
          <w:szCs w:val="24"/>
        </w:rPr>
        <w:t xml:space="preserve">SILVA, José Afonso </w:t>
      </w:r>
      <w:proofErr w:type="gramStart"/>
      <w:r w:rsidRPr="004C78C4">
        <w:rPr>
          <w:rFonts w:ascii="Times New Roman" w:hAnsi="Times New Roman" w:cs="Times New Roman"/>
          <w:sz w:val="24"/>
          <w:szCs w:val="24"/>
        </w:rPr>
        <w:t>da.</w:t>
      </w:r>
      <w:proofErr w:type="gramEnd"/>
      <w:r w:rsidRPr="004C78C4">
        <w:rPr>
          <w:rFonts w:ascii="Times New Roman" w:hAnsi="Times New Roman" w:cs="Times New Roman"/>
          <w:sz w:val="24"/>
          <w:szCs w:val="24"/>
        </w:rPr>
        <w:t xml:space="preserve"> </w:t>
      </w:r>
      <w:r w:rsidRPr="004C78C4">
        <w:rPr>
          <w:rFonts w:ascii="Times New Roman" w:hAnsi="Times New Roman" w:cs="Times New Roman"/>
          <w:b/>
          <w:bCs/>
          <w:sz w:val="24"/>
          <w:szCs w:val="24"/>
        </w:rPr>
        <w:t>Curso de direito constitucional positivo</w:t>
      </w:r>
      <w:r w:rsidRPr="004C78C4">
        <w:rPr>
          <w:rFonts w:ascii="Times New Roman" w:hAnsi="Times New Roman" w:cs="Times New Roman"/>
          <w:sz w:val="24"/>
          <w:szCs w:val="24"/>
        </w:rPr>
        <w:t>.9.ed, São Paulo: Malheiros,2003, p.13.</w:t>
      </w:r>
    </w:p>
    <w:p w:rsidR="00FB261A" w:rsidRPr="004C78C4" w:rsidRDefault="00FB261A" w:rsidP="004C78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261A" w:rsidRPr="004C78C4" w:rsidRDefault="00FB261A" w:rsidP="004C78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78C4" w:rsidRPr="004C78C4" w:rsidRDefault="004C78C4" w:rsidP="004C78C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78C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TORELLO, Giovanni. </w:t>
      </w:r>
      <w:proofErr w:type="spellStart"/>
      <w:proofErr w:type="gramStart"/>
      <w:r w:rsidRPr="004C78C4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Psichyatry</w:t>
      </w:r>
      <w:proofErr w:type="spellEnd"/>
      <w:r w:rsidRPr="004C78C4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on line Brazil.</w:t>
      </w:r>
      <w:proofErr w:type="gramEnd"/>
      <w:r w:rsidRPr="004C78C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4C78C4">
        <w:rPr>
          <w:rFonts w:ascii="Times New Roman" w:hAnsi="Times New Roman" w:cs="Times New Roman"/>
          <w:color w:val="000000" w:themeColor="text1"/>
          <w:sz w:val="24"/>
          <w:szCs w:val="24"/>
        </w:rPr>
        <w:t>Disponível em: &lt;</w:t>
      </w:r>
      <w:hyperlink r:id="rId13" w:history="1">
        <w:r w:rsidRPr="004C78C4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http://www.polbr.med.br/ano06/artigo0806.php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>&gt; Acesso em: 20. Mar</w:t>
      </w:r>
      <w:r w:rsidRPr="004C78C4">
        <w:rPr>
          <w:rFonts w:ascii="Times New Roman" w:hAnsi="Times New Roman" w:cs="Times New Roman"/>
          <w:color w:val="000000" w:themeColor="text1"/>
          <w:sz w:val="24"/>
          <w:szCs w:val="24"/>
        </w:rPr>
        <w:t>. 2012.</w:t>
      </w:r>
    </w:p>
    <w:p w:rsidR="004C78C4" w:rsidRDefault="004C78C4" w:rsidP="004C78C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C78C4" w:rsidRDefault="004C78C4" w:rsidP="004C78C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C78C4" w:rsidRPr="004C78C4" w:rsidRDefault="004C78C4" w:rsidP="004C78C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78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[3] VIEIRA, </w:t>
      </w:r>
      <w:proofErr w:type="spellStart"/>
      <w:r w:rsidRPr="004C78C4">
        <w:rPr>
          <w:rFonts w:ascii="Times New Roman" w:hAnsi="Times New Roman" w:cs="Times New Roman"/>
          <w:color w:val="000000" w:themeColor="text1"/>
          <w:sz w:val="24"/>
          <w:szCs w:val="24"/>
        </w:rPr>
        <w:t>Vanderson</w:t>
      </w:r>
      <w:proofErr w:type="spellEnd"/>
      <w:r w:rsidRPr="004C78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Roberto. </w:t>
      </w:r>
      <w:r w:rsidRPr="004C78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Âmbito Jurídico.</w:t>
      </w:r>
      <w:r w:rsidRPr="004C78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Disponível em: &lt;</w:t>
      </w:r>
      <w:hyperlink w:history="1">
        <w:r w:rsidRPr="004C78C4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http://www.ambito juridico.com.br/site/?n_link=revista_artigos_leitura&amp;artigo_id=4348&amp;revista_caderno=3</w:t>
        </w:r>
      </w:hyperlink>
      <w:r w:rsidRPr="004C78C4">
        <w:rPr>
          <w:rFonts w:ascii="Times New Roman" w:hAnsi="Times New Roman" w:cs="Times New Roman"/>
          <w:sz w:val="24"/>
          <w:szCs w:val="24"/>
        </w:rPr>
        <w:t xml:space="preserve">&gt;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Acesso em: 20. Mar</w:t>
      </w:r>
      <w:r w:rsidRPr="004C78C4">
        <w:rPr>
          <w:rFonts w:ascii="Times New Roman" w:hAnsi="Times New Roman" w:cs="Times New Roman"/>
          <w:color w:val="000000" w:themeColor="text1"/>
          <w:sz w:val="24"/>
          <w:szCs w:val="24"/>
        </w:rPr>
        <w:t>. 2012.</w:t>
      </w:r>
    </w:p>
    <w:p w:rsidR="004C78C4" w:rsidRPr="004C78C4" w:rsidRDefault="004C78C4" w:rsidP="004C78C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12DB5" w:rsidRPr="004C78C4" w:rsidRDefault="00712DB5" w:rsidP="004C78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712DB5" w:rsidRPr="004C78C4" w:rsidSect="00712DB5">
      <w:headerReference w:type="default" r:id="rId14"/>
      <w:pgSz w:w="11906" w:h="16838"/>
      <w:pgMar w:top="1417" w:right="1701" w:bottom="1417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8AF" w:rsidRDefault="008B38AF" w:rsidP="001E3A8B">
      <w:pPr>
        <w:spacing w:after="0" w:line="240" w:lineRule="auto"/>
      </w:pPr>
      <w:r>
        <w:separator/>
      </w:r>
    </w:p>
  </w:endnote>
  <w:endnote w:type="continuationSeparator" w:id="0">
    <w:p w:rsidR="008B38AF" w:rsidRDefault="008B38AF" w:rsidP="001E3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8AF" w:rsidRDefault="008B38AF" w:rsidP="001E3A8B">
      <w:pPr>
        <w:spacing w:after="0" w:line="240" w:lineRule="auto"/>
      </w:pPr>
      <w:r>
        <w:separator/>
      </w:r>
    </w:p>
  </w:footnote>
  <w:footnote w:type="continuationSeparator" w:id="0">
    <w:p w:rsidR="008B38AF" w:rsidRDefault="008B38AF" w:rsidP="001E3A8B">
      <w:pPr>
        <w:spacing w:after="0" w:line="240" w:lineRule="auto"/>
      </w:pPr>
      <w:r>
        <w:continuationSeparator/>
      </w:r>
    </w:p>
  </w:footnote>
  <w:footnote w:id="1">
    <w:p w:rsidR="00877B6D" w:rsidRPr="00877B6D" w:rsidRDefault="00877B6D">
      <w:pPr>
        <w:pStyle w:val="Textodenotaderodap"/>
        <w:rPr>
          <w:rFonts w:ascii="Times New Roman" w:hAnsi="Times New Roman" w:cs="Times New Roman"/>
        </w:rPr>
      </w:pPr>
      <w:r>
        <w:rPr>
          <w:rStyle w:val="Refdenotaderodap"/>
        </w:rPr>
        <w:footnoteRef/>
      </w:r>
      <w:r>
        <w:t xml:space="preserve"> </w:t>
      </w:r>
      <w:proofErr w:type="spellStart"/>
      <w:r w:rsidRPr="006D55AA">
        <w:rPr>
          <w:rFonts w:ascii="Times New Roman" w:hAnsi="Times New Roman" w:cs="Times New Roman"/>
        </w:rPr>
        <w:t>Paper</w:t>
      </w:r>
      <w:proofErr w:type="spellEnd"/>
      <w:r w:rsidRPr="006D55AA">
        <w:rPr>
          <w:rFonts w:ascii="Times New Roman" w:hAnsi="Times New Roman" w:cs="Times New Roman"/>
        </w:rPr>
        <w:t xml:space="preserve"> apresentado à disciplina de Teoria do Direito Penal, da Unidad</w:t>
      </w:r>
      <w:r>
        <w:rPr>
          <w:rFonts w:ascii="Times New Roman" w:hAnsi="Times New Roman" w:cs="Times New Roman"/>
        </w:rPr>
        <w:t>e de Ensino Superior Dom Bosco-</w:t>
      </w:r>
      <w:r w:rsidRPr="006D55AA">
        <w:rPr>
          <w:rFonts w:ascii="Times New Roman" w:hAnsi="Times New Roman" w:cs="Times New Roman"/>
        </w:rPr>
        <w:t xml:space="preserve"> UNDB</w:t>
      </w:r>
      <w:r>
        <w:rPr>
          <w:rFonts w:ascii="Times New Roman" w:hAnsi="Times New Roman" w:cs="Times New Roman"/>
        </w:rPr>
        <w:t>.</w:t>
      </w:r>
    </w:p>
  </w:footnote>
  <w:footnote w:id="2">
    <w:p w:rsidR="00877B6D" w:rsidRPr="006D55AA" w:rsidRDefault="00877B6D" w:rsidP="00877B6D">
      <w:pPr>
        <w:pStyle w:val="Textodenotaderodap"/>
        <w:rPr>
          <w:rFonts w:ascii="Times New Roman" w:hAnsi="Times New Roman" w:cs="Times New Roman"/>
        </w:rPr>
      </w:pPr>
      <w:r w:rsidRPr="006D55AA">
        <w:rPr>
          <w:rStyle w:val="Refdenotaderodap"/>
          <w:rFonts w:ascii="Times New Roman" w:hAnsi="Times New Roman" w:cs="Times New Roman"/>
        </w:rPr>
        <w:footnoteRef/>
      </w:r>
      <w:r w:rsidRPr="006D55AA">
        <w:rPr>
          <w:rFonts w:ascii="Times New Roman" w:hAnsi="Times New Roman" w:cs="Times New Roman"/>
        </w:rPr>
        <w:t xml:space="preserve"> Aluna do </w:t>
      </w:r>
      <w:r w:rsidRPr="006D55AA">
        <w:rPr>
          <w:rStyle w:val="st1"/>
          <w:rFonts w:ascii="Times New Roman" w:hAnsi="Times New Roman" w:cs="Times New Roman"/>
        </w:rPr>
        <w:t>3º</w:t>
      </w:r>
      <w:r w:rsidRPr="006D55AA">
        <w:rPr>
          <w:rFonts w:ascii="Times New Roman" w:hAnsi="Times New Roman" w:cs="Times New Roman"/>
        </w:rPr>
        <w:t>período do Curso de Direito da Unidade de Ensino Superior Dom Bosco</w:t>
      </w:r>
    </w:p>
  </w:footnote>
  <w:footnote w:id="3">
    <w:p w:rsidR="00877B6D" w:rsidRPr="006D55AA" w:rsidRDefault="00877B6D" w:rsidP="00877B6D">
      <w:pPr>
        <w:pStyle w:val="Textodenotaderodap"/>
        <w:rPr>
          <w:rFonts w:ascii="Times New Roman" w:hAnsi="Times New Roman" w:cs="Times New Roman"/>
        </w:rPr>
      </w:pPr>
      <w:r w:rsidRPr="006D55AA">
        <w:rPr>
          <w:rStyle w:val="Refdenotaderodap"/>
          <w:rFonts w:ascii="Times New Roman" w:hAnsi="Times New Roman" w:cs="Times New Roman"/>
        </w:rPr>
        <w:footnoteRef/>
      </w:r>
      <w:r w:rsidRPr="006D55AA">
        <w:rPr>
          <w:rFonts w:ascii="Times New Roman" w:hAnsi="Times New Roman" w:cs="Times New Roman"/>
        </w:rPr>
        <w:t xml:space="preserve"> Aluna do </w:t>
      </w:r>
      <w:r w:rsidRPr="006D55AA">
        <w:rPr>
          <w:rStyle w:val="st1"/>
          <w:rFonts w:ascii="Times New Roman" w:hAnsi="Times New Roman" w:cs="Times New Roman"/>
        </w:rPr>
        <w:t>3º</w:t>
      </w:r>
      <w:r w:rsidRPr="006D55AA">
        <w:rPr>
          <w:rFonts w:ascii="Times New Roman" w:hAnsi="Times New Roman" w:cs="Times New Roman"/>
        </w:rPr>
        <w:t>período do Curso de Direito da Unidade de Ensino Superior Dom Bosco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5210305"/>
      <w:docPartObj>
        <w:docPartGallery w:val="Page Numbers (Top of Page)"/>
        <w:docPartUnique/>
      </w:docPartObj>
    </w:sdtPr>
    <w:sdtEndPr/>
    <w:sdtContent>
      <w:p w:rsidR="00712DB5" w:rsidRDefault="00712DB5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778A">
          <w:rPr>
            <w:noProof/>
          </w:rPr>
          <w:t>2</w:t>
        </w:r>
        <w:r>
          <w:fldChar w:fldCharType="end"/>
        </w:r>
      </w:p>
    </w:sdtContent>
  </w:sdt>
  <w:p w:rsidR="00712DB5" w:rsidRDefault="00712DB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76C7D"/>
    <w:multiLevelType w:val="hybridMultilevel"/>
    <w:tmpl w:val="5FB2A1E2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3C4507"/>
    <w:multiLevelType w:val="hybridMultilevel"/>
    <w:tmpl w:val="20885A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A8B"/>
    <w:rsid w:val="001A65BD"/>
    <w:rsid w:val="001E3A8B"/>
    <w:rsid w:val="00362DDA"/>
    <w:rsid w:val="003B0BF1"/>
    <w:rsid w:val="0043471D"/>
    <w:rsid w:val="00481AAB"/>
    <w:rsid w:val="00493F75"/>
    <w:rsid w:val="004C46B0"/>
    <w:rsid w:val="004C78C4"/>
    <w:rsid w:val="00512BDA"/>
    <w:rsid w:val="00546CA6"/>
    <w:rsid w:val="00564A58"/>
    <w:rsid w:val="00663D76"/>
    <w:rsid w:val="00712DB5"/>
    <w:rsid w:val="007F778A"/>
    <w:rsid w:val="00877B6D"/>
    <w:rsid w:val="008B38AF"/>
    <w:rsid w:val="00A64911"/>
    <w:rsid w:val="00AB6F02"/>
    <w:rsid w:val="00CF3D38"/>
    <w:rsid w:val="00E4584E"/>
    <w:rsid w:val="00FB2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A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E3A8B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E3A8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E3A8B"/>
    <w:rPr>
      <w:vertAlign w:val="superscript"/>
    </w:rPr>
  </w:style>
  <w:style w:type="character" w:customStyle="1" w:styleId="st1">
    <w:name w:val="st1"/>
    <w:basedOn w:val="Fontepargpadro"/>
    <w:rsid w:val="001E3A8B"/>
  </w:style>
  <w:style w:type="paragraph" w:styleId="NormalWeb">
    <w:name w:val="Normal (Web)"/>
    <w:basedOn w:val="Normal"/>
    <w:uiPriority w:val="99"/>
    <w:unhideWhenUsed/>
    <w:rsid w:val="00E45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E4584E"/>
  </w:style>
  <w:style w:type="character" w:customStyle="1" w:styleId="qterm">
    <w:name w:val="qterm"/>
    <w:basedOn w:val="Fontepargpadro"/>
    <w:rsid w:val="00E4584E"/>
  </w:style>
  <w:style w:type="character" w:styleId="nfase">
    <w:name w:val="Emphasis"/>
    <w:basedOn w:val="Fontepargpadro"/>
    <w:uiPriority w:val="20"/>
    <w:qFormat/>
    <w:rsid w:val="00E4584E"/>
    <w:rPr>
      <w:i/>
      <w:iCs/>
    </w:rPr>
  </w:style>
  <w:style w:type="paragraph" w:styleId="PargrafodaLista">
    <w:name w:val="List Paragraph"/>
    <w:basedOn w:val="Normal"/>
    <w:uiPriority w:val="34"/>
    <w:qFormat/>
    <w:rsid w:val="003B0BF1"/>
    <w:pPr>
      <w:ind w:left="720"/>
      <w:contextualSpacing/>
    </w:pPr>
  </w:style>
  <w:style w:type="paragraph" w:styleId="SemEspaamento">
    <w:name w:val="No Spacing"/>
    <w:uiPriority w:val="1"/>
    <w:qFormat/>
    <w:rsid w:val="004C4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12DB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712D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12DB5"/>
  </w:style>
  <w:style w:type="paragraph" w:styleId="Rodap">
    <w:name w:val="footer"/>
    <w:basedOn w:val="Normal"/>
    <w:link w:val="RodapChar"/>
    <w:uiPriority w:val="99"/>
    <w:unhideWhenUsed/>
    <w:rsid w:val="00712D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12DB5"/>
  </w:style>
  <w:style w:type="character" w:styleId="Forte">
    <w:name w:val="Strong"/>
    <w:basedOn w:val="Fontepargpadro"/>
    <w:uiPriority w:val="22"/>
    <w:qFormat/>
    <w:rsid w:val="00FB261A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493F75"/>
    <w:rPr>
      <w:color w:val="800080" w:themeColor="followedHyperlink"/>
      <w:u w:val="single"/>
    </w:rPr>
  </w:style>
  <w:style w:type="character" w:customStyle="1" w:styleId="url1">
    <w:name w:val="url1"/>
    <w:basedOn w:val="Fontepargpadro"/>
    <w:rsid w:val="00493F75"/>
    <w:rPr>
      <w:strike w:val="0"/>
      <w:dstrike w:val="0"/>
      <w:color w:val="0746A8"/>
      <w:u w:val="none"/>
      <w:effect w:val="none"/>
    </w:rPr>
  </w:style>
  <w:style w:type="character" w:customStyle="1" w:styleId="timeaccess">
    <w:name w:val="timeaccess"/>
    <w:basedOn w:val="Fontepargpadro"/>
    <w:rsid w:val="00493F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A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E3A8B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E3A8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E3A8B"/>
    <w:rPr>
      <w:vertAlign w:val="superscript"/>
    </w:rPr>
  </w:style>
  <w:style w:type="character" w:customStyle="1" w:styleId="st1">
    <w:name w:val="st1"/>
    <w:basedOn w:val="Fontepargpadro"/>
    <w:rsid w:val="001E3A8B"/>
  </w:style>
  <w:style w:type="paragraph" w:styleId="NormalWeb">
    <w:name w:val="Normal (Web)"/>
    <w:basedOn w:val="Normal"/>
    <w:uiPriority w:val="99"/>
    <w:unhideWhenUsed/>
    <w:rsid w:val="00E45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E4584E"/>
  </w:style>
  <w:style w:type="character" w:customStyle="1" w:styleId="qterm">
    <w:name w:val="qterm"/>
    <w:basedOn w:val="Fontepargpadro"/>
    <w:rsid w:val="00E4584E"/>
  </w:style>
  <w:style w:type="character" w:styleId="nfase">
    <w:name w:val="Emphasis"/>
    <w:basedOn w:val="Fontepargpadro"/>
    <w:uiPriority w:val="20"/>
    <w:qFormat/>
    <w:rsid w:val="00E4584E"/>
    <w:rPr>
      <w:i/>
      <w:iCs/>
    </w:rPr>
  </w:style>
  <w:style w:type="paragraph" w:styleId="PargrafodaLista">
    <w:name w:val="List Paragraph"/>
    <w:basedOn w:val="Normal"/>
    <w:uiPriority w:val="34"/>
    <w:qFormat/>
    <w:rsid w:val="003B0BF1"/>
    <w:pPr>
      <w:ind w:left="720"/>
      <w:contextualSpacing/>
    </w:pPr>
  </w:style>
  <w:style w:type="paragraph" w:styleId="SemEspaamento">
    <w:name w:val="No Spacing"/>
    <w:uiPriority w:val="1"/>
    <w:qFormat/>
    <w:rsid w:val="004C4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12DB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712D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12DB5"/>
  </w:style>
  <w:style w:type="paragraph" w:styleId="Rodap">
    <w:name w:val="footer"/>
    <w:basedOn w:val="Normal"/>
    <w:link w:val="RodapChar"/>
    <w:uiPriority w:val="99"/>
    <w:unhideWhenUsed/>
    <w:rsid w:val="00712D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12DB5"/>
  </w:style>
  <w:style w:type="character" w:styleId="Forte">
    <w:name w:val="Strong"/>
    <w:basedOn w:val="Fontepargpadro"/>
    <w:uiPriority w:val="22"/>
    <w:qFormat/>
    <w:rsid w:val="00FB261A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493F75"/>
    <w:rPr>
      <w:color w:val="800080" w:themeColor="followedHyperlink"/>
      <w:u w:val="single"/>
    </w:rPr>
  </w:style>
  <w:style w:type="character" w:customStyle="1" w:styleId="url1">
    <w:name w:val="url1"/>
    <w:basedOn w:val="Fontepargpadro"/>
    <w:rsid w:val="00493F75"/>
    <w:rPr>
      <w:strike w:val="0"/>
      <w:dstrike w:val="0"/>
      <w:color w:val="0746A8"/>
      <w:u w:val="none"/>
      <w:effect w:val="none"/>
    </w:rPr>
  </w:style>
  <w:style w:type="character" w:customStyle="1" w:styleId="timeaccess">
    <w:name w:val="timeaccess"/>
    <w:basedOn w:val="Fontepargpadro"/>
    <w:rsid w:val="00493F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4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94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9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0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polbr.med.br/ano06/artigo0806.php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jurisway.org.br/v2/dhall.asp?id_dh=5982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webartigos.com/artigos/visita-tecnica-ao-hospital-de-custodia-e-tratamento-psiquiatrico-hctp-manicomio-juridico/59145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jus.com.br/revista/texto/11119/prazos-minimo-e-maximo-das-medidas-de-seguranca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azlista.com.br/article/detail.php?id=720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75979-572F-4FEF-B4A4-A2DEF3527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3102</Words>
  <Characters>16757</Characters>
  <Application>Microsoft Office Word</Application>
  <DocSecurity>0</DocSecurity>
  <Lines>139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nadia2</dc:creator>
  <cp:lastModifiedBy>Nadia</cp:lastModifiedBy>
  <cp:revision>2</cp:revision>
  <dcterms:created xsi:type="dcterms:W3CDTF">2015-10-20T15:04:00Z</dcterms:created>
  <dcterms:modified xsi:type="dcterms:W3CDTF">2015-10-20T15:04:00Z</dcterms:modified>
</cp:coreProperties>
</file>