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DC6" w:rsidRDefault="009A5DC6">
      <w:r w:rsidRPr="009A5DC6">
        <w:rPr>
          <w:noProof/>
          <w:lang w:eastAsia="pt-BR"/>
        </w:rPr>
        <w:drawing>
          <wp:anchor distT="0" distB="0" distL="114300" distR="114300" simplePos="0" relativeHeight="251659264" behindDoc="1" locked="0" layoutInCell="1" allowOverlap="1">
            <wp:simplePos x="0" y="0"/>
            <wp:positionH relativeFrom="margin">
              <wp:posOffset>-260985</wp:posOffset>
            </wp:positionH>
            <wp:positionV relativeFrom="paragraph">
              <wp:posOffset>-194310</wp:posOffset>
            </wp:positionV>
            <wp:extent cx="2076450" cy="542925"/>
            <wp:effectExtent l="19050" t="0" r="0" b="0"/>
            <wp:wrapNone/>
            <wp:docPr id="2" name="Imagem 0" descr="logo_nova_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_nova_timbrado.jpg"/>
                    <pic:cNvPicPr>
                      <a:picLocks noChangeAspect="1" noChangeArrowheads="1"/>
                    </pic:cNvPicPr>
                  </pic:nvPicPr>
                  <pic:blipFill>
                    <a:blip r:embed="rId8" cstate="print"/>
                    <a:srcRect/>
                    <a:stretch>
                      <a:fillRect/>
                    </a:stretch>
                  </pic:blipFill>
                  <pic:spPr bwMode="auto">
                    <a:xfrm>
                      <a:off x="0" y="0"/>
                      <a:ext cx="2076450" cy="542925"/>
                    </a:xfrm>
                    <a:prstGeom prst="rect">
                      <a:avLst/>
                    </a:prstGeom>
                    <a:noFill/>
                    <a:ln w="9525">
                      <a:noFill/>
                      <a:miter lim="800000"/>
                      <a:headEnd/>
                      <a:tailEnd/>
                    </a:ln>
                  </pic:spPr>
                </pic:pic>
              </a:graphicData>
            </a:graphic>
          </wp:anchor>
        </w:drawing>
      </w:r>
    </w:p>
    <w:p w:rsidR="009A5DC6" w:rsidRDefault="009A5DC6" w:rsidP="00881ECA">
      <w:pPr>
        <w:contextualSpacing/>
        <w:rPr>
          <w:rFonts w:ascii="Times New Roman" w:hAnsi="Times New Roman" w:cs="Times New Roman"/>
          <w:b/>
          <w:i/>
          <w:sz w:val="28"/>
          <w:szCs w:val="28"/>
        </w:rPr>
      </w:pPr>
    </w:p>
    <w:p w:rsidR="00663AF6" w:rsidRDefault="00663AF6" w:rsidP="00663AF6">
      <w:pPr>
        <w:spacing w:line="360" w:lineRule="auto"/>
        <w:contextualSpacing/>
        <w:jc w:val="center"/>
        <w:rPr>
          <w:rFonts w:ascii="Times New Roman" w:hAnsi="Times New Roman" w:cs="Times New Roman"/>
          <w:b/>
          <w:sz w:val="28"/>
          <w:szCs w:val="28"/>
        </w:rPr>
      </w:pPr>
      <w:r w:rsidRPr="00493AAE">
        <w:rPr>
          <w:rFonts w:ascii="Times New Roman" w:hAnsi="Times New Roman" w:cs="Times New Roman"/>
          <w:b/>
          <w:sz w:val="28"/>
          <w:szCs w:val="28"/>
        </w:rPr>
        <w:t xml:space="preserve">A </w:t>
      </w:r>
      <w:r w:rsidR="00A87A27">
        <w:rPr>
          <w:rFonts w:ascii="Times New Roman" w:hAnsi="Times New Roman" w:cs="Times New Roman"/>
          <w:b/>
          <w:sz w:val="28"/>
          <w:szCs w:val="28"/>
        </w:rPr>
        <w:t>EMISSÃO, COMERCIALIZAÇÃO E CIRCULAÇÃO DAS DEBÊNTURES NO MERCADO BRASILEIRO E SUA UTILIDADE PARA A</w:t>
      </w:r>
      <w:r w:rsidR="000C1BC5">
        <w:rPr>
          <w:rFonts w:ascii="Times New Roman" w:hAnsi="Times New Roman" w:cs="Times New Roman"/>
          <w:b/>
          <w:sz w:val="28"/>
          <w:szCs w:val="28"/>
        </w:rPr>
        <w:t>S</w:t>
      </w:r>
      <w:r w:rsidR="00A87A27">
        <w:rPr>
          <w:rFonts w:ascii="Times New Roman" w:hAnsi="Times New Roman" w:cs="Times New Roman"/>
          <w:b/>
          <w:sz w:val="28"/>
          <w:szCs w:val="28"/>
        </w:rPr>
        <w:t xml:space="preserve"> SOCIEDADES ANÔNIMAS</w:t>
      </w:r>
      <w:r w:rsidRPr="00493AAE">
        <w:rPr>
          <w:rFonts w:ascii="Times New Roman" w:hAnsi="Times New Roman" w:cs="Times New Roman"/>
          <w:b/>
          <w:sz w:val="28"/>
          <w:szCs w:val="28"/>
        </w:rPr>
        <w:t>.</w:t>
      </w:r>
      <w:r w:rsidRPr="00493AAE">
        <w:rPr>
          <w:rStyle w:val="Refdenotaderodap"/>
          <w:rFonts w:ascii="Times New Roman" w:hAnsi="Times New Roman" w:cs="Times New Roman"/>
          <w:b/>
          <w:sz w:val="28"/>
          <w:szCs w:val="28"/>
        </w:rPr>
        <w:footnoteReference w:id="2"/>
      </w:r>
    </w:p>
    <w:p w:rsidR="00F42B87" w:rsidRPr="00493AAE" w:rsidRDefault="00F42B87" w:rsidP="00663AF6">
      <w:pPr>
        <w:spacing w:line="360" w:lineRule="auto"/>
        <w:contextualSpacing/>
        <w:jc w:val="center"/>
        <w:rPr>
          <w:rFonts w:ascii="Times New Roman" w:hAnsi="Times New Roman" w:cs="Times New Roman"/>
          <w:b/>
          <w:sz w:val="28"/>
          <w:szCs w:val="28"/>
        </w:rPr>
      </w:pPr>
    </w:p>
    <w:p w:rsidR="00663AF6" w:rsidRPr="00A87A27" w:rsidRDefault="00663AF6" w:rsidP="00924C26">
      <w:pPr>
        <w:ind w:firstLine="851"/>
        <w:contextualSpacing/>
        <w:jc w:val="right"/>
        <w:rPr>
          <w:rFonts w:ascii="Times New Roman" w:hAnsi="Times New Roman" w:cs="Times New Roman"/>
          <w:i/>
          <w:sz w:val="20"/>
          <w:szCs w:val="20"/>
        </w:rPr>
      </w:pPr>
      <w:r w:rsidRPr="00A87A27">
        <w:rPr>
          <w:rFonts w:ascii="Times New Roman" w:hAnsi="Times New Roman" w:cs="Times New Roman"/>
          <w:i/>
          <w:sz w:val="20"/>
          <w:szCs w:val="20"/>
        </w:rPr>
        <w:t xml:space="preserve">Eva Pedrosa </w:t>
      </w:r>
      <w:r w:rsidRPr="00A87A27">
        <w:rPr>
          <w:rStyle w:val="Refdenotaderodap"/>
          <w:rFonts w:ascii="Times New Roman" w:hAnsi="Times New Roman" w:cs="Times New Roman"/>
          <w:i/>
          <w:sz w:val="20"/>
          <w:szCs w:val="20"/>
        </w:rPr>
        <w:footnoteReference w:id="3"/>
      </w:r>
    </w:p>
    <w:p w:rsidR="00924C26" w:rsidRPr="00A87A27" w:rsidRDefault="00924C26" w:rsidP="00924C26">
      <w:pPr>
        <w:ind w:firstLine="851"/>
        <w:contextualSpacing/>
        <w:jc w:val="right"/>
        <w:rPr>
          <w:rFonts w:ascii="Times New Roman" w:hAnsi="Times New Roman" w:cs="Times New Roman"/>
          <w:i/>
          <w:sz w:val="20"/>
          <w:szCs w:val="20"/>
        </w:rPr>
      </w:pPr>
      <w:r w:rsidRPr="00A87A27">
        <w:rPr>
          <w:rFonts w:ascii="Times New Roman" w:hAnsi="Times New Roman" w:cs="Times New Roman"/>
          <w:i/>
          <w:sz w:val="20"/>
          <w:szCs w:val="20"/>
        </w:rPr>
        <w:t>Luenna Braga</w:t>
      </w:r>
      <w:r w:rsidRPr="00A87A27">
        <w:rPr>
          <w:rStyle w:val="Refdenotaderodap"/>
          <w:rFonts w:ascii="Times New Roman" w:hAnsi="Times New Roman" w:cs="Times New Roman"/>
          <w:i/>
          <w:sz w:val="20"/>
          <w:szCs w:val="20"/>
        </w:rPr>
        <w:footnoteReference w:id="4"/>
      </w:r>
    </w:p>
    <w:p w:rsidR="00663AF6" w:rsidRPr="00A87A27" w:rsidRDefault="00663AF6" w:rsidP="00924C26">
      <w:pPr>
        <w:ind w:firstLine="851"/>
        <w:contextualSpacing/>
        <w:jc w:val="right"/>
        <w:rPr>
          <w:rFonts w:ascii="Times New Roman" w:hAnsi="Times New Roman" w:cs="Times New Roman"/>
          <w:i/>
          <w:sz w:val="20"/>
          <w:szCs w:val="20"/>
        </w:rPr>
      </w:pPr>
      <w:r w:rsidRPr="00A87A27">
        <w:rPr>
          <w:rFonts w:ascii="Times New Roman" w:hAnsi="Times New Roman" w:cs="Times New Roman"/>
          <w:i/>
          <w:sz w:val="20"/>
          <w:szCs w:val="20"/>
        </w:rPr>
        <w:t>Humberto Oliveira</w:t>
      </w:r>
      <w:r w:rsidRPr="00A87A27">
        <w:rPr>
          <w:rStyle w:val="Refdenotaderodap"/>
          <w:rFonts w:ascii="Times New Roman" w:hAnsi="Times New Roman" w:cs="Times New Roman"/>
          <w:i/>
          <w:sz w:val="20"/>
          <w:szCs w:val="20"/>
        </w:rPr>
        <w:footnoteReference w:id="5"/>
      </w:r>
    </w:p>
    <w:p w:rsidR="00924C26" w:rsidRPr="00663AF6" w:rsidRDefault="00924C26" w:rsidP="00924C26">
      <w:pPr>
        <w:ind w:firstLine="851"/>
        <w:contextualSpacing/>
        <w:jc w:val="right"/>
        <w:rPr>
          <w:rFonts w:ascii="Times New Roman" w:hAnsi="Times New Roman" w:cs="Times New Roman"/>
          <w:sz w:val="20"/>
          <w:szCs w:val="20"/>
        </w:rPr>
      </w:pPr>
    </w:p>
    <w:p w:rsidR="009A5DC6" w:rsidRDefault="005C3C2F" w:rsidP="00924C26">
      <w:pPr>
        <w:ind w:left="2268"/>
        <w:jc w:val="both"/>
        <w:outlineLvl w:val="0"/>
        <w:rPr>
          <w:rFonts w:ascii="Times New Roman" w:hAnsi="Times New Roman" w:cs="Times New Roman"/>
          <w:sz w:val="20"/>
          <w:szCs w:val="20"/>
        </w:rPr>
      </w:pPr>
      <w:r w:rsidRPr="00881ECA">
        <w:rPr>
          <w:rFonts w:ascii="Times New Roman" w:hAnsi="Times New Roman" w:cs="Times New Roman"/>
          <w:b/>
          <w:sz w:val="20"/>
          <w:szCs w:val="20"/>
        </w:rPr>
        <w:t>Sumário</w:t>
      </w:r>
      <w:r w:rsidRPr="00881ECA">
        <w:rPr>
          <w:rFonts w:ascii="Times New Roman" w:hAnsi="Times New Roman" w:cs="Times New Roman"/>
          <w:sz w:val="20"/>
          <w:szCs w:val="20"/>
        </w:rPr>
        <w:t xml:space="preserve">: Introdução;1. O que </w:t>
      </w:r>
      <w:r w:rsidR="00881ECA" w:rsidRPr="00881ECA">
        <w:rPr>
          <w:rFonts w:ascii="Times New Roman" w:hAnsi="Times New Roman" w:cs="Times New Roman"/>
          <w:sz w:val="20"/>
          <w:szCs w:val="20"/>
        </w:rPr>
        <w:t>são</w:t>
      </w:r>
      <w:r w:rsidRPr="00881ECA">
        <w:rPr>
          <w:rFonts w:ascii="Times New Roman" w:hAnsi="Times New Roman" w:cs="Times New Roman"/>
          <w:sz w:val="20"/>
          <w:szCs w:val="20"/>
        </w:rPr>
        <w:t xml:space="preserve"> títulos de crédito; 2. As </w:t>
      </w:r>
      <w:r w:rsidR="00881ECA" w:rsidRPr="00881ECA">
        <w:rPr>
          <w:rFonts w:ascii="Times New Roman" w:hAnsi="Times New Roman" w:cs="Times New Roman"/>
          <w:sz w:val="20"/>
          <w:szCs w:val="20"/>
        </w:rPr>
        <w:t>debêntures</w:t>
      </w:r>
      <w:r w:rsidRPr="00881ECA">
        <w:rPr>
          <w:rFonts w:ascii="Times New Roman" w:hAnsi="Times New Roman" w:cs="Times New Roman"/>
          <w:sz w:val="20"/>
          <w:szCs w:val="20"/>
        </w:rPr>
        <w:t xml:space="preserve">; </w:t>
      </w:r>
      <w:r w:rsidR="00881ECA" w:rsidRPr="00881ECA">
        <w:rPr>
          <w:rFonts w:ascii="Times New Roman" w:hAnsi="Times New Roman" w:cs="Times New Roman"/>
          <w:sz w:val="20"/>
          <w:szCs w:val="20"/>
        </w:rPr>
        <w:t xml:space="preserve">2.1 </w:t>
      </w:r>
      <w:r w:rsidR="00881ECA" w:rsidRPr="005C3C2F">
        <w:rPr>
          <w:rFonts w:ascii="Times New Roman" w:hAnsi="Times New Roman" w:cs="Times New Roman"/>
          <w:sz w:val="20"/>
          <w:szCs w:val="20"/>
        </w:rPr>
        <w:t>Emissões</w:t>
      </w:r>
      <w:r w:rsidRPr="00881ECA">
        <w:rPr>
          <w:rFonts w:ascii="Times New Roman" w:hAnsi="Times New Roman" w:cs="Times New Roman"/>
          <w:sz w:val="20"/>
          <w:szCs w:val="20"/>
        </w:rPr>
        <w:t xml:space="preserve">; 2.2 </w:t>
      </w:r>
      <w:r w:rsidRPr="005C3C2F">
        <w:rPr>
          <w:rFonts w:ascii="Times New Roman" w:hAnsi="Times New Roman" w:cs="Times New Roman"/>
          <w:sz w:val="20"/>
          <w:szCs w:val="20"/>
        </w:rPr>
        <w:t>Comercialização</w:t>
      </w:r>
      <w:r w:rsidR="00881ECA" w:rsidRPr="00881ECA">
        <w:rPr>
          <w:rFonts w:ascii="Times New Roman" w:hAnsi="Times New Roman" w:cs="Times New Roman"/>
          <w:sz w:val="20"/>
          <w:szCs w:val="20"/>
        </w:rPr>
        <w:t>; 2.3 C</w:t>
      </w:r>
      <w:r w:rsidRPr="00881ECA">
        <w:rPr>
          <w:rFonts w:ascii="Times New Roman" w:hAnsi="Times New Roman" w:cs="Times New Roman"/>
          <w:sz w:val="20"/>
          <w:szCs w:val="20"/>
        </w:rPr>
        <w:t xml:space="preserve">irculação; </w:t>
      </w:r>
      <w:r w:rsidR="00881ECA" w:rsidRPr="00881ECA">
        <w:rPr>
          <w:rFonts w:ascii="Times New Roman" w:hAnsi="Times New Roman" w:cs="Times New Roman"/>
          <w:sz w:val="20"/>
          <w:szCs w:val="20"/>
        </w:rPr>
        <w:t xml:space="preserve">3. </w:t>
      </w:r>
      <w:r w:rsidR="00881ECA">
        <w:rPr>
          <w:rFonts w:ascii="Times New Roman" w:hAnsi="Times New Roman" w:cs="Times New Roman"/>
          <w:sz w:val="20"/>
          <w:szCs w:val="20"/>
        </w:rPr>
        <w:t xml:space="preserve">Utilização das </w:t>
      </w:r>
      <w:r w:rsidR="0094415C">
        <w:rPr>
          <w:rFonts w:ascii="Times New Roman" w:hAnsi="Times New Roman" w:cs="Times New Roman"/>
          <w:sz w:val="20"/>
          <w:szCs w:val="20"/>
        </w:rPr>
        <w:t>debêntures pelas Sociedades Anônimas</w:t>
      </w:r>
      <w:r w:rsidR="0033598F">
        <w:rPr>
          <w:rFonts w:ascii="Times New Roman" w:hAnsi="Times New Roman" w:cs="Times New Roman"/>
          <w:sz w:val="20"/>
          <w:szCs w:val="20"/>
        </w:rPr>
        <w:t xml:space="preserve"> brasileiras</w:t>
      </w:r>
      <w:r w:rsidR="00881ECA">
        <w:rPr>
          <w:rFonts w:ascii="Times New Roman" w:hAnsi="Times New Roman" w:cs="Times New Roman"/>
          <w:sz w:val="20"/>
          <w:szCs w:val="20"/>
        </w:rPr>
        <w:t>; Considerações Finais; Referencias.</w:t>
      </w:r>
    </w:p>
    <w:p w:rsidR="00924C26" w:rsidRDefault="00924C26" w:rsidP="00881ECA">
      <w:pPr>
        <w:ind w:left="2268"/>
        <w:jc w:val="both"/>
        <w:outlineLvl w:val="0"/>
        <w:rPr>
          <w:rFonts w:ascii="Times New Roman" w:hAnsi="Times New Roman" w:cs="Times New Roman"/>
          <w:sz w:val="20"/>
          <w:szCs w:val="20"/>
        </w:rPr>
      </w:pPr>
    </w:p>
    <w:p w:rsidR="00924C26" w:rsidRDefault="00924C26" w:rsidP="00924C26">
      <w:pPr>
        <w:jc w:val="center"/>
        <w:outlineLvl w:val="0"/>
        <w:rPr>
          <w:rFonts w:ascii="Times New Roman" w:hAnsi="Times New Roman" w:cs="Times New Roman"/>
          <w:b/>
          <w:sz w:val="24"/>
          <w:szCs w:val="24"/>
        </w:rPr>
      </w:pPr>
      <w:r w:rsidRPr="00924C26">
        <w:rPr>
          <w:rFonts w:ascii="Times New Roman" w:hAnsi="Times New Roman" w:cs="Times New Roman"/>
          <w:b/>
          <w:sz w:val="24"/>
          <w:szCs w:val="24"/>
        </w:rPr>
        <w:t>R</w:t>
      </w:r>
      <w:r w:rsidR="00D05D48">
        <w:rPr>
          <w:rFonts w:ascii="Times New Roman" w:hAnsi="Times New Roman" w:cs="Times New Roman"/>
          <w:b/>
          <w:sz w:val="24"/>
          <w:szCs w:val="24"/>
        </w:rPr>
        <w:t>ESUMO</w:t>
      </w:r>
    </w:p>
    <w:p w:rsidR="00924C26" w:rsidRDefault="00512C80" w:rsidP="00AC71FC">
      <w:pPr>
        <w:jc w:val="both"/>
        <w:outlineLvl w:val="0"/>
        <w:rPr>
          <w:rFonts w:ascii="Times New Roman" w:hAnsi="Times New Roman" w:cs="Times New Roman"/>
          <w:sz w:val="24"/>
          <w:szCs w:val="24"/>
        </w:rPr>
      </w:pPr>
      <w:r>
        <w:rPr>
          <w:rFonts w:ascii="Times New Roman" w:hAnsi="Times New Roman" w:cs="Times New Roman"/>
          <w:sz w:val="24"/>
          <w:szCs w:val="24"/>
        </w:rPr>
        <w:t>A legislação b</w:t>
      </w:r>
      <w:r w:rsidRPr="00512C80">
        <w:rPr>
          <w:rFonts w:ascii="Times New Roman" w:hAnsi="Times New Roman" w:cs="Times New Roman"/>
          <w:sz w:val="24"/>
          <w:szCs w:val="24"/>
        </w:rPr>
        <w:t xml:space="preserve">rasileira </w:t>
      </w:r>
      <w:r>
        <w:rPr>
          <w:rFonts w:ascii="Times New Roman" w:hAnsi="Times New Roman" w:cs="Times New Roman"/>
          <w:sz w:val="24"/>
          <w:szCs w:val="24"/>
        </w:rPr>
        <w:t>permite a uti</w:t>
      </w:r>
      <w:r w:rsidR="004F0D29">
        <w:rPr>
          <w:rFonts w:ascii="Times New Roman" w:hAnsi="Times New Roman" w:cs="Times New Roman"/>
          <w:sz w:val="24"/>
          <w:szCs w:val="24"/>
        </w:rPr>
        <w:t>lização de vários títulos de cré</w:t>
      </w:r>
      <w:r>
        <w:rPr>
          <w:rFonts w:ascii="Times New Roman" w:hAnsi="Times New Roman" w:cs="Times New Roman"/>
          <w:sz w:val="24"/>
          <w:szCs w:val="24"/>
        </w:rPr>
        <w:t xml:space="preserve">dito para responder pelas obrigações assumidas, as debêntures também são consideradas um espécie que títulos </w:t>
      </w:r>
      <w:r w:rsidR="00AC71FC">
        <w:rPr>
          <w:rFonts w:ascii="Times New Roman" w:hAnsi="Times New Roman" w:cs="Times New Roman"/>
          <w:sz w:val="24"/>
          <w:szCs w:val="24"/>
        </w:rPr>
        <w:t>de cré</w:t>
      </w:r>
      <w:r>
        <w:rPr>
          <w:rFonts w:ascii="Times New Roman" w:hAnsi="Times New Roman" w:cs="Times New Roman"/>
          <w:sz w:val="24"/>
          <w:szCs w:val="24"/>
        </w:rPr>
        <w:t xml:space="preserve">dito e constituem um direito de crédito perante a sociedade que a emitiu. As sociedades anônimas utilizam essa espécie de titulo </w:t>
      </w:r>
      <w:r w:rsidR="00AC71FC">
        <w:rPr>
          <w:rFonts w:ascii="Times New Roman" w:hAnsi="Times New Roman" w:cs="Times New Roman"/>
          <w:sz w:val="24"/>
          <w:szCs w:val="24"/>
        </w:rPr>
        <w:t>na maior parte das vezes para conseguir capital, este trabalho pretende mostrar como é a utilização das debêntures no mercado brasileiro, sua</w:t>
      </w:r>
      <w:r w:rsidR="006A4E48">
        <w:rPr>
          <w:rFonts w:ascii="Times New Roman" w:hAnsi="Times New Roman" w:cs="Times New Roman"/>
          <w:sz w:val="24"/>
          <w:szCs w:val="24"/>
        </w:rPr>
        <w:t xml:space="preserve"> </w:t>
      </w:r>
      <w:r w:rsidR="00AC71FC">
        <w:rPr>
          <w:rFonts w:ascii="Times New Roman" w:hAnsi="Times New Roman" w:cs="Times New Roman"/>
          <w:sz w:val="24"/>
          <w:szCs w:val="24"/>
        </w:rPr>
        <w:t xml:space="preserve">legislação e suas peculiaridades em relação ao país </w:t>
      </w:r>
    </w:p>
    <w:p w:rsidR="00AC71FC" w:rsidRDefault="00AC71FC" w:rsidP="00AC71FC">
      <w:pPr>
        <w:jc w:val="both"/>
        <w:outlineLvl w:val="0"/>
        <w:rPr>
          <w:rFonts w:ascii="Times New Roman" w:hAnsi="Times New Roman" w:cs="Times New Roman"/>
          <w:sz w:val="24"/>
          <w:szCs w:val="24"/>
        </w:rPr>
      </w:pPr>
      <w:r w:rsidRPr="00AC71FC">
        <w:rPr>
          <w:rFonts w:ascii="Times New Roman" w:hAnsi="Times New Roman" w:cs="Times New Roman"/>
          <w:b/>
          <w:sz w:val="24"/>
          <w:szCs w:val="24"/>
        </w:rPr>
        <w:t>Palavras- Chave</w:t>
      </w:r>
      <w:r>
        <w:rPr>
          <w:rFonts w:ascii="Times New Roman" w:hAnsi="Times New Roman" w:cs="Times New Roman"/>
          <w:b/>
          <w:sz w:val="24"/>
          <w:szCs w:val="24"/>
        </w:rPr>
        <w:t xml:space="preserve">: </w:t>
      </w:r>
      <w:r w:rsidRPr="00AC71FC">
        <w:rPr>
          <w:rFonts w:ascii="Times New Roman" w:hAnsi="Times New Roman" w:cs="Times New Roman"/>
          <w:sz w:val="24"/>
          <w:szCs w:val="24"/>
        </w:rPr>
        <w:t xml:space="preserve">Debêntures, Sociedades Anônimas, </w:t>
      </w:r>
      <w:r>
        <w:rPr>
          <w:rFonts w:ascii="Times New Roman" w:hAnsi="Times New Roman" w:cs="Times New Roman"/>
          <w:sz w:val="24"/>
          <w:szCs w:val="24"/>
        </w:rPr>
        <w:t>Títulos de Crédito.</w:t>
      </w:r>
    </w:p>
    <w:p w:rsidR="003E05AF" w:rsidRDefault="003E05AF" w:rsidP="00AC71FC">
      <w:pPr>
        <w:jc w:val="both"/>
        <w:outlineLvl w:val="0"/>
        <w:rPr>
          <w:rFonts w:ascii="Times New Roman" w:hAnsi="Times New Roman" w:cs="Times New Roman"/>
          <w:sz w:val="24"/>
          <w:szCs w:val="24"/>
        </w:rPr>
      </w:pPr>
    </w:p>
    <w:p w:rsidR="006A4E48" w:rsidRDefault="002663D9" w:rsidP="00AC71FC">
      <w:pPr>
        <w:jc w:val="both"/>
        <w:outlineLvl w:val="0"/>
        <w:rPr>
          <w:rFonts w:ascii="Times New Roman" w:hAnsi="Times New Roman" w:cs="Times New Roman"/>
          <w:b/>
          <w:sz w:val="24"/>
          <w:szCs w:val="24"/>
        </w:rPr>
      </w:pPr>
      <w:r w:rsidRPr="002663D9">
        <w:rPr>
          <w:rFonts w:ascii="Times New Roman" w:hAnsi="Times New Roman" w:cs="Times New Roman"/>
          <w:b/>
          <w:sz w:val="24"/>
          <w:szCs w:val="24"/>
        </w:rPr>
        <w:t xml:space="preserve">Introdução </w:t>
      </w:r>
    </w:p>
    <w:p w:rsidR="002663D9" w:rsidRDefault="002663D9" w:rsidP="003E05AF">
      <w:pPr>
        <w:spacing w:line="36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A deb</w:t>
      </w:r>
      <w:r w:rsidR="00E54B0F">
        <w:rPr>
          <w:rFonts w:ascii="Times New Roman" w:hAnsi="Times New Roman" w:cs="Times New Roman"/>
          <w:sz w:val="24"/>
          <w:szCs w:val="24"/>
        </w:rPr>
        <w:t>ênture</w:t>
      </w:r>
      <w:r w:rsidR="0065079D">
        <w:rPr>
          <w:rFonts w:ascii="Times New Roman" w:hAnsi="Times New Roman" w:cs="Times New Roman"/>
          <w:sz w:val="24"/>
          <w:szCs w:val="24"/>
        </w:rPr>
        <w:t xml:space="preserve"> constitui uma espécie </w:t>
      </w:r>
      <w:r>
        <w:rPr>
          <w:rFonts w:ascii="Times New Roman" w:hAnsi="Times New Roman" w:cs="Times New Roman"/>
          <w:sz w:val="24"/>
          <w:szCs w:val="24"/>
        </w:rPr>
        <w:t xml:space="preserve">de título de crédito representativos de </w:t>
      </w:r>
      <w:r w:rsidR="0065079D">
        <w:rPr>
          <w:rFonts w:ascii="Times New Roman" w:hAnsi="Times New Roman" w:cs="Times New Roman"/>
          <w:sz w:val="24"/>
          <w:szCs w:val="24"/>
        </w:rPr>
        <w:t>empréstimo</w:t>
      </w:r>
      <w:r w:rsidR="00E54B0F">
        <w:rPr>
          <w:rFonts w:ascii="Times New Roman" w:hAnsi="Times New Roman" w:cs="Times New Roman"/>
          <w:sz w:val="24"/>
          <w:szCs w:val="24"/>
        </w:rPr>
        <w:t xml:space="preserve"> que as sociedades anô</w:t>
      </w:r>
      <w:r>
        <w:rPr>
          <w:rFonts w:ascii="Times New Roman" w:hAnsi="Times New Roman" w:cs="Times New Roman"/>
          <w:sz w:val="24"/>
          <w:szCs w:val="24"/>
        </w:rPr>
        <w:t>nimas contraem junto ao poder</w:t>
      </w:r>
      <w:r w:rsidR="003E05AF">
        <w:rPr>
          <w:rFonts w:ascii="Times New Roman" w:hAnsi="Times New Roman" w:cs="Times New Roman"/>
          <w:sz w:val="24"/>
          <w:szCs w:val="24"/>
        </w:rPr>
        <w:t xml:space="preserve"> publico, dando aos titulares o</w:t>
      </w:r>
      <w:r>
        <w:rPr>
          <w:rFonts w:ascii="Times New Roman" w:hAnsi="Times New Roman" w:cs="Times New Roman"/>
          <w:sz w:val="24"/>
          <w:szCs w:val="24"/>
        </w:rPr>
        <w:t xml:space="preserve"> </w:t>
      </w:r>
      <w:r w:rsidR="00E54B0F">
        <w:rPr>
          <w:rFonts w:ascii="Times New Roman" w:hAnsi="Times New Roman" w:cs="Times New Roman"/>
          <w:sz w:val="24"/>
          <w:szCs w:val="24"/>
        </w:rPr>
        <w:t>d</w:t>
      </w:r>
      <w:r w:rsidR="003E05AF">
        <w:rPr>
          <w:rFonts w:ascii="Times New Roman" w:hAnsi="Times New Roman" w:cs="Times New Roman"/>
          <w:sz w:val="24"/>
          <w:szCs w:val="24"/>
        </w:rPr>
        <w:t>ireito de cré</w:t>
      </w:r>
      <w:r w:rsidR="00E54B0F">
        <w:rPr>
          <w:rFonts w:ascii="Times New Roman" w:hAnsi="Times New Roman" w:cs="Times New Roman"/>
          <w:sz w:val="24"/>
          <w:szCs w:val="24"/>
        </w:rPr>
        <w:t xml:space="preserve">dito junto a empresas, esse tipo de titulo é muito utilizado para aquisição de capital pelas sociedades </w:t>
      </w:r>
      <w:r w:rsidR="0065079D">
        <w:rPr>
          <w:rFonts w:ascii="Times New Roman" w:hAnsi="Times New Roman" w:cs="Times New Roman"/>
          <w:sz w:val="24"/>
          <w:szCs w:val="24"/>
        </w:rPr>
        <w:t>anônimas</w:t>
      </w:r>
      <w:r w:rsidR="00266BE6">
        <w:rPr>
          <w:rFonts w:ascii="Times New Roman" w:hAnsi="Times New Roman" w:cs="Times New Roman"/>
          <w:sz w:val="24"/>
          <w:szCs w:val="24"/>
        </w:rPr>
        <w:t xml:space="preserve"> (RIZZARDO, 2011</w:t>
      </w:r>
      <w:r w:rsidR="00E54B0F">
        <w:rPr>
          <w:rFonts w:ascii="Times New Roman" w:hAnsi="Times New Roman" w:cs="Times New Roman"/>
          <w:sz w:val="24"/>
          <w:szCs w:val="24"/>
        </w:rPr>
        <w:t>).</w:t>
      </w:r>
    </w:p>
    <w:p w:rsidR="006A4E48" w:rsidRDefault="00E54B0F" w:rsidP="006A4E48">
      <w:pPr>
        <w:spacing w:line="36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No Brasil a emissão deste título deve preencher alguns </w:t>
      </w:r>
      <w:r w:rsidR="0065079D">
        <w:rPr>
          <w:rFonts w:ascii="Times New Roman" w:hAnsi="Times New Roman" w:cs="Times New Roman"/>
          <w:sz w:val="24"/>
          <w:szCs w:val="24"/>
        </w:rPr>
        <w:t>requisitos</w:t>
      </w:r>
      <w:r>
        <w:rPr>
          <w:rFonts w:ascii="Times New Roman" w:hAnsi="Times New Roman" w:cs="Times New Roman"/>
          <w:sz w:val="24"/>
          <w:szCs w:val="24"/>
        </w:rPr>
        <w:t xml:space="preserve"> pre</w:t>
      </w:r>
      <w:r w:rsidR="003E05AF">
        <w:rPr>
          <w:rFonts w:ascii="Times New Roman" w:hAnsi="Times New Roman" w:cs="Times New Roman"/>
          <w:sz w:val="24"/>
          <w:szCs w:val="24"/>
        </w:rPr>
        <w:t>visto</w:t>
      </w:r>
      <w:r w:rsidR="00AE019F">
        <w:rPr>
          <w:rFonts w:ascii="Times New Roman" w:hAnsi="Times New Roman" w:cs="Times New Roman"/>
          <w:sz w:val="24"/>
          <w:szCs w:val="24"/>
        </w:rPr>
        <w:t>s</w:t>
      </w:r>
      <w:r w:rsidR="003E05AF">
        <w:rPr>
          <w:rFonts w:ascii="Times New Roman" w:hAnsi="Times New Roman" w:cs="Times New Roman"/>
          <w:sz w:val="24"/>
          <w:szCs w:val="24"/>
        </w:rPr>
        <w:t xml:space="preserve"> em lei especial, como deliberação da assembleia geral dos acionista</w:t>
      </w:r>
      <w:r w:rsidR="00AE019F">
        <w:rPr>
          <w:rFonts w:ascii="Times New Roman" w:hAnsi="Times New Roman" w:cs="Times New Roman"/>
          <w:sz w:val="24"/>
          <w:szCs w:val="24"/>
        </w:rPr>
        <w:t>s</w:t>
      </w:r>
      <w:r w:rsidR="003E05AF">
        <w:rPr>
          <w:rFonts w:ascii="Times New Roman" w:hAnsi="Times New Roman" w:cs="Times New Roman"/>
          <w:sz w:val="24"/>
          <w:szCs w:val="24"/>
        </w:rPr>
        <w:t>, valor nominal, a espécie, as garantias, a época condições de vencimento, entre outros requisitos.</w:t>
      </w:r>
    </w:p>
    <w:p w:rsidR="00B50215" w:rsidRDefault="00B50215" w:rsidP="006A4E48">
      <w:pPr>
        <w:spacing w:line="36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lastRenderedPageBreak/>
        <w:t>Esses títulos de crédito ao longo de sua criação passaram a ser de extrema importância para as sociedades anônimas brasileiras para aquisição de capital de maneira rápida. Sua circulação deve observa os requisitos previstos em lei. Atualmente as debêntures são os títulos mais comercializados pelas sociedades por ação.</w:t>
      </w:r>
    </w:p>
    <w:p w:rsidR="00924C26" w:rsidRPr="000C1BC5" w:rsidRDefault="000C1BC5" w:rsidP="000C1BC5">
      <w:pPr>
        <w:spacing w:line="360" w:lineRule="auto"/>
        <w:jc w:val="both"/>
        <w:outlineLvl w:val="0"/>
        <w:rPr>
          <w:rFonts w:ascii="Times New Roman" w:hAnsi="Times New Roman" w:cs="Times New Roman"/>
          <w:b/>
          <w:bCs/>
          <w:sz w:val="24"/>
          <w:szCs w:val="24"/>
        </w:rPr>
      </w:pPr>
      <w:r w:rsidRPr="000C1BC5">
        <w:rPr>
          <w:rFonts w:ascii="Times New Roman" w:hAnsi="Times New Roman" w:cs="Times New Roman"/>
          <w:b/>
          <w:bCs/>
          <w:sz w:val="24"/>
          <w:szCs w:val="24"/>
        </w:rPr>
        <w:t>1.</w:t>
      </w:r>
      <w:r>
        <w:rPr>
          <w:rFonts w:ascii="Times New Roman" w:hAnsi="Times New Roman" w:cs="Times New Roman"/>
          <w:b/>
          <w:bCs/>
          <w:sz w:val="24"/>
          <w:szCs w:val="24"/>
        </w:rPr>
        <w:t xml:space="preserve"> </w:t>
      </w:r>
      <w:r w:rsidR="004961B7" w:rsidRPr="000C1BC5">
        <w:rPr>
          <w:rFonts w:ascii="Times New Roman" w:hAnsi="Times New Roman" w:cs="Times New Roman"/>
          <w:b/>
          <w:bCs/>
          <w:sz w:val="24"/>
          <w:szCs w:val="24"/>
        </w:rPr>
        <w:t>O que são Títulos de Cré</w:t>
      </w:r>
      <w:r w:rsidR="00AC71FC" w:rsidRPr="000C1BC5">
        <w:rPr>
          <w:rFonts w:ascii="Times New Roman" w:hAnsi="Times New Roman" w:cs="Times New Roman"/>
          <w:b/>
          <w:bCs/>
          <w:sz w:val="24"/>
          <w:szCs w:val="24"/>
        </w:rPr>
        <w:t xml:space="preserve">dito </w:t>
      </w:r>
    </w:p>
    <w:p w:rsidR="000C1BC5" w:rsidRDefault="000C1BC5" w:rsidP="00824AA8">
      <w:pPr>
        <w:spacing w:line="360" w:lineRule="auto"/>
        <w:ind w:firstLine="708"/>
        <w:jc w:val="both"/>
        <w:rPr>
          <w:rFonts w:ascii="Times New Roman" w:hAnsi="Times New Roman" w:cs="Times New Roman"/>
          <w:sz w:val="24"/>
          <w:szCs w:val="24"/>
        </w:rPr>
      </w:pPr>
      <w:r w:rsidRPr="000C1BC5">
        <w:rPr>
          <w:rFonts w:ascii="Times New Roman" w:hAnsi="Times New Roman" w:cs="Times New Roman"/>
          <w:sz w:val="24"/>
          <w:szCs w:val="24"/>
        </w:rPr>
        <w:t>Ao lo</w:t>
      </w:r>
      <w:r w:rsidR="00AD7BD1">
        <w:rPr>
          <w:rFonts w:ascii="Times New Roman" w:hAnsi="Times New Roman" w:cs="Times New Roman"/>
          <w:sz w:val="24"/>
          <w:szCs w:val="24"/>
        </w:rPr>
        <w:t>n</w:t>
      </w:r>
      <w:r w:rsidRPr="000C1BC5">
        <w:rPr>
          <w:rFonts w:ascii="Times New Roman" w:hAnsi="Times New Roman" w:cs="Times New Roman"/>
          <w:sz w:val="24"/>
          <w:szCs w:val="24"/>
        </w:rPr>
        <w:t xml:space="preserve">go </w:t>
      </w:r>
      <w:r>
        <w:rPr>
          <w:rFonts w:ascii="Times New Roman" w:hAnsi="Times New Roman" w:cs="Times New Roman"/>
          <w:sz w:val="24"/>
          <w:szCs w:val="24"/>
        </w:rPr>
        <w:t>do tempo com a necessidade de obter produtos de uso comum as trocas de m</w:t>
      </w:r>
      <w:r w:rsidR="00824AA8">
        <w:rPr>
          <w:rFonts w:ascii="Times New Roman" w:hAnsi="Times New Roman" w:cs="Times New Roman"/>
          <w:sz w:val="24"/>
          <w:szCs w:val="24"/>
        </w:rPr>
        <w:t>ercadorias</w:t>
      </w:r>
      <w:r w:rsidR="00806BDE">
        <w:rPr>
          <w:rFonts w:ascii="Times New Roman" w:hAnsi="Times New Roman" w:cs="Times New Roman"/>
          <w:sz w:val="24"/>
          <w:szCs w:val="24"/>
        </w:rPr>
        <w:t xml:space="preserve"> – </w:t>
      </w:r>
      <w:r w:rsidR="00806BDE" w:rsidRPr="00806BDE">
        <w:rPr>
          <w:rFonts w:ascii="Times New Roman" w:hAnsi="Times New Roman" w:cs="Times New Roman"/>
          <w:i/>
          <w:sz w:val="24"/>
          <w:szCs w:val="24"/>
        </w:rPr>
        <w:t>cambium</w:t>
      </w:r>
      <w:r w:rsidR="00824AA8" w:rsidRPr="00806BDE">
        <w:rPr>
          <w:rFonts w:ascii="Times New Roman" w:hAnsi="Times New Roman" w:cs="Times New Roman"/>
          <w:i/>
          <w:sz w:val="24"/>
          <w:szCs w:val="24"/>
        </w:rPr>
        <w:t>,</w:t>
      </w:r>
      <w:r w:rsidR="00824AA8">
        <w:rPr>
          <w:rFonts w:ascii="Times New Roman" w:hAnsi="Times New Roman" w:cs="Times New Roman"/>
          <w:sz w:val="24"/>
          <w:szCs w:val="24"/>
        </w:rPr>
        <w:t xml:space="preserve"> como o sal e o gado, foram-se tomando constante, dando ensejo a primeira fase da criação dos títulos de credito, passando-se depois a fase de trocas de metais preciosos. </w:t>
      </w:r>
    </w:p>
    <w:p w:rsidR="00824AA8" w:rsidRDefault="00824AA8" w:rsidP="00824AA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fase financeira consiste na terceira fase de criação dos títulos de crédito, onde foram criados o papel-moeda, ou também chamado de moeda fiduciária, tendo como principal elemento a confiança. Posteriormente surge a moeda papel, utilizada ainda nos dias atuais, passando a fase monetária, que tem a moeda como elemento de troca.</w:t>
      </w:r>
    </w:p>
    <w:p w:rsidR="00AD7BD1" w:rsidRDefault="00824AA8" w:rsidP="00824AA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Atualmente </w:t>
      </w:r>
      <w:r w:rsidR="00806BDE">
        <w:rPr>
          <w:rFonts w:ascii="Times New Roman" w:hAnsi="Times New Roman" w:cs="Times New Roman"/>
          <w:sz w:val="24"/>
          <w:szCs w:val="24"/>
        </w:rPr>
        <w:t xml:space="preserve">com a evolução da sociedade passou-se a fase da economia creditória, o utilização de cartões magnéticos fez com que houvesse uma diminuição na emissão do títulos de credito mais tradicionais como por exemplo, o cheque, a nota promissória e principalmente a letra de câmbio. </w:t>
      </w:r>
    </w:p>
    <w:p w:rsidR="00824AA8" w:rsidRDefault="00806BDE" w:rsidP="00824AA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Explana Arnaldo Rizzardo</w:t>
      </w:r>
    </w:p>
    <w:p w:rsidR="00806BDE" w:rsidRPr="001D3596" w:rsidRDefault="001D3596" w:rsidP="001D3596">
      <w:pPr>
        <w:ind w:left="2268" w:hanging="1"/>
        <w:jc w:val="both"/>
        <w:rPr>
          <w:rFonts w:ascii="Times New Roman" w:hAnsi="Times New Roman" w:cs="Times New Roman"/>
          <w:sz w:val="20"/>
          <w:szCs w:val="20"/>
        </w:rPr>
      </w:pPr>
      <w:r>
        <w:rPr>
          <w:rFonts w:ascii="Times New Roman" w:hAnsi="Times New Roman" w:cs="Times New Roman"/>
          <w:sz w:val="20"/>
          <w:szCs w:val="20"/>
        </w:rPr>
        <w:t>“</w:t>
      </w:r>
      <w:r w:rsidR="00806BDE" w:rsidRPr="001D3596">
        <w:rPr>
          <w:rFonts w:ascii="Times New Roman" w:hAnsi="Times New Roman" w:cs="Times New Roman"/>
          <w:sz w:val="20"/>
          <w:szCs w:val="20"/>
        </w:rPr>
        <w:t xml:space="preserve">Num período primitivo, havia o </w:t>
      </w:r>
      <w:r w:rsidR="00806BDE" w:rsidRPr="001D3596">
        <w:rPr>
          <w:rFonts w:ascii="Times New Roman" w:hAnsi="Times New Roman" w:cs="Times New Roman"/>
          <w:i/>
          <w:sz w:val="20"/>
          <w:szCs w:val="20"/>
        </w:rPr>
        <w:t>cambium</w:t>
      </w:r>
      <w:r w:rsidR="00806BDE" w:rsidRPr="001D3596">
        <w:rPr>
          <w:rFonts w:ascii="Times New Roman" w:hAnsi="Times New Roman" w:cs="Times New Roman"/>
          <w:sz w:val="20"/>
          <w:szCs w:val="20"/>
        </w:rPr>
        <w:t xml:space="preserve">, ou a troca de mercadorias, que se fez necessário documentar, especialmente quando se realizava entre locais distintos </w:t>
      </w:r>
      <w:r w:rsidRPr="001D3596">
        <w:rPr>
          <w:rFonts w:ascii="Times New Roman" w:hAnsi="Times New Roman" w:cs="Times New Roman"/>
          <w:sz w:val="20"/>
          <w:szCs w:val="20"/>
        </w:rPr>
        <w:t>e afastados. Era a chamada economia natural, passando, numa fase seguinte, à monetária, caracterizada pela moeda como instrumento de troca. Bem como adiante implantou-se a economia creditícia</w:t>
      </w:r>
      <w:r>
        <w:rPr>
          <w:rFonts w:ascii="Times New Roman" w:hAnsi="Times New Roman" w:cs="Times New Roman"/>
          <w:sz w:val="20"/>
          <w:szCs w:val="20"/>
        </w:rPr>
        <w:t>” (RIZZARDO, 2011, p. 5)</w:t>
      </w:r>
    </w:p>
    <w:p w:rsidR="00806BDE" w:rsidRDefault="001D3596" w:rsidP="00824AA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Segundo Rizzardo </w:t>
      </w:r>
      <w:r w:rsidR="009A3DF5">
        <w:rPr>
          <w:rFonts w:ascii="Times New Roman" w:hAnsi="Times New Roman" w:cs="Times New Roman"/>
          <w:sz w:val="24"/>
          <w:szCs w:val="24"/>
        </w:rPr>
        <w:t>a função essencial dos títulos de créditos é representar uma obrigação, que prima pela liquidez e certeza de prestação pelo credor, podendo com a simples transferência do título de credito haver a transferência dos direitos inerente a ele.</w:t>
      </w:r>
      <w:r w:rsidR="00674115">
        <w:rPr>
          <w:rFonts w:ascii="Times New Roman" w:hAnsi="Times New Roman" w:cs="Times New Roman"/>
          <w:sz w:val="24"/>
          <w:szCs w:val="24"/>
        </w:rPr>
        <w:t xml:space="preserve"> </w:t>
      </w:r>
    </w:p>
    <w:p w:rsidR="00674115" w:rsidRDefault="00674115" w:rsidP="00824AA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Há nesse</w:t>
      </w:r>
      <w:r w:rsidR="00AD7BD1">
        <w:rPr>
          <w:rFonts w:ascii="Times New Roman" w:hAnsi="Times New Roman" w:cs="Times New Roman"/>
          <w:sz w:val="24"/>
          <w:szCs w:val="24"/>
        </w:rPr>
        <w:t>s títulos alguns requisitos essenciais</w:t>
      </w:r>
      <w:r>
        <w:rPr>
          <w:rFonts w:ascii="Times New Roman" w:hAnsi="Times New Roman" w:cs="Times New Roman"/>
          <w:sz w:val="24"/>
          <w:szCs w:val="24"/>
        </w:rPr>
        <w:t xml:space="preserve"> a eles: a cartularidade que é a representação documental do titulo de credito; a literalidade que é a obrigatoriedade de interpretação literal do texto; a abstração que é a desvinculação do</w:t>
      </w:r>
      <w:r w:rsidR="00AD7BD1">
        <w:rPr>
          <w:rFonts w:ascii="Times New Roman" w:hAnsi="Times New Roman" w:cs="Times New Roman"/>
          <w:sz w:val="24"/>
          <w:szCs w:val="24"/>
        </w:rPr>
        <w:t>s</w:t>
      </w:r>
      <w:r>
        <w:rPr>
          <w:rFonts w:ascii="Times New Roman" w:hAnsi="Times New Roman" w:cs="Times New Roman"/>
          <w:sz w:val="24"/>
          <w:szCs w:val="24"/>
        </w:rPr>
        <w:t xml:space="preserve"> títulos com o negocio de origem; a autonomia </w:t>
      </w:r>
      <w:r w:rsidR="00100F0E">
        <w:rPr>
          <w:rFonts w:ascii="Times New Roman" w:hAnsi="Times New Roman" w:cs="Times New Roman"/>
          <w:sz w:val="24"/>
          <w:szCs w:val="24"/>
        </w:rPr>
        <w:t>que é a responsabilidade independente entre os signatários do</w:t>
      </w:r>
      <w:r w:rsidR="00AD7BD1">
        <w:rPr>
          <w:rFonts w:ascii="Times New Roman" w:hAnsi="Times New Roman" w:cs="Times New Roman"/>
          <w:sz w:val="24"/>
          <w:szCs w:val="24"/>
        </w:rPr>
        <w:t>s</w:t>
      </w:r>
      <w:r w:rsidR="00100F0E">
        <w:rPr>
          <w:rFonts w:ascii="Times New Roman" w:hAnsi="Times New Roman" w:cs="Times New Roman"/>
          <w:sz w:val="24"/>
          <w:szCs w:val="24"/>
        </w:rPr>
        <w:t xml:space="preserve"> títulos.</w:t>
      </w:r>
    </w:p>
    <w:p w:rsidR="00100F0E" w:rsidRDefault="00100F0E" w:rsidP="00824AA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Existem também os atributos do formalismo que é a obediência aos requisitos legais; a circulabilidade que é a possibilidade da transferência do </w:t>
      </w:r>
      <w:r w:rsidR="00EA5C81">
        <w:rPr>
          <w:rFonts w:ascii="Times New Roman" w:hAnsi="Times New Roman" w:cs="Times New Roman"/>
          <w:sz w:val="24"/>
          <w:szCs w:val="24"/>
        </w:rPr>
        <w:t>título</w:t>
      </w:r>
      <w:r>
        <w:rPr>
          <w:rFonts w:ascii="Times New Roman" w:hAnsi="Times New Roman" w:cs="Times New Roman"/>
          <w:sz w:val="24"/>
          <w:szCs w:val="24"/>
        </w:rPr>
        <w:t xml:space="preserve"> a um terceiro pelo endosso ou pelo termo de cessão de crédito.</w:t>
      </w:r>
    </w:p>
    <w:p w:rsidR="00100F0E" w:rsidRDefault="00100F0E" w:rsidP="00824AA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Os títul</w:t>
      </w:r>
      <w:r w:rsidR="00AD7BD1">
        <w:rPr>
          <w:rFonts w:ascii="Times New Roman" w:hAnsi="Times New Roman" w:cs="Times New Roman"/>
          <w:sz w:val="24"/>
          <w:szCs w:val="24"/>
        </w:rPr>
        <w:t>os podem ser classificados quant</w:t>
      </w:r>
      <w:r>
        <w:rPr>
          <w:rFonts w:ascii="Times New Roman" w:hAnsi="Times New Roman" w:cs="Times New Roman"/>
          <w:sz w:val="24"/>
          <w:szCs w:val="24"/>
        </w:rPr>
        <w:t>o ao seu conteúdo (próprio, impróprio, de legiti</w:t>
      </w:r>
      <w:r w:rsidR="00AD7BD1">
        <w:rPr>
          <w:rFonts w:ascii="Times New Roman" w:hAnsi="Times New Roman" w:cs="Times New Roman"/>
          <w:sz w:val="24"/>
          <w:szCs w:val="24"/>
        </w:rPr>
        <w:t>mação e de participação – este ú</w:t>
      </w:r>
      <w:r>
        <w:rPr>
          <w:rFonts w:ascii="Times New Roman" w:hAnsi="Times New Roman" w:cs="Times New Roman"/>
          <w:sz w:val="24"/>
          <w:szCs w:val="24"/>
        </w:rPr>
        <w:t>ltimo é o alvo do nosso trabalho); quanto a natureza (abstrato e causais); quanto a circulação ( nominativos, nominativos à ordem e ao portador)</w:t>
      </w:r>
      <w:r w:rsidR="001F1491">
        <w:rPr>
          <w:rFonts w:ascii="Times New Roman" w:hAnsi="Times New Roman" w:cs="Times New Roman"/>
          <w:sz w:val="24"/>
          <w:szCs w:val="24"/>
        </w:rPr>
        <w:t xml:space="preserve"> e </w:t>
      </w:r>
      <w:r>
        <w:rPr>
          <w:rFonts w:ascii="Times New Roman" w:hAnsi="Times New Roman" w:cs="Times New Roman"/>
          <w:sz w:val="24"/>
          <w:szCs w:val="24"/>
        </w:rPr>
        <w:t xml:space="preserve">quanto ao emitente ( </w:t>
      </w:r>
      <w:r w:rsidR="001F1491">
        <w:rPr>
          <w:rFonts w:ascii="Times New Roman" w:hAnsi="Times New Roman" w:cs="Times New Roman"/>
          <w:sz w:val="24"/>
          <w:szCs w:val="24"/>
        </w:rPr>
        <w:t>publico ou privado).</w:t>
      </w:r>
    </w:p>
    <w:p w:rsidR="00EA5C81" w:rsidRPr="000C1BC5" w:rsidRDefault="001F1491" w:rsidP="00EA5C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Quanto a natureza dos títulos de credito há uma acentuada discussão na doutrina, sendo formuladas varias teorias a respeito do assunto. Marlon T</w:t>
      </w:r>
      <w:r w:rsidR="00266BE6">
        <w:rPr>
          <w:rFonts w:ascii="Times New Roman" w:hAnsi="Times New Roman" w:cs="Times New Roman"/>
          <w:sz w:val="24"/>
          <w:szCs w:val="24"/>
        </w:rPr>
        <w:t>omazette (TOMAZETTE, 2012</w:t>
      </w:r>
      <w:r>
        <w:rPr>
          <w:rFonts w:ascii="Times New Roman" w:hAnsi="Times New Roman" w:cs="Times New Roman"/>
          <w:sz w:val="24"/>
          <w:szCs w:val="24"/>
        </w:rPr>
        <w:t xml:space="preserve">) fala que embora a teoria da propriedade, que consiste no reconhecimento que a titularidade </w:t>
      </w:r>
      <w:r w:rsidR="00EA5C81">
        <w:rPr>
          <w:rFonts w:ascii="Times New Roman" w:hAnsi="Times New Roman" w:cs="Times New Roman"/>
          <w:sz w:val="24"/>
          <w:szCs w:val="24"/>
        </w:rPr>
        <w:t xml:space="preserve">do direito de credito decorre da propriedade do título, seja reconhecidamente  a majoritária, ela é alvo de critica contundente da doutrina pois nem sempre o dono documento é o titular do titulo de crédito. </w:t>
      </w:r>
    </w:p>
    <w:p w:rsidR="00AC71FC" w:rsidRDefault="00AC71FC" w:rsidP="003E05AF">
      <w:pPr>
        <w:spacing w:line="360" w:lineRule="auto"/>
        <w:jc w:val="both"/>
        <w:outlineLvl w:val="0"/>
        <w:rPr>
          <w:rFonts w:ascii="Times New Roman" w:hAnsi="Times New Roman" w:cs="Times New Roman"/>
          <w:b/>
          <w:bCs/>
          <w:sz w:val="24"/>
          <w:szCs w:val="24"/>
        </w:rPr>
      </w:pPr>
      <w:r w:rsidRPr="00AC71FC">
        <w:rPr>
          <w:rFonts w:ascii="Times New Roman" w:hAnsi="Times New Roman" w:cs="Times New Roman"/>
          <w:b/>
          <w:bCs/>
          <w:sz w:val="24"/>
          <w:szCs w:val="24"/>
        </w:rPr>
        <w:t>2</w:t>
      </w:r>
      <w:r w:rsidR="000C1BC5">
        <w:rPr>
          <w:rFonts w:ascii="Times New Roman" w:hAnsi="Times New Roman" w:cs="Times New Roman"/>
          <w:b/>
          <w:bCs/>
          <w:sz w:val="24"/>
          <w:szCs w:val="24"/>
        </w:rPr>
        <w:t>.</w:t>
      </w:r>
      <w:r w:rsidRPr="00AC71FC">
        <w:rPr>
          <w:rFonts w:ascii="Times New Roman" w:hAnsi="Times New Roman" w:cs="Times New Roman"/>
          <w:b/>
          <w:bCs/>
          <w:sz w:val="24"/>
          <w:szCs w:val="24"/>
        </w:rPr>
        <w:t xml:space="preserve"> As Debêntures </w:t>
      </w:r>
    </w:p>
    <w:p w:rsidR="00AD7BD1" w:rsidRDefault="00EA5C81" w:rsidP="001561B7">
      <w:pPr>
        <w:spacing w:line="360" w:lineRule="auto"/>
        <w:ind w:firstLine="708"/>
        <w:jc w:val="both"/>
        <w:outlineLvl w:val="0"/>
        <w:rPr>
          <w:rFonts w:ascii="Times New Roman" w:hAnsi="Times New Roman" w:cs="Times New Roman"/>
          <w:bCs/>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 xml:space="preserve">As debêntures constituem espécies de títulos </w:t>
      </w:r>
      <w:r w:rsidR="001561B7">
        <w:rPr>
          <w:rFonts w:ascii="Times New Roman" w:hAnsi="Times New Roman" w:cs="Times New Roman"/>
          <w:bCs/>
          <w:sz w:val="24"/>
          <w:szCs w:val="24"/>
        </w:rPr>
        <w:t xml:space="preserve">de crédito, emitidas pelas sociedades anônimas, sendo representativo de empréstimos contraídos pelas sociedades comerciais junto ao poder publico, consistindo em uma promessa de pagamento em dinheiro. </w:t>
      </w:r>
    </w:p>
    <w:p w:rsidR="00EA5C81" w:rsidRDefault="001561B7" w:rsidP="001561B7">
      <w:pPr>
        <w:spacing w:line="360" w:lineRule="auto"/>
        <w:ind w:firstLine="708"/>
        <w:jc w:val="both"/>
        <w:outlineLvl w:val="0"/>
        <w:rPr>
          <w:rFonts w:ascii="Times New Roman" w:hAnsi="Times New Roman" w:cs="Times New Roman"/>
          <w:bCs/>
          <w:sz w:val="24"/>
          <w:szCs w:val="24"/>
        </w:rPr>
      </w:pPr>
      <w:r>
        <w:rPr>
          <w:rFonts w:ascii="Times New Roman" w:hAnsi="Times New Roman" w:cs="Times New Roman"/>
          <w:bCs/>
          <w:sz w:val="24"/>
          <w:szCs w:val="24"/>
        </w:rPr>
        <w:t>Sobre o assunto Amador Paes de Almeida explica:</w:t>
      </w:r>
    </w:p>
    <w:p w:rsidR="001561B7" w:rsidRDefault="001561B7" w:rsidP="001561B7">
      <w:pPr>
        <w:ind w:left="2268" w:hanging="1"/>
        <w:jc w:val="both"/>
        <w:outlineLvl w:val="0"/>
        <w:rPr>
          <w:rFonts w:ascii="Times New Roman" w:hAnsi="Times New Roman" w:cs="Times New Roman"/>
          <w:bCs/>
          <w:sz w:val="20"/>
          <w:szCs w:val="20"/>
        </w:rPr>
      </w:pPr>
      <w:r>
        <w:rPr>
          <w:rFonts w:ascii="Times New Roman" w:hAnsi="Times New Roman" w:cs="Times New Roman"/>
          <w:bCs/>
          <w:sz w:val="20"/>
          <w:szCs w:val="20"/>
        </w:rPr>
        <w:t>“</w:t>
      </w:r>
      <w:r w:rsidRPr="001561B7">
        <w:rPr>
          <w:rFonts w:ascii="Times New Roman" w:hAnsi="Times New Roman" w:cs="Times New Roman"/>
          <w:bCs/>
          <w:sz w:val="20"/>
          <w:szCs w:val="20"/>
        </w:rPr>
        <w:t>As debêntures, também denominadas obrigações, são títulos de crédito emitidos pelas sociedades anônimas, em decorrência de empréstimos por elas obtidos junto ao público. Conquanto autônomos e literais são, como o Warrant, títulos causais, estando, por isso mesmo vinculados aos negócios jurídicos “subjacentes”. Os titulares de tais debêntures são, portanto, credores das sociedades anônimas</w:t>
      </w:r>
      <w:r>
        <w:rPr>
          <w:rFonts w:ascii="Times New Roman" w:hAnsi="Times New Roman" w:cs="Times New Roman"/>
          <w:bCs/>
          <w:sz w:val="20"/>
          <w:szCs w:val="20"/>
        </w:rPr>
        <w:t xml:space="preserve"> emissoras.” ( ALMEIDA, </w:t>
      </w:r>
      <w:r w:rsidR="00916D66">
        <w:rPr>
          <w:rFonts w:ascii="Times New Roman" w:hAnsi="Times New Roman" w:cs="Times New Roman"/>
          <w:bCs/>
          <w:sz w:val="20"/>
          <w:szCs w:val="20"/>
        </w:rPr>
        <w:t>2011, p. 291)</w:t>
      </w:r>
    </w:p>
    <w:p w:rsidR="003D48F9" w:rsidRPr="003D48F9" w:rsidRDefault="003D48F9" w:rsidP="003D48F9">
      <w:pPr>
        <w:spacing w:line="360" w:lineRule="auto"/>
        <w:ind w:firstLine="708"/>
        <w:jc w:val="both"/>
        <w:outlineLvl w:val="0"/>
        <w:rPr>
          <w:rFonts w:ascii="Times New Roman" w:hAnsi="Times New Roman" w:cs="Times New Roman"/>
          <w:bCs/>
          <w:sz w:val="24"/>
          <w:szCs w:val="24"/>
        </w:rPr>
      </w:pPr>
      <w:r w:rsidRPr="003D48F9">
        <w:rPr>
          <w:rFonts w:ascii="Times New Roman" w:hAnsi="Times New Roman" w:cs="Times New Roman"/>
          <w:bCs/>
          <w:sz w:val="24"/>
          <w:szCs w:val="24"/>
        </w:rPr>
        <w:t xml:space="preserve">Para Theophilo de </w:t>
      </w:r>
      <w:r>
        <w:rPr>
          <w:rFonts w:ascii="Times New Roman" w:hAnsi="Times New Roman" w:cs="Times New Roman"/>
          <w:bCs/>
          <w:sz w:val="24"/>
          <w:szCs w:val="24"/>
        </w:rPr>
        <w:t>Azevedo Santos (RIZZARDE,</w:t>
      </w:r>
      <w:r w:rsidRPr="003D48F9">
        <w:rPr>
          <w:rFonts w:ascii="Times New Roman" w:hAnsi="Times New Roman" w:cs="Times New Roman"/>
          <w:bCs/>
          <w:sz w:val="24"/>
          <w:szCs w:val="24"/>
        </w:rPr>
        <w:t xml:space="preserve"> 2011,</w:t>
      </w:r>
      <w:r w:rsidR="00266BE6">
        <w:rPr>
          <w:rFonts w:ascii="Times New Roman" w:hAnsi="Times New Roman" w:cs="Times New Roman"/>
          <w:bCs/>
          <w:sz w:val="24"/>
          <w:szCs w:val="24"/>
        </w:rPr>
        <w:t xml:space="preserve"> apud SANTOS</w:t>
      </w:r>
      <w:r>
        <w:rPr>
          <w:rFonts w:ascii="Times New Roman" w:hAnsi="Times New Roman" w:cs="Times New Roman"/>
          <w:bCs/>
          <w:sz w:val="24"/>
          <w:szCs w:val="24"/>
        </w:rPr>
        <w:t>,</w:t>
      </w:r>
      <w:r w:rsidRPr="003D48F9">
        <w:rPr>
          <w:rFonts w:ascii="Times New Roman" w:hAnsi="Times New Roman" w:cs="Times New Roman"/>
          <w:bCs/>
          <w:sz w:val="24"/>
          <w:szCs w:val="24"/>
        </w:rPr>
        <w:t xml:space="preserve"> p 279)</w:t>
      </w:r>
      <w:r>
        <w:rPr>
          <w:rFonts w:ascii="Times New Roman" w:hAnsi="Times New Roman" w:cs="Times New Roman"/>
          <w:bCs/>
          <w:sz w:val="24"/>
          <w:szCs w:val="24"/>
        </w:rPr>
        <w:t xml:space="preserve"> as debêntures são uma espécie de gênero de empréstimo, sendo um contrato mútuo, se distingue do simples mútuo, definido no artigo 273 do Código Comercial.</w:t>
      </w:r>
    </w:p>
    <w:p w:rsidR="001561B7" w:rsidRDefault="007471B6" w:rsidP="001561B7">
      <w:pPr>
        <w:spacing w:line="360" w:lineRule="auto"/>
        <w:ind w:firstLine="708"/>
        <w:jc w:val="both"/>
        <w:outlineLvl w:val="0"/>
        <w:rPr>
          <w:rFonts w:ascii="Times New Roman" w:hAnsi="Times New Roman" w:cs="Times New Roman"/>
          <w:bCs/>
          <w:sz w:val="24"/>
          <w:szCs w:val="24"/>
        </w:rPr>
      </w:pPr>
      <w:r>
        <w:rPr>
          <w:rFonts w:ascii="Times New Roman" w:hAnsi="Times New Roman" w:cs="Times New Roman"/>
          <w:bCs/>
          <w:sz w:val="24"/>
          <w:szCs w:val="24"/>
        </w:rPr>
        <w:t>De acordo com Marina Grinalde de Castro</w:t>
      </w:r>
      <w:r w:rsidR="00E42513">
        <w:rPr>
          <w:rFonts w:ascii="Times New Roman" w:hAnsi="Times New Roman" w:cs="Times New Roman"/>
          <w:bCs/>
          <w:sz w:val="24"/>
          <w:szCs w:val="24"/>
        </w:rPr>
        <w:t xml:space="preserve"> </w:t>
      </w:r>
      <w:r>
        <w:rPr>
          <w:rFonts w:ascii="Times New Roman" w:hAnsi="Times New Roman" w:cs="Times New Roman"/>
          <w:bCs/>
          <w:sz w:val="24"/>
          <w:szCs w:val="24"/>
        </w:rPr>
        <w:t>a palavra debêntures foi utilizada a primeira vez no decreto lei de numero 8.821 de dezembro de 1882</w:t>
      </w:r>
      <w:r w:rsidR="00E42513">
        <w:rPr>
          <w:rFonts w:ascii="Times New Roman" w:hAnsi="Times New Roman" w:cs="Times New Roman"/>
          <w:bCs/>
          <w:sz w:val="24"/>
          <w:szCs w:val="24"/>
        </w:rPr>
        <w:t>, sendo utilizado pela primeira vez na Inglaterra no século XIX com o objetivo de captação privada de recursos. No Brasil as debênt</w:t>
      </w:r>
      <w:r w:rsidR="00B50215">
        <w:rPr>
          <w:rFonts w:ascii="Times New Roman" w:hAnsi="Times New Roman" w:cs="Times New Roman"/>
          <w:bCs/>
          <w:sz w:val="24"/>
          <w:szCs w:val="24"/>
        </w:rPr>
        <w:t>ures só foram instituídas no paí</w:t>
      </w:r>
      <w:r w:rsidR="00E42513">
        <w:rPr>
          <w:rFonts w:ascii="Times New Roman" w:hAnsi="Times New Roman" w:cs="Times New Roman"/>
          <w:bCs/>
          <w:sz w:val="24"/>
          <w:szCs w:val="24"/>
        </w:rPr>
        <w:t>s pelo decreto nº 177- A de 15 de setembro de 1893, mas de forma bastante tímida devido a inflação.</w:t>
      </w:r>
    </w:p>
    <w:p w:rsidR="00AD7BD1" w:rsidRDefault="00E42513" w:rsidP="002A51BD">
      <w:pPr>
        <w:spacing w:line="360" w:lineRule="auto"/>
        <w:ind w:firstLine="708"/>
        <w:jc w:val="both"/>
        <w:outlineLvl w:val="0"/>
        <w:rPr>
          <w:rFonts w:ascii="Times New Roman" w:hAnsi="Times New Roman" w:cs="Times New Roman"/>
          <w:bCs/>
          <w:sz w:val="24"/>
          <w:szCs w:val="24"/>
        </w:rPr>
      </w:pPr>
      <w:r>
        <w:rPr>
          <w:rFonts w:ascii="Times New Roman" w:hAnsi="Times New Roman" w:cs="Times New Roman"/>
          <w:bCs/>
          <w:sz w:val="24"/>
          <w:szCs w:val="24"/>
        </w:rPr>
        <w:lastRenderedPageBreak/>
        <w:t>As debêntures só vieram a s</w:t>
      </w:r>
      <w:r w:rsidR="002A51BD">
        <w:rPr>
          <w:rFonts w:ascii="Times New Roman" w:hAnsi="Times New Roman" w:cs="Times New Roman"/>
          <w:bCs/>
          <w:sz w:val="24"/>
          <w:szCs w:val="24"/>
        </w:rPr>
        <w:t>er utilizadas efetivamente com o</w:t>
      </w:r>
      <w:r>
        <w:rPr>
          <w:rFonts w:ascii="Times New Roman" w:hAnsi="Times New Roman" w:cs="Times New Roman"/>
          <w:bCs/>
          <w:sz w:val="24"/>
          <w:szCs w:val="24"/>
        </w:rPr>
        <w:t xml:space="preserve"> advento da lei nº 6.404 de 12 de dezembro de 1976</w:t>
      </w:r>
      <w:r w:rsidR="002A51BD">
        <w:rPr>
          <w:rFonts w:ascii="Times New Roman" w:hAnsi="Times New Roman" w:cs="Times New Roman"/>
          <w:bCs/>
          <w:sz w:val="24"/>
          <w:szCs w:val="24"/>
        </w:rPr>
        <w:t xml:space="preserve">, com a estabilidade de economia, tornando-se vantajosa a compra por investidores. </w:t>
      </w:r>
    </w:p>
    <w:p w:rsidR="002A51BD" w:rsidRDefault="002A51BD" w:rsidP="002A51BD">
      <w:pPr>
        <w:spacing w:line="360" w:lineRule="auto"/>
        <w:ind w:firstLine="708"/>
        <w:jc w:val="both"/>
        <w:outlineLvl w:val="0"/>
        <w:rPr>
          <w:rFonts w:ascii="Times New Roman" w:hAnsi="Times New Roman" w:cs="Times New Roman"/>
          <w:bCs/>
          <w:sz w:val="24"/>
          <w:szCs w:val="24"/>
        </w:rPr>
      </w:pPr>
      <w:r>
        <w:rPr>
          <w:rFonts w:ascii="Times New Roman" w:hAnsi="Times New Roman" w:cs="Times New Roman"/>
          <w:bCs/>
          <w:sz w:val="24"/>
          <w:szCs w:val="24"/>
        </w:rPr>
        <w:t>Rubens Requião explana sobre a finalidade das debêntures:</w:t>
      </w:r>
    </w:p>
    <w:p w:rsidR="002A51BD" w:rsidRPr="00CF0F1D" w:rsidRDefault="00CF0F1D" w:rsidP="00CF0F1D">
      <w:pPr>
        <w:ind w:left="2268" w:firstLine="708"/>
        <w:jc w:val="both"/>
        <w:outlineLvl w:val="0"/>
        <w:rPr>
          <w:rFonts w:ascii="Times New Roman" w:hAnsi="Times New Roman" w:cs="Times New Roman"/>
          <w:bCs/>
          <w:sz w:val="20"/>
          <w:szCs w:val="20"/>
        </w:rPr>
      </w:pPr>
      <w:r>
        <w:rPr>
          <w:rFonts w:ascii="Times New Roman" w:hAnsi="Times New Roman" w:cs="Times New Roman"/>
          <w:bCs/>
          <w:sz w:val="20"/>
          <w:szCs w:val="20"/>
        </w:rPr>
        <w:t>“</w:t>
      </w:r>
      <w:r w:rsidR="002A51BD" w:rsidRPr="00CF0F1D">
        <w:rPr>
          <w:rFonts w:ascii="Times New Roman" w:hAnsi="Times New Roman" w:cs="Times New Roman"/>
          <w:bCs/>
          <w:sz w:val="20"/>
          <w:szCs w:val="20"/>
        </w:rPr>
        <w:t xml:space="preserve">A fim de evitar os inconvenientes de pequenos e constantes financiamentos em curto prazo e a altos juros, no mercado financeiro, as sociedades por ação têm a faculdade exclusiva de obter empréstimos, tomados ao público </w:t>
      </w:r>
      <w:r w:rsidRPr="00CF0F1D">
        <w:rPr>
          <w:rFonts w:ascii="Times New Roman" w:hAnsi="Times New Roman" w:cs="Times New Roman"/>
          <w:bCs/>
          <w:sz w:val="20"/>
          <w:szCs w:val="20"/>
        </w:rPr>
        <w:t>em longo prazo e a juros mais compensadores, inclusive com correção monetária, mediante resgate a prazo fixo ou em sorteios periódicos. A caracterização dessa operação, que fundamenta e dá o empréstimo é um só, os mutuantes são muitos, sujeitos todos, porém, às mesmas condições gerais e correndo os mesmo riscos. A cada fração, todas do mesmo valor, corresponde um certificado, e em seu conjunto são oferecidos ao público, coletando-se, dessa forma, no mercado de capitais, a poupança popular. Cada debêntures tem vida jurídica autônoma, e se presta a negociação e circulabilidade isoladas.</w:t>
      </w:r>
      <w:r>
        <w:rPr>
          <w:rFonts w:ascii="Times New Roman" w:hAnsi="Times New Roman" w:cs="Times New Roman"/>
          <w:bCs/>
          <w:sz w:val="20"/>
          <w:szCs w:val="20"/>
        </w:rPr>
        <w:t xml:space="preserve">” (RIZZARDE, 2011, apud Requião, 2º vol, </w:t>
      </w:r>
      <w:r w:rsidR="00B71B5A">
        <w:rPr>
          <w:rFonts w:ascii="Times New Roman" w:hAnsi="Times New Roman" w:cs="Times New Roman"/>
          <w:bCs/>
          <w:sz w:val="20"/>
          <w:szCs w:val="20"/>
        </w:rPr>
        <w:t xml:space="preserve">p. </w:t>
      </w:r>
      <w:r>
        <w:rPr>
          <w:rFonts w:ascii="Times New Roman" w:hAnsi="Times New Roman" w:cs="Times New Roman"/>
          <w:bCs/>
          <w:sz w:val="20"/>
          <w:szCs w:val="20"/>
        </w:rPr>
        <w:t>279)</w:t>
      </w:r>
    </w:p>
    <w:p w:rsidR="00AC71FC" w:rsidRDefault="00AC71FC" w:rsidP="003E05AF">
      <w:pPr>
        <w:spacing w:line="360" w:lineRule="auto"/>
        <w:jc w:val="both"/>
        <w:outlineLvl w:val="0"/>
        <w:rPr>
          <w:rFonts w:ascii="Times New Roman" w:hAnsi="Times New Roman" w:cs="Times New Roman"/>
          <w:b/>
          <w:bCs/>
          <w:sz w:val="24"/>
          <w:szCs w:val="24"/>
        </w:rPr>
      </w:pPr>
      <w:r w:rsidRPr="00AC71FC">
        <w:rPr>
          <w:rFonts w:ascii="Times New Roman" w:hAnsi="Times New Roman" w:cs="Times New Roman"/>
          <w:b/>
          <w:bCs/>
          <w:sz w:val="24"/>
          <w:szCs w:val="24"/>
        </w:rPr>
        <w:t xml:space="preserve">2.1 Emissão </w:t>
      </w:r>
    </w:p>
    <w:p w:rsidR="002A51BD" w:rsidRDefault="00B71B5A" w:rsidP="003E05AF">
      <w:pPr>
        <w:spacing w:line="360" w:lineRule="auto"/>
        <w:jc w:val="both"/>
        <w:outlineLvl w:val="0"/>
        <w:rPr>
          <w:rFonts w:ascii="Times New Roman" w:hAnsi="Times New Roman" w:cs="Times New Roman"/>
          <w:bCs/>
          <w:sz w:val="24"/>
          <w:szCs w:val="24"/>
        </w:rPr>
      </w:pPr>
      <w:r>
        <w:rPr>
          <w:rFonts w:ascii="Times New Roman" w:hAnsi="Times New Roman" w:cs="Times New Roman"/>
          <w:bCs/>
          <w:sz w:val="24"/>
          <w:szCs w:val="24"/>
        </w:rPr>
        <w:tab/>
        <w:t>Segundo Amador Pae</w:t>
      </w:r>
      <w:r w:rsidR="00266BE6">
        <w:rPr>
          <w:rFonts w:ascii="Times New Roman" w:hAnsi="Times New Roman" w:cs="Times New Roman"/>
          <w:bCs/>
          <w:sz w:val="24"/>
          <w:szCs w:val="24"/>
        </w:rPr>
        <w:t>s Almeida (ALMEIDA, 2012</w:t>
      </w:r>
      <w:r>
        <w:rPr>
          <w:rFonts w:ascii="Times New Roman" w:hAnsi="Times New Roman" w:cs="Times New Roman"/>
          <w:bCs/>
          <w:sz w:val="24"/>
          <w:szCs w:val="24"/>
        </w:rPr>
        <w:t xml:space="preserve">) há duas espécies de debêntures, sendo elas a debêntures comuns e a debêntures conversíveis em ação. Os títulos comuns que só atribuem somente credito ao titular, já as debêntures conversíveis </w:t>
      </w:r>
      <w:r w:rsidR="0015451B">
        <w:rPr>
          <w:rFonts w:ascii="Times New Roman" w:hAnsi="Times New Roman" w:cs="Times New Roman"/>
          <w:bCs/>
          <w:sz w:val="24"/>
          <w:szCs w:val="24"/>
        </w:rPr>
        <w:t>em ações podem após noventa dias ser convertidas em ações do capital da sociedade que à emitiu.</w:t>
      </w:r>
    </w:p>
    <w:p w:rsidR="0015451B" w:rsidRDefault="0015451B" w:rsidP="003E05AF">
      <w:pPr>
        <w:spacing w:line="360" w:lineRule="auto"/>
        <w:jc w:val="both"/>
        <w:outlineLvl w:val="0"/>
        <w:rPr>
          <w:rFonts w:ascii="Times New Roman" w:hAnsi="Times New Roman" w:cs="Times New Roman"/>
          <w:bCs/>
          <w:sz w:val="24"/>
          <w:szCs w:val="24"/>
        </w:rPr>
      </w:pPr>
      <w:r>
        <w:rPr>
          <w:rFonts w:ascii="Times New Roman" w:hAnsi="Times New Roman" w:cs="Times New Roman"/>
          <w:bCs/>
          <w:sz w:val="24"/>
          <w:szCs w:val="24"/>
        </w:rPr>
        <w:tab/>
        <w:t xml:space="preserve"> De acordo com a lei 6.404/76 é de competência privativa da assembleia geral delibera sobre a criação e emissão de debêntures, observado o estatuto de cada sociedade, tendo, entretanto que obedecer alguns requisitos como conter na debênture o valor da emissão e o critérios de determinação do seu limite; o numero e o valor nominal das debêntures; as garantias reais e as garantias flutuante, entre outro que constam no artigo 59 da referida lei:</w:t>
      </w:r>
    </w:p>
    <w:p w:rsidR="0015451B" w:rsidRPr="0015451B" w:rsidRDefault="0015451B" w:rsidP="00D92987">
      <w:pPr>
        <w:pStyle w:val="NormalWeb"/>
        <w:spacing w:line="276" w:lineRule="auto"/>
        <w:ind w:left="2268"/>
        <w:contextualSpacing/>
        <w:jc w:val="both"/>
        <w:rPr>
          <w:sz w:val="20"/>
          <w:szCs w:val="20"/>
        </w:rPr>
      </w:pPr>
      <w:r w:rsidRPr="0015451B">
        <w:rPr>
          <w:sz w:val="20"/>
          <w:szCs w:val="20"/>
        </w:rPr>
        <w:t>Art. 59. A deliberação sobre emissão de debêntures é da competência privativa da assembléia-geral, que deverá fixar, observado o que a respeito dispuser o estatuto:</w:t>
      </w:r>
    </w:p>
    <w:p w:rsidR="0015451B" w:rsidRPr="0015451B" w:rsidRDefault="0015451B" w:rsidP="00D92987">
      <w:pPr>
        <w:pStyle w:val="NormalWeb"/>
        <w:spacing w:line="276" w:lineRule="auto"/>
        <w:ind w:left="2268"/>
        <w:contextualSpacing/>
        <w:jc w:val="both"/>
        <w:rPr>
          <w:sz w:val="20"/>
          <w:szCs w:val="20"/>
        </w:rPr>
      </w:pPr>
      <w:r w:rsidRPr="0015451B">
        <w:rPr>
          <w:sz w:val="20"/>
          <w:szCs w:val="20"/>
        </w:rPr>
        <w:t>I - o valor da emissão ou os critérios de determinação do seu limite, e a sua divisão em séries, se for o caso;</w:t>
      </w:r>
    </w:p>
    <w:p w:rsidR="0015451B" w:rsidRPr="0015451B" w:rsidRDefault="0015451B" w:rsidP="00D92987">
      <w:pPr>
        <w:pStyle w:val="NormalWeb"/>
        <w:spacing w:line="276" w:lineRule="auto"/>
        <w:ind w:left="2268"/>
        <w:contextualSpacing/>
        <w:jc w:val="both"/>
        <w:rPr>
          <w:sz w:val="20"/>
          <w:szCs w:val="20"/>
        </w:rPr>
      </w:pPr>
      <w:r w:rsidRPr="0015451B">
        <w:rPr>
          <w:sz w:val="20"/>
          <w:szCs w:val="20"/>
        </w:rPr>
        <w:t>II - o número e o valor nominal das debêntures;</w:t>
      </w:r>
    </w:p>
    <w:p w:rsidR="0015451B" w:rsidRPr="0015451B" w:rsidRDefault="0015451B" w:rsidP="00D92987">
      <w:pPr>
        <w:pStyle w:val="NormalWeb"/>
        <w:spacing w:line="276" w:lineRule="auto"/>
        <w:ind w:left="2268"/>
        <w:contextualSpacing/>
        <w:jc w:val="both"/>
        <w:rPr>
          <w:sz w:val="20"/>
          <w:szCs w:val="20"/>
        </w:rPr>
      </w:pPr>
      <w:r w:rsidRPr="0015451B">
        <w:rPr>
          <w:sz w:val="20"/>
          <w:szCs w:val="20"/>
        </w:rPr>
        <w:t>III - as garantias reais ou a garantia flutuante, se houver;</w:t>
      </w:r>
    </w:p>
    <w:p w:rsidR="0015451B" w:rsidRPr="0015451B" w:rsidRDefault="0015451B" w:rsidP="00D92987">
      <w:pPr>
        <w:pStyle w:val="NormalWeb"/>
        <w:spacing w:line="276" w:lineRule="auto"/>
        <w:ind w:left="2268"/>
        <w:contextualSpacing/>
        <w:jc w:val="both"/>
        <w:rPr>
          <w:sz w:val="20"/>
          <w:szCs w:val="20"/>
        </w:rPr>
      </w:pPr>
      <w:r w:rsidRPr="0015451B">
        <w:rPr>
          <w:sz w:val="20"/>
          <w:szCs w:val="20"/>
        </w:rPr>
        <w:t>IV - as condições da correção monetária, se houver;</w:t>
      </w:r>
    </w:p>
    <w:p w:rsidR="0015451B" w:rsidRPr="0015451B" w:rsidRDefault="0015451B" w:rsidP="00D92987">
      <w:pPr>
        <w:pStyle w:val="NormalWeb"/>
        <w:spacing w:line="276" w:lineRule="auto"/>
        <w:ind w:left="2268"/>
        <w:contextualSpacing/>
        <w:jc w:val="both"/>
        <w:rPr>
          <w:sz w:val="20"/>
          <w:szCs w:val="20"/>
        </w:rPr>
      </w:pPr>
      <w:r w:rsidRPr="0015451B">
        <w:rPr>
          <w:sz w:val="20"/>
          <w:szCs w:val="20"/>
        </w:rPr>
        <w:t>V - a conversibilidade ou não em ações e as condições a serem observadas na conversão;</w:t>
      </w:r>
    </w:p>
    <w:p w:rsidR="0015451B" w:rsidRPr="0015451B" w:rsidRDefault="0015451B" w:rsidP="00D92987">
      <w:pPr>
        <w:pStyle w:val="NormalWeb"/>
        <w:spacing w:line="276" w:lineRule="auto"/>
        <w:ind w:left="2268"/>
        <w:contextualSpacing/>
        <w:jc w:val="both"/>
        <w:rPr>
          <w:sz w:val="20"/>
          <w:szCs w:val="20"/>
        </w:rPr>
      </w:pPr>
      <w:r w:rsidRPr="0015451B">
        <w:rPr>
          <w:sz w:val="20"/>
          <w:szCs w:val="20"/>
        </w:rPr>
        <w:t>VI - a época e as condições de vencimento, amortização ou resgate;</w:t>
      </w:r>
    </w:p>
    <w:p w:rsidR="0015451B" w:rsidRPr="0015451B" w:rsidRDefault="0015451B" w:rsidP="00D92987">
      <w:pPr>
        <w:pStyle w:val="NormalWeb"/>
        <w:spacing w:line="276" w:lineRule="auto"/>
        <w:ind w:left="2268"/>
        <w:contextualSpacing/>
        <w:jc w:val="both"/>
        <w:rPr>
          <w:sz w:val="20"/>
          <w:szCs w:val="20"/>
        </w:rPr>
      </w:pPr>
      <w:r w:rsidRPr="0015451B">
        <w:rPr>
          <w:sz w:val="20"/>
          <w:szCs w:val="20"/>
        </w:rPr>
        <w:t>VII - a época e as condições do pagamento dos juros, da participação nos lucros e do prêmio de reembolso, se houver;</w:t>
      </w:r>
    </w:p>
    <w:p w:rsidR="00D92987" w:rsidRDefault="0015451B" w:rsidP="00D92987">
      <w:pPr>
        <w:pStyle w:val="NormalWeb"/>
        <w:spacing w:line="276" w:lineRule="auto"/>
        <w:ind w:left="2268"/>
        <w:contextualSpacing/>
        <w:jc w:val="both"/>
        <w:rPr>
          <w:sz w:val="20"/>
          <w:szCs w:val="20"/>
        </w:rPr>
      </w:pPr>
      <w:r w:rsidRPr="0015451B">
        <w:rPr>
          <w:sz w:val="20"/>
          <w:szCs w:val="20"/>
        </w:rPr>
        <w:t>VIII - o modo de subscrição ou colocação, e o tipo das debêntures.</w:t>
      </w:r>
    </w:p>
    <w:p w:rsidR="00D92987" w:rsidRDefault="00D92987" w:rsidP="00D92987">
      <w:pPr>
        <w:pStyle w:val="NormalWeb"/>
        <w:spacing w:line="276" w:lineRule="auto"/>
        <w:ind w:left="2268"/>
        <w:contextualSpacing/>
        <w:jc w:val="both"/>
        <w:rPr>
          <w:sz w:val="20"/>
          <w:szCs w:val="20"/>
        </w:rPr>
      </w:pPr>
      <w:r w:rsidRPr="00D92987">
        <w:rPr>
          <w:sz w:val="20"/>
          <w:szCs w:val="20"/>
        </w:rPr>
        <w:lastRenderedPageBreak/>
        <w:t>§ 1</w:t>
      </w:r>
      <w:r w:rsidRPr="00D92987">
        <w:rPr>
          <w:sz w:val="20"/>
          <w:szCs w:val="20"/>
          <w:u w:val="single"/>
          <w:vertAlign w:val="superscript"/>
        </w:rPr>
        <w:t>o</w:t>
      </w:r>
      <w:r w:rsidRPr="00D92987">
        <w:rPr>
          <w:sz w:val="20"/>
          <w:szCs w:val="20"/>
        </w:rPr>
        <w:t>  Na companhia aberta, o conselho de administração pode deliberar sobre a emissão de debêntures não conversíveis em ações, salvo disposição estatutária em contrário. </w:t>
      </w:r>
    </w:p>
    <w:p w:rsidR="00D92987" w:rsidRDefault="00D92987" w:rsidP="00D92987">
      <w:pPr>
        <w:pStyle w:val="NormalWeb"/>
        <w:spacing w:line="276" w:lineRule="auto"/>
        <w:ind w:left="2268"/>
        <w:contextualSpacing/>
        <w:jc w:val="both"/>
        <w:rPr>
          <w:sz w:val="20"/>
          <w:szCs w:val="20"/>
        </w:rPr>
      </w:pPr>
      <w:r w:rsidRPr="00D92987">
        <w:rPr>
          <w:sz w:val="20"/>
          <w:szCs w:val="20"/>
        </w:rPr>
        <w:t>§ 2</w:t>
      </w:r>
      <w:r w:rsidRPr="00D92987">
        <w:rPr>
          <w:sz w:val="20"/>
          <w:szCs w:val="20"/>
          <w:u w:val="single"/>
          <w:vertAlign w:val="superscript"/>
        </w:rPr>
        <w:t>o</w:t>
      </w:r>
      <w:r w:rsidRPr="00D92987">
        <w:rPr>
          <w:sz w:val="20"/>
          <w:szCs w:val="20"/>
        </w:rPr>
        <w:t>  O estatuto da companhia aberta poderá autorizar o conselho de administração a, dentro dos limites do capital autorizado, deliberar sobre a emissão de debêntures conversíveis em ações, especificando o limite do aumento de capital decorrente da conversão das debêntures, em valor do capital social ou em número de ações, e as espécies e classes das ações que poderão ser emitidas. </w:t>
      </w:r>
    </w:p>
    <w:p w:rsidR="00D92987" w:rsidRDefault="00D92987" w:rsidP="00D92987">
      <w:pPr>
        <w:pStyle w:val="NormalWeb"/>
        <w:spacing w:line="276" w:lineRule="auto"/>
        <w:ind w:left="2268"/>
        <w:contextualSpacing/>
        <w:jc w:val="both"/>
        <w:rPr>
          <w:sz w:val="20"/>
          <w:szCs w:val="20"/>
        </w:rPr>
      </w:pPr>
      <w:r w:rsidRPr="00D92987">
        <w:rPr>
          <w:sz w:val="20"/>
          <w:szCs w:val="20"/>
        </w:rPr>
        <w:t>§ 3</w:t>
      </w:r>
      <w:r w:rsidRPr="00D92987">
        <w:rPr>
          <w:sz w:val="20"/>
          <w:szCs w:val="20"/>
          <w:u w:val="single"/>
          <w:vertAlign w:val="superscript"/>
        </w:rPr>
        <w:t>o</w:t>
      </w:r>
      <w:r w:rsidRPr="00D92987">
        <w:rPr>
          <w:sz w:val="20"/>
          <w:szCs w:val="20"/>
        </w:rPr>
        <w:t>  A assembleia geral pode deliberar que a emissão terá valor e número de série indeterminados, dentro dos limites por ela fixados. </w:t>
      </w:r>
    </w:p>
    <w:p w:rsidR="00D92987" w:rsidRDefault="00D92987" w:rsidP="00E25FC6">
      <w:pPr>
        <w:pStyle w:val="NormalWeb"/>
        <w:spacing w:line="276" w:lineRule="auto"/>
        <w:ind w:left="2268"/>
        <w:contextualSpacing/>
        <w:jc w:val="both"/>
        <w:rPr>
          <w:sz w:val="20"/>
          <w:szCs w:val="20"/>
        </w:rPr>
      </w:pPr>
      <w:r w:rsidRPr="00D92987">
        <w:rPr>
          <w:sz w:val="20"/>
          <w:szCs w:val="20"/>
        </w:rPr>
        <w:t>§ 4</w:t>
      </w:r>
      <w:r w:rsidRPr="00D92987">
        <w:rPr>
          <w:sz w:val="20"/>
          <w:szCs w:val="20"/>
          <w:u w:val="single"/>
          <w:vertAlign w:val="superscript"/>
        </w:rPr>
        <w:t>o</w:t>
      </w:r>
      <w:r w:rsidRPr="00D92987">
        <w:rPr>
          <w:sz w:val="20"/>
          <w:szCs w:val="20"/>
        </w:rPr>
        <w:t>  Nos casos não previstos nos §§ 1</w:t>
      </w:r>
      <w:r w:rsidRPr="00D92987">
        <w:rPr>
          <w:sz w:val="20"/>
          <w:szCs w:val="20"/>
          <w:u w:val="single"/>
          <w:vertAlign w:val="superscript"/>
        </w:rPr>
        <w:t>o</w:t>
      </w:r>
      <w:r w:rsidRPr="00D92987">
        <w:rPr>
          <w:sz w:val="20"/>
          <w:szCs w:val="20"/>
        </w:rPr>
        <w:t xml:space="preserve"> e 2</w:t>
      </w:r>
      <w:r w:rsidRPr="00D92987">
        <w:rPr>
          <w:sz w:val="20"/>
          <w:szCs w:val="20"/>
          <w:u w:val="single"/>
          <w:vertAlign w:val="superscript"/>
        </w:rPr>
        <w:t>o</w:t>
      </w:r>
      <w:r w:rsidRPr="00D92987">
        <w:rPr>
          <w:sz w:val="20"/>
          <w:szCs w:val="20"/>
        </w:rPr>
        <w:t xml:space="preserve">, a assembleia geral pode delegar ao conselho de administração a deliberação sobre as condições de que tratam os incisos VI a VIII do </w:t>
      </w:r>
      <w:r w:rsidRPr="00D92987">
        <w:rPr>
          <w:b/>
          <w:bCs/>
          <w:sz w:val="20"/>
          <w:szCs w:val="20"/>
        </w:rPr>
        <w:t>caput</w:t>
      </w:r>
      <w:r w:rsidRPr="00D92987">
        <w:rPr>
          <w:sz w:val="20"/>
          <w:szCs w:val="20"/>
        </w:rPr>
        <w:t xml:space="preserve"> e sobre a oportunidade da emissão. </w:t>
      </w:r>
    </w:p>
    <w:p w:rsidR="00D92987" w:rsidRDefault="00D92987" w:rsidP="00D92987">
      <w:pPr>
        <w:pStyle w:val="NormalWeb"/>
        <w:spacing w:line="360" w:lineRule="auto"/>
        <w:ind w:firstLine="708"/>
        <w:contextualSpacing/>
        <w:jc w:val="both"/>
      </w:pPr>
      <w:r>
        <w:t xml:space="preserve">O artigo 61 prevê que a emissão deverá constar em escritura pública ou particular, observados os direitos conferidos. O artigo 62 estabelece que nem um debênture vai ser emitido sem satisfazer alguns requisitos como: arquivamento no registro </w:t>
      </w:r>
      <w:r w:rsidR="00772B58">
        <w:t xml:space="preserve">comercio, consignação em ata da assembleia geral ou do conselho de administração que deliberou sobre a emissão; inscrição da escritura da emissão no registro de comercio e se for necessário a constituição das garantias reais. </w:t>
      </w:r>
    </w:p>
    <w:p w:rsidR="00772B58" w:rsidRDefault="00772B58" w:rsidP="00D92987">
      <w:pPr>
        <w:pStyle w:val="NormalWeb"/>
        <w:spacing w:line="360" w:lineRule="auto"/>
        <w:ind w:firstLine="708"/>
        <w:contextualSpacing/>
        <w:jc w:val="both"/>
      </w:pPr>
      <w:r>
        <w:t>A lei 6.404 torna a responsável os responsáveis pelas perdas e danos causados à companhia ou a terceiros, caso haja descumprimento de obrigações relativas ao arquivamento e ao registro dos atos de</w:t>
      </w:r>
      <w:r w:rsidR="00266BE6">
        <w:t xml:space="preserve"> emissão (RIZZARDE, 2011</w:t>
      </w:r>
      <w:r>
        <w:t>).</w:t>
      </w:r>
    </w:p>
    <w:p w:rsidR="00772B58" w:rsidRDefault="00772B58" w:rsidP="00D92987">
      <w:pPr>
        <w:pStyle w:val="NormalWeb"/>
        <w:spacing w:line="360" w:lineRule="auto"/>
        <w:ind w:firstLine="708"/>
        <w:contextualSpacing/>
        <w:jc w:val="both"/>
      </w:pPr>
      <w:r>
        <w:t xml:space="preserve">Há também a previsão de emissão de debêntures </w:t>
      </w:r>
      <w:r w:rsidR="005E2C30">
        <w:t>no estrangeiro, segundo Amador Paes de Almeida deve ser observar os mesmo requisitos das debêntures emitidas no Brasil, requer também a inscrição no registro de imóveis do local da sede da companhia ou do estabelecimento, legalização nos documentos exigidos pelo cônsul brasileiro, acompanhados da respectiva tradução em vernáculo, sendo por traduzido por tradutor publico juramentado. Dependendo para a emissão no estrangeiro a autorização antecipada da Comissão de Valores M</w:t>
      </w:r>
      <w:r w:rsidR="00266BE6">
        <w:t>obiliários. (ALMEIDA, 2011</w:t>
      </w:r>
      <w:r w:rsidR="005E2C30">
        <w:t>)</w:t>
      </w:r>
    </w:p>
    <w:p w:rsidR="005E2C30" w:rsidRDefault="005E2C30" w:rsidP="005E2C30">
      <w:pPr>
        <w:pStyle w:val="NormalWeb"/>
        <w:spacing w:line="360" w:lineRule="auto"/>
        <w:ind w:firstLine="708"/>
        <w:contextualSpacing/>
        <w:jc w:val="both"/>
      </w:pPr>
      <w:r>
        <w:t>Amador Paes Almeida ressalta:</w:t>
      </w:r>
    </w:p>
    <w:p w:rsidR="005E2C30" w:rsidRPr="006B5BA0" w:rsidRDefault="006B5BA0" w:rsidP="006B5BA0">
      <w:pPr>
        <w:pStyle w:val="NormalWeb"/>
        <w:spacing w:line="360" w:lineRule="auto"/>
        <w:ind w:left="2268"/>
        <w:contextualSpacing/>
        <w:jc w:val="both"/>
        <w:rPr>
          <w:sz w:val="20"/>
          <w:szCs w:val="20"/>
        </w:rPr>
      </w:pPr>
      <w:r>
        <w:rPr>
          <w:sz w:val="20"/>
          <w:szCs w:val="20"/>
        </w:rPr>
        <w:t>“</w:t>
      </w:r>
      <w:r w:rsidR="005E2C30" w:rsidRPr="006B5BA0">
        <w:rPr>
          <w:sz w:val="20"/>
          <w:szCs w:val="20"/>
        </w:rPr>
        <w:t xml:space="preserve">Ressalta-se, finalmente, que as debêntures </w:t>
      </w:r>
      <w:r w:rsidR="009F58E8" w:rsidRPr="006B5BA0">
        <w:rPr>
          <w:sz w:val="20"/>
          <w:szCs w:val="20"/>
        </w:rPr>
        <w:t xml:space="preserve">podem ser objeto de deposito em instituições financeiras (autorizadas pela Comissão de Valores </w:t>
      </w:r>
      <w:r w:rsidRPr="006B5BA0">
        <w:rPr>
          <w:sz w:val="20"/>
          <w:szCs w:val="20"/>
        </w:rPr>
        <w:t xml:space="preserve">Mobiliários), instituições essas que poderão, por sua vez, emitir certificados de depósitos, transferíveis mediante endosso em branco ou em preto, assinado pelo titular ou mandatário </w:t>
      </w:r>
      <w:r>
        <w:rPr>
          <w:sz w:val="20"/>
          <w:szCs w:val="20"/>
        </w:rPr>
        <w:t>especial” (ALMEIDA, 2011, p. 296)</w:t>
      </w:r>
    </w:p>
    <w:p w:rsidR="0015451B" w:rsidRPr="0015451B" w:rsidRDefault="0015451B" w:rsidP="00D92987">
      <w:pPr>
        <w:spacing w:line="360" w:lineRule="auto"/>
        <w:ind w:left="2268"/>
        <w:contextualSpacing/>
        <w:jc w:val="both"/>
        <w:outlineLvl w:val="0"/>
        <w:rPr>
          <w:rFonts w:ascii="Times New Roman" w:hAnsi="Times New Roman" w:cs="Times New Roman"/>
          <w:bCs/>
          <w:sz w:val="24"/>
          <w:szCs w:val="24"/>
        </w:rPr>
      </w:pPr>
    </w:p>
    <w:p w:rsidR="00AC71FC" w:rsidRDefault="00AC71FC" w:rsidP="003E05AF">
      <w:pPr>
        <w:spacing w:line="360" w:lineRule="auto"/>
        <w:jc w:val="both"/>
        <w:outlineLvl w:val="0"/>
        <w:rPr>
          <w:rFonts w:ascii="Times New Roman" w:hAnsi="Times New Roman" w:cs="Times New Roman"/>
          <w:b/>
          <w:bCs/>
          <w:sz w:val="24"/>
          <w:szCs w:val="24"/>
        </w:rPr>
      </w:pPr>
      <w:r w:rsidRPr="00AC71FC">
        <w:rPr>
          <w:rFonts w:ascii="Times New Roman" w:hAnsi="Times New Roman" w:cs="Times New Roman"/>
          <w:b/>
          <w:bCs/>
          <w:sz w:val="24"/>
          <w:szCs w:val="24"/>
        </w:rPr>
        <w:t>2.2 Come</w:t>
      </w:r>
      <w:r w:rsidR="00A87A27">
        <w:rPr>
          <w:rFonts w:ascii="Times New Roman" w:hAnsi="Times New Roman" w:cs="Times New Roman"/>
          <w:b/>
          <w:bCs/>
          <w:sz w:val="24"/>
          <w:szCs w:val="24"/>
        </w:rPr>
        <w:t>r</w:t>
      </w:r>
      <w:r w:rsidRPr="00AC71FC">
        <w:rPr>
          <w:rFonts w:ascii="Times New Roman" w:hAnsi="Times New Roman" w:cs="Times New Roman"/>
          <w:b/>
          <w:bCs/>
          <w:sz w:val="24"/>
          <w:szCs w:val="24"/>
        </w:rPr>
        <w:t xml:space="preserve">cialização </w:t>
      </w:r>
    </w:p>
    <w:p w:rsidR="00027639" w:rsidRPr="00A82F20" w:rsidRDefault="002C4776" w:rsidP="002C4776">
      <w:pPr>
        <w:spacing w:line="360" w:lineRule="auto"/>
        <w:ind w:firstLine="708"/>
        <w:jc w:val="both"/>
        <w:outlineLvl w:val="0"/>
        <w:rPr>
          <w:rFonts w:ascii="Times New Roman" w:hAnsi="Times New Roman" w:cs="Times New Roman"/>
          <w:bCs/>
          <w:color w:val="FF0000"/>
          <w:sz w:val="24"/>
          <w:szCs w:val="24"/>
        </w:rPr>
      </w:pPr>
      <w:r>
        <w:rPr>
          <w:rFonts w:ascii="Times New Roman" w:hAnsi="Times New Roman" w:cs="Times New Roman"/>
          <w:bCs/>
          <w:sz w:val="24"/>
          <w:szCs w:val="24"/>
        </w:rPr>
        <w:lastRenderedPageBreak/>
        <w:t>Em 1976 foi criada a autarquia da Comissão de Valores Imobiliários, tendo a competência de fiscalizar os serviços de valores imobiliários e as atividades do mesmo, observar a vinculação de informações relativas ao mercado, os valores negociado</w:t>
      </w:r>
      <w:r w:rsidR="002435CD">
        <w:rPr>
          <w:rFonts w:ascii="Times New Roman" w:hAnsi="Times New Roman" w:cs="Times New Roman"/>
          <w:bCs/>
          <w:sz w:val="24"/>
          <w:szCs w:val="24"/>
        </w:rPr>
        <w:t>s e as pessoas que participam (</w:t>
      </w:r>
      <w:r>
        <w:rPr>
          <w:rFonts w:ascii="Times New Roman" w:hAnsi="Times New Roman" w:cs="Times New Roman"/>
          <w:bCs/>
          <w:sz w:val="24"/>
          <w:szCs w:val="24"/>
        </w:rPr>
        <w:t>CASTRO,</w:t>
      </w:r>
      <w:r w:rsidR="00CE347B">
        <w:rPr>
          <w:rFonts w:ascii="Times New Roman" w:hAnsi="Times New Roman" w:cs="Times New Roman"/>
          <w:bCs/>
          <w:sz w:val="24"/>
          <w:szCs w:val="24"/>
        </w:rPr>
        <w:t xml:space="preserve"> 200[?])</w:t>
      </w:r>
    </w:p>
    <w:p w:rsidR="002435CD" w:rsidRDefault="002435CD" w:rsidP="002C4776">
      <w:pPr>
        <w:spacing w:line="360" w:lineRule="auto"/>
        <w:ind w:firstLine="708"/>
        <w:jc w:val="both"/>
        <w:outlineLvl w:val="0"/>
        <w:rPr>
          <w:rFonts w:ascii="Times New Roman" w:hAnsi="Times New Roman" w:cs="Times New Roman"/>
          <w:bCs/>
          <w:sz w:val="24"/>
          <w:szCs w:val="24"/>
        </w:rPr>
      </w:pPr>
      <w:r>
        <w:rPr>
          <w:rFonts w:ascii="Times New Roman" w:hAnsi="Times New Roman" w:cs="Times New Roman"/>
          <w:bCs/>
          <w:sz w:val="24"/>
          <w:szCs w:val="24"/>
        </w:rPr>
        <w:t>Marina Castro explana sobre a criação da Comissão de Valores Imobiliários:</w:t>
      </w:r>
    </w:p>
    <w:p w:rsidR="002435CD" w:rsidRPr="002435CD" w:rsidRDefault="002435CD" w:rsidP="002435CD">
      <w:pPr>
        <w:autoSpaceDE w:val="0"/>
        <w:autoSpaceDN w:val="0"/>
        <w:adjustRightInd w:val="0"/>
        <w:spacing w:after="0"/>
        <w:ind w:left="2268"/>
        <w:jc w:val="both"/>
        <w:rPr>
          <w:rFonts w:ascii="Times New Roman" w:hAnsi="Times New Roman" w:cs="Times New Roman"/>
          <w:sz w:val="20"/>
          <w:szCs w:val="20"/>
        </w:rPr>
      </w:pPr>
      <w:r w:rsidRPr="002435CD">
        <w:rPr>
          <w:rFonts w:ascii="Times New Roman" w:hAnsi="Times New Roman" w:cs="Times New Roman"/>
          <w:sz w:val="20"/>
          <w:szCs w:val="20"/>
        </w:rPr>
        <w:t>Após a criação da CVM foram instituídas regras, de certa forma, rígidas para a distribuição pública de valores mobiliários. Entretanto, essas regras visavam dar maior segurança e transparência ao mercado de capitais, para fins de fomentá-lo, incentivando os investidores a atuar no referido mercado.</w:t>
      </w:r>
    </w:p>
    <w:p w:rsidR="002435CD" w:rsidRPr="002435CD" w:rsidRDefault="002435CD" w:rsidP="002435CD">
      <w:pPr>
        <w:autoSpaceDE w:val="0"/>
        <w:autoSpaceDN w:val="0"/>
        <w:adjustRightInd w:val="0"/>
        <w:spacing w:after="0"/>
        <w:ind w:left="2268"/>
        <w:jc w:val="both"/>
        <w:rPr>
          <w:rFonts w:ascii="Times New Roman" w:hAnsi="Times New Roman" w:cs="Times New Roman"/>
          <w:sz w:val="20"/>
          <w:szCs w:val="20"/>
        </w:rPr>
      </w:pPr>
      <w:r w:rsidRPr="002435CD">
        <w:rPr>
          <w:rFonts w:ascii="Times New Roman" w:hAnsi="Times New Roman" w:cs="Times New Roman"/>
          <w:sz w:val="20"/>
          <w:szCs w:val="20"/>
        </w:rPr>
        <w:t>Finalmente, foi publicada a Lei n. 6.404/1976, regulamentando as sociedades anônimas e, consequentemente, as debêntures. Tal legislação, apesar de alterada parcialmente pelas Leis n. 9.457/97 e 10.303/01, continua em vigor até a presente data</w:t>
      </w:r>
      <w:r w:rsidRPr="00CE347B">
        <w:rPr>
          <w:rFonts w:ascii="Times New Roman" w:hAnsi="Times New Roman" w:cs="Times New Roman"/>
          <w:sz w:val="20"/>
          <w:szCs w:val="20"/>
        </w:rPr>
        <w:t>.</w:t>
      </w:r>
      <w:r w:rsidR="00A82F20" w:rsidRPr="00CE347B">
        <w:rPr>
          <w:rFonts w:ascii="Times New Roman" w:hAnsi="Times New Roman" w:cs="Times New Roman"/>
          <w:sz w:val="20"/>
          <w:szCs w:val="20"/>
        </w:rPr>
        <w:t xml:space="preserve"> (CASTRO, </w:t>
      </w:r>
      <w:r w:rsidR="00CE347B" w:rsidRPr="00CE347B">
        <w:rPr>
          <w:rFonts w:ascii="Times New Roman" w:hAnsi="Times New Roman" w:cs="Times New Roman"/>
          <w:sz w:val="20"/>
          <w:szCs w:val="20"/>
        </w:rPr>
        <w:t>200[?])</w:t>
      </w:r>
    </w:p>
    <w:p w:rsidR="002435CD" w:rsidRPr="002435CD" w:rsidRDefault="002435CD" w:rsidP="002435CD">
      <w:pPr>
        <w:autoSpaceDE w:val="0"/>
        <w:autoSpaceDN w:val="0"/>
        <w:adjustRightInd w:val="0"/>
        <w:spacing w:after="0"/>
        <w:ind w:left="2268"/>
        <w:rPr>
          <w:rFonts w:ascii="Times New Roman" w:hAnsi="Times New Roman" w:cs="Times New Roman"/>
          <w:sz w:val="20"/>
          <w:szCs w:val="20"/>
        </w:rPr>
      </w:pPr>
    </w:p>
    <w:p w:rsidR="002435CD" w:rsidRPr="002435CD" w:rsidRDefault="002435CD" w:rsidP="002435CD">
      <w:pPr>
        <w:autoSpaceDE w:val="0"/>
        <w:autoSpaceDN w:val="0"/>
        <w:adjustRightInd w:val="0"/>
        <w:spacing w:after="0"/>
        <w:ind w:left="2268"/>
        <w:rPr>
          <w:rFonts w:ascii="Times New Roman" w:hAnsi="Times New Roman" w:cs="Times New Roman"/>
          <w:sz w:val="20"/>
          <w:szCs w:val="20"/>
        </w:rPr>
      </w:pPr>
    </w:p>
    <w:p w:rsidR="002435CD" w:rsidRPr="00DC0BBA" w:rsidRDefault="00DC0BBA" w:rsidP="00F77C78">
      <w:pPr>
        <w:autoSpaceDE w:val="0"/>
        <w:autoSpaceDN w:val="0"/>
        <w:adjustRightInd w:val="0"/>
        <w:spacing w:after="0" w:line="360" w:lineRule="auto"/>
        <w:ind w:firstLine="708"/>
        <w:jc w:val="both"/>
        <w:rPr>
          <w:rFonts w:ascii="Times New Roman" w:hAnsi="Times New Roman" w:cs="Times New Roman"/>
          <w:sz w:val="24"/>
          <w:szCs w:val="24"/>
        </w:rPr>
      </w:pPr>
      <w:r w:rsidRPr="00DC0BBA">
        <w:rPr>
          <w:rFonts w:ascii="Times New Roman" w:hAnsi="Times New Roman" w:cs="Times New Roman"/>
          <w:sz w:val="24"/>
          <w:szCs w:val="24"/>
        </w:rPr>
        <w:t>Segundo Marina</w:t>
      </w:r>
      <w:r w:rsidR="00DE1A52">
        <w:rPr>
          <w:rFonts w:ascii="Times New Roman" w:hAnsi="Times New Roman" w:cs="Times New Roman"/>
          <w:sz w:val="24"/>
          <w:szCs w:val="24"/>
        </w:rPr>
        <w:t xml:space="preserve"> Castro</w:t>
      </w:r>
      <w:r w:rsidRPr="00DC0BBA">
        <w:rPr>
          <w:rFonts w:ascii="Times New Roman" w:hAnsi="Times New Roman" w:cs="Times New Roman"/>
          <w:sz w:val="24"/>
          <w:szCs w:val="24"/>
        </w:rPr>
        <w:t xml:space="preserve"> a tendência </w:t>
      </w:r>
      <w:r w:rsidR="00F77C78">
        <w:rPr>
          <w:rFonts w:ascii="Times New Roman" w:hAnsi="Times New Roman" w:cs="Times New Roman"/>
          <w:sz w:val="24"/>
          <w:szCs w:val="24"/>
        </w:rPr>
        <w:t>mundial foi a superação do nú</w:t>
      </w:r>
      <w:r w:rsidRPr="00DC0BBA">
        <w:rPr>
          <w:rFonts w:ascii="Times New Roman" w:hAnsi="Times New Roman" w:cs="Times New Roman"/>
          <w:sz w:val="24"/>
          <w:szCs w:val="24"/>
        </w:rPr>
        <w:t xml:space="preserve">mero de emissão </w:t>
      </w:r>
      <w:r w:rsidR="00F77C78">
        <w:rPr>
          <w:rFonts w:ascii="Times New Roman" w:hAnsi="Times New Roman" w:cs="Times New Roman"/>
          <w:sz w:val="24"/>
          <w:szCs w:val="24"/>
        </w:rPr>
        <w:t>de debêntures em comparação com a emissão de ações, no Brasil essa estatística se co</w:t>
      </w:r>
      <w:r w:rsidR="00DE1A52">
        <w:rPr>
          <w:rFonts w:ascii="Times New Roman" w:hAnsi="Times New Roman" w:cs="Times New Roman"/>
          <w:sz w:val="24"/>
          <w:szCs w:val="24"/>
        </w:rPr>
        <w:t xml:space="preserve">nfirma, no ano de 1997 quando </w:t>
      </w:r>
      <w:r w:rsidR="00F77C78">
        <w:rPr>
          <w:rFonts w:ascii="Times New Roman" w:hAnsi="Times New Roman" w:cs="Times New Roman"/>
          <w:sz w:val="24"/>
          <w:szCs w:val="24"/>
        </w:rPr>
        <w:t>o valor de comercialização</w:t>
      </w:r>
      <w:r w:rsidR="00DE1A52">
        <w:rPr>
          <w:rFonts w:ascii="Times New Roman" w:hAnsi="Times New Roman" w:cs="Times New Roman"/>
          <w:sz w:val="24"/>
          <w:szCs w:val="24"/>
        </w:rPr>
        <w:t xml:space="preserve"> de debêntures superou o valor da emissão de ações , tendo as debêntures uma aceitação melhor no mercado brasileiro a partir desse ano.</w:t>
      </w:r>
      <w:r w:rsidR="00822DE9">
        <w:rPr>
          <w:rStyle w:val="Refdenotaderodap"/>
          <w:rFonts w:ascii="Times New Roman" w:hAnsi="Times New Roman" w:cs="Times New Roman"/>
          <w:sz w:val="24"/>
          <w:szCs w:val="24"/>
        </w:rPr>
        <w:footnoteReference w:id="6"/>
      </w:r>
      <w:r w:rsidR="00DE1A52">
        <w:rPr>
          <w:rFonts w:ascii="Times New Roman" w:hAnsi="Times New Roman" w:cs="Times New Roman"/>
          <w:sz w:val="24"/>
          <w:szCs w:val="24"/>
        </w:rPr>
        <w:t xml:space="preserve"> </w:t>
      </w:r>
    </w:p>
    <w:p w:rsidR="00DA3BAB" w:rsidRDefault="00DA3BAB" w:rsidP="00822DE9">
      <w:pPr>
        <w:autoSpaceDE w:val="0"/>
        <w:autoSpaceDN w:val="0"/>
        <w:adjustRightInd w:val="0"/>
        <w:spacing w:after="0" w:line="240" w:lineRule="auto"/>
        <w:jc w:val="center"/>
        <w:rPr>
          <w:rFonts w:ascii="Times New Roman" w:hAnsi="Times New Roman" w:cs="Times New Roman"/>
          <w:sz w:val="20"/>
          <w:szCs w:val="20"/>
        </w:rPr>
      </w:pPr>
    </w:p>
    <w:tbl>
      <w:tblPr>
        <w:tblStyle w:val="Tabelacomgrade"/>
        <w:tblW w:w="9598" w:type="dxa"/>
        <w:tblLook w:val="04A0"/>
      </w:tblPr>
      <w:tblGrid>
        <w:gridCol w:w="3199"/>
        <w:gridCol w:w="3199"/>
        <w:gridCol w:w="3200"/>
      </w:tblGrid>
      <w:tr w:rsidR="00DA3BAB" w:rsidTr="00DA3BAB">
        <w:trPr>
          <w:trHeight w:val="300"/>
        </w:trPr>
        <w:tc>
          <w:tcPr>
            <w:tcW w:w="3199" w:type="dxa"/>
          </w:tcPr>
          <w:p w:rsidR="00DA3BAB" w:rsidRPr="00DA3BAB" w:rsidRDefault="00DA3BAB" w:rsidP="00822DE9">
            <w:pPr>
              <w:autoSpaceDE w:val="0"/>
              <w:autoSpaceDN w:val="0"/>
              <w:adjustRightInd w:val="0"/>
              <w:jc w:val="center"/>
              <w:rPr>
                <w:rFonts w:ascii="Times New Roman" w:hAnsi="Times New Roman" w:cs="Times New Roman"/>
                <w:sz w:val="20"/>
                <w:szCs w:val="20"/>
              </w:rPr>
            </w:pPr>
            <w:r w:rsidRPr="00DA3BAB">
              <w:rPr>
                <w:rFonts w:ascii="Times New Roman" w:hAnsi="Times New Roman" w:cs="Times New Roman"/>
                <w:sz w:val="20"/>
                <w:szCs w:val="20"/>
              </w:rPr>
              <w:t>Ano</w:t>
            </w:r>
          </w:p>
        </w:tc>
        <w:tc>
          <w:tcPr>
            <w:tcW w:w="3199" w:type="dxa"/>
          </w:tcPr>
          <w:p w:rsidR="00DA3BAB" w:rsidRDefault="00DA3BAB" w:rsidP="00822DE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xml:space="preserve">Emissão de </w:t>
            </w:r>
            <w:r w:rsidR="00822DE9">
              <w:rPr>
                <w:rFonts w:ascii="Times New Roman" w:hAnsi="Times New Roman" w:cs="Times New Roman"/>
                <w:sz w:val="20"/>
                <w:szCs w:val="20"/>
              </w:rPr>
              <w:t>Debêntures</w:t>
            </w:r>
          </w:p>
        </w:tc>
        <w:tc>
          <w:tcPr>
            <w:tcW w:w="3200" w:type="dxa"/>
          </w:tcPr>
          <w:p w:rsidR="00DA3BAB" w:rsidRDefault="00DA3BAB" w:rsidP="00822DE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Emissão de Ações</w:t>
            </w:r>
          </w:p>
        </w:tc>
      </w:tr>
      <w:tr w:rsidR="00DA3BAB" w:rsidTr="00DA3BAB">
        <w:trPr>
          <w:trHeight w:val="300"/>
        </w:trPr>
        <w:tc>
          <w:tcPr>
            <w:tcW w:w="3199" w:type="dxa"/>
          </w:tcPr>
          <w:p w:rsidR="00DA3BAB" w:rsidRDefault="00822DE9" w:rsidP="00822DE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2002</w:t>
            </w:r>
          </w:p>
        </w:tc>
        <w:tc>
          <w:tcPr>
            <w:tcW w:w="3199" w:type="dxa"/>
          </w:tcPr>
          <w:p w:rsidR="00DA3BAB" w:rsidRDefault="00822DE9" w:rsidP="00822DE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R$ 14.635.600.000,00</w:t>
            </w:r>
          </w:p>
        </w:tc>
        <w:tc>
          <w:tcPr>
            <w:tcW w:w="3200" w:type="dxa"/>
          </w:tcPr>
          <w:p w:rsidR="00DA3BAB" w:rsidRDefault="00822DE9" w:rsidP="00822DE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R$ 1.050.442.564,05</w:t>
            </w:r>
          </w:p>
        </w:tc>
      </w:tr>
      <w:tr w:rsidR="00DA3BAB" w:rsidTr="00DA3BAB">
        <w:trPr>
          <w:trHeight w:val="300"/>
        </w:trPr>
        <w:tc>
          <w:tcPr>
            <w:tcW w:w="3199" w:type="dxa"/>
          </w:tcPr>
          <w:p w:rsidR="00DA3BAB" w:rsidRDefault="00822DE9" w:rsidP="00822DE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2003</w:t>
            </w:r>
          </w:p>
        </w:tc>
        <w:tc>
          <w:tcPr>
            <w:tcW w:w="3199" w:type="dxa"/>
          </w:tcPr>
          <w:p w:rsidR="00DA3BAB" w:rsidRDefault="00822DE9" w:rsidP="00822DE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R$ 5.282.404.000,00</w:t>
            </w:r>
          </w:p>
        </w:tc>
        <w:tc>
          <w:tcPr>
            <w:tcW w:w="3200" w:type="dxa"/>
          </w:tcPr>
          <w:p w:rsidR="00DA3BAB" w:rsidRDefault="00822DE9" w:rsidP="00822DE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R$ 299.999.999,96</w:t>
            </w:r>
          </w:p>
        </w:tc>
      </w:tr>
      <w:tr w:rsidR="00DA3BAB" w:rsidTr="00DA3BAB">
        <w:trPr>
          <w:trHeight w:val="300"/>
        </w:trPr>
        <w:tc>
          <w:tcPr>
            <w:tcW w:w="3199" w:type="dxa"/>
          </w:tcPr>
          <w:p w:rsidR="00DA3BAB" w:rsidRDefault="00822DE9" w:rsidP="00822DE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2004</w:t>
            </w:r>
          </w:p>
        </w:tc>
        <w:tc>
          <w:tcPr>
            <w:tcW w:w="3199" w:type="dxa"/>
          </w:tcPr>
          <w:p w:rsidR="00DA3BAB" w:rsidRDefault="00822DE9" w:rsidP="00822DE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R$ 9.614.451.500,00</w:t>
            </w:r>
          </w:p>
        </w:tc>
        <w:tc>
          <w:tcPr>
            <w:tcW w:w="3200" w:type="dxa"/>
          </w:tcPr>
          <w:p w:rsidR="00DA3BAB" w:rsidRDefault="00822DE9" w:rsidP="00822DE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R$ 4.469.902.764,89</w:t>
            </w:r>
          </w:p>
        </w:tc>
      </w:tr>
      <w:tr w:rsidR="00DA3BAB" w:rsidTr="00DA3BAB">
        <w:trPr>
          <w:trHeight w:val="300"/>
        </w:trPr>
        <w:tc>
          <w:tcPr>
            <w:tcW w:w="3199" w:type="dxa"/>
          </w:tcPr>
          <w:p w:rsidR="00DA3BAB" w:rsidRDefault="00822DE9" w:rsidP="00822DE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2005</w:t>
            </w:r>
          </w:p>
        </w:tc>
        <w:tc>
          <w:tcPr>
            <w:tcW w:w="3199" w:type="dxa"/>
          </w:tcPr>
          <w:p w:rsidR="00DA3BAB" w:rsidRDefault="00822DE9" w:rsidP="00822DE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R$ 41.538.852.293,88</w:t>
            </w:r>
          </w:p>
        </w:tc>
        <w:tc>
          <w:tcPr>
            <w:tcW w:w="3200" w:type="dxa"/>
          </w:tcPr>
          <w:p w:rsidR="00DA3BAB" w:rsidRDefault="00822DE9" w:rsidP="00822DE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R$ 4.364.528.761,71</w:t>
            </w:r>
          </w:p>
        </w:tc>
      </w:tr>
      <w:tr w:rsidR="00DA3BAB" w:rsidTr="00DA3BAB">
        <w:trPr>
          <w:trHeight w:val="300"/>
        </w:trPr>
        <w:tc>
          <w:tcPr>
            <w:tcW w:w="3199" w:type="dxa"/>
          </w:tcPr>
          <w:p w:rsidR="00DA3BAB" w:rsidRDefault="00822DE9" w:rsidP="00822DE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2006</w:t>
            </w:r>
          </w:p>
        </w:tc>
        <w:tc>
          <w:tcPr>
            <w:tcW w:w="3199" w:type="dxa"/>
          </w:tcPr>
          <w:p w:rsidR="00DA3BAB" w:rsidRDefault="00822DE9" w:rsidP="00822DE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R$ 69.464.083.040,20</w:t>
            </w:r>
          </w:p>
        </w:tc>
        <w:tc>
          <w:tcPr>
            <w:tcW w:w="3200" w:type="dxa"/>
          </w:tcPr>
          <w:p w:rsidR="00DA3BAB" w:rsidRDefault="00822DE9" w:rsidP="00822DE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R$ 14.212.632.881,23</w:t>
            </w:r>
          </w:p>
        </w:tc>
      </w:tr>
      <w:tr w:rsidR="00DA3BAB" w:rsidTr="00DA3BAB">
        <w:trPr>
          <w:trHeight w:val="300"/>
        </w:trPr>
        <w:tc>
          <w:tcPr>
            <w:tcW w:w="3199" w:type="dxa"/>
          </w:tcPr>
          <w:p w:rsidR="00DA3BAB" w:rsidRDefault="00DA3BAB" w:rsidP="00822DE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2007</w:t>
            </w:r>
          </w:p>
        </w:tc>
        <w:tc>
          <w:tcPr>
            <w:tcW w:w="3199" w:type="dxa"/>
          </w:tcPr>
          <w:p w:rsidR="00DA3BAB" w:rsidRDefault="00DA3BAB" w:rsidP="00822DE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R$ 46.533.786.496,75</w:t>
            </w:r>
          </w:p>
        </w:tc>
        <w:tc>
          <w:tcPr>
            <w:tcW w:w="3200" w:type="dxa"/>
          </w:tcPr>
          <w:p w:rsidR="00DA3BAB" w:rsidRDefault="00822DE9" w:rsidP="00822DE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R$ 32.200.705.420,02</w:t>
            </w:r>
          </w:p>
        </w:tc>
      </w:tr>
      <w:tr w:rsidR="00DA3BAB" w:rsidTr="00DA3BAB">
        <w:trPr>
          <w:trHeight w:val="322"/>
        </w:trPr>
        <w:tc>
          <w:tcPr>
            <w:tcW w:w="3199" w:type="dxa"/>
          </w:tcPr>
          <w:p w:rsidR="00DA3BAB" w:rsidRDefault="00DA3BAB" w:rsidP="00822DE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2008</w:t>
            </w:r>
          </w:p>
        </w:tc>
        <w:tc>
          <w:tcPr>
            <w:tcW w:w="3199" w:type="dxa"/>
          </w:tcPr>
          <w:p w:rsidR="00DA3BAB" w:rsidRDefault="00DA3BAB" w:rsidP="00822DE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R$ 37.458.538.000,00</w:t>
            </w:r>
          </w:p>
        </w:tc>
        <w:tc>
          <w:tcPr>
            <w:tcW w:w="3200" w:type="dxa"/>
          </w:tcPr>
          <w:p w:rsidR="00DA3BAB" w:rsidRDefault="00DA3BAB" w:rsidP="00822DE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R$ 32.148.102.600,43</w:t>
            </w:r>
          </w:p>
        </w:tc>
      </w:tr>
    </w:tbl>
    <w:p w:rsidR="00DA3BAB" w:rsidRDefault="00DA3BAB" w:rsidP="00822DE9">
      <w:pPr>
        <w:autoSpaceDE w:val="0"/>
        <w:autoSpaceDN w:val="0"/>
        <w:adjustRightInd w:val="0"/>
        <w:spacing w:after="0" w:line="240" w:lineRule="auto"/>
        <w:jc w:val="center"/>
        <w:rPr>
          <w:rFonts w:ascii="Times New Roman" w:hAnsi="Times New Roman" w:cs="Times New Roman"/>
          <w:sz w:val="20"/>
          <w:szCs w:val="20"/>
        </w:rPr>
      </w:pPr>
    </w:p>
    <w:p w:rsidR="00DE1A52" w:rsidRDefault="00DE1A52" w:rsidP="00822DE9">
      <w:pPr>
        <w:autoSpaceDE w:val="0"/>
        <w:autoSpaceDN w:val="0"/>
        <w:adjustRightInd w:val="0"/>
        <w:spacing w:after="0" w:line="240" w:lineRule="auto"/>
        <w:jc w:val="center"/>
        <w:rPr>
          <w:rFonts w:ascii="Times New Roman" w:hAnsi="Times New Roman" w:cs="Times New Roman"/>
          <w:sz w:val="20"/>
          <w:szCs w:val="20"/>
        </w:rPr>
      </w:pPr>
    </w:p>
    <w:p w:rsidR="002435CD" w:rsidRDefault="002435CD" w:rsidP="00DE1A52">
      <w:pPr>
        <w:autoSpaceDE w:val="0"/>
        <w:autoSpaceDN w:val="0"/>
        <w:adjustRightInd w:val="0"/>
        <w:spacing w:after="0" w:line="240" w:lineRule="auto"/>
        <w:rPr>
          <w:rFonts w:ascii="Times New Roman" w:hAnsi="Times New Roman" w:cs="Times New Roman"/>
          <w:sz w:val="24"/>
          <w:szCs w:val="24"/>
        </w:rPr>
      </w:pPr>
    </w:p>
    <w:p w:rsidR="00AC71FC" w:rsidRDefault="00AC71FC" w:rsidP="003E05AF">
      <w:pPr>
        <w:spacing w:line="360" w:lineRule="auto"/>
        <w:jc w:val="both"/>
        <w:outlineLvl w:val="0"/>
        <w:rPr>
          <w:rFonts w:ascii="Times New Roman" w:hAnsi="Times New Roman" w:cs="Times New Roman"/>
          <w:b/>
          <w:bCs/>
          <w:sz w:val="24"/>
          <w:szCs w:val="24"/>
        </w:rPr>
      </w:pPr>
      <w:r w:rsidRPr="00AC71FC">
        <w:rPr>
          <w:rFonts w:ascii="Times New Roman" w:hAnsi="Times New Roman" w:cs="Times New Roman"/>
          <w:b/>
          <w:bCs/>
          <w:sz w:val="24"/>
          <w:szCs w:val="24"/>
        </w:rPr>
        <w:t>2.3 Circulação</w:t>
      </w:r>
    </w:p>
    <w:p w:rsidR="00B235FB" w:rsidRDefault="00E55567" w:rsidP="00B235FB">
      <w:pPr>
        <w:spacing w:line="360" w:lineRule="auto"/>
        <w:ind w:firstLine="708"/>
        <w:jc w:val="both"/>
        <w:outlineLvl w:val="0"/>
        <w:rPr>
          <w:rFonts w:ascii="Times New Roman" w:hAnsi="Times New Roman" w:cs="Times New Roman"/>
          <w:bCs/>
          <w:sz w:val="24"/>
          <w:szCs w:val="24"/>
        </w:rPr>
      </w:pPr>
      <w:r w:rsidRPr="00E55567">
        <w:rPr>
          <w:rFonts w:ascii="Times New Roman" w:hAnsi="Times New Roman" w:cs="Times New Roman"/>
          <w:bCs/>
          <w:sz w:val="24"/>
          <w:szCs w:val="24"/>
        </w:rPr>
        <w:t xml:space="preserve">Antes </w:t>
      </w:r>
      <w:r>
        <w:rPr>
          <w:rFonts w:ascii="Times New Roman" w:hAnsi="Times New Roman" w:cs="Times New Roman"/>
          <w:bCs/>
          <w:sz w:val="24"/>
          <w:szCs w:val="24"/>
        </w:rPr>
        <w:t xml:space="preserve">do advento da lei 7.428 a única forma prevista de circulação das debêntures era ao portador, ou seja, de acordo com o </w:t>
      </w:r>
      <w:r w:rsidR="00B235FB">
        <w:rPr>
          <w:rFonts w:ascii="Times New Roman" w:hAnsi="Times New Roman" w:cs="Times New Roman"/>
          <w:bCs/>
          <w:sz w:val="24"/>
          <w:szCs w:val="24"/>
        </w:rPr>
        <w:t>Código</w:t>
      </w:r>
      <w:r>
        <w:rPr>
          <w:rFonts w:ascii="Times New Roman" w:hAnsi="Times New Roman" w:cs="Times New Roman"/>
          <w:bCs/>
          <w:sz w:val="24"/>
          <w:szCs w:val="24"/>
        </w:rPr>
        <w:t xml:space="preserve"> Civil no artigo 904, a transferência do titulo ao portador </w:t>
      </w:r>
      <w:r w:rsidR="00B235FB">
        <w:rPr>
          <w:rFonts w:ascii="Times New Roman" w:hAnsi="Times New Roman" w:cs="Times New Roman"/>
          <w:bCs/>
          <w:sz w:val="24"/>
          <w:szCs w:val="24"/>
        </w:rPr>
        <w:t xml:space="preserve">se faz pela simples tradição. </w:t>
      </w:r>
    </w:p>
    <w:p w:rsidR="00B235FB" w:rsidRDefault="00B235FB" w:rsidP="00B235FB">
      <w:pPr>
        <w:spacing w:line="360" w:lineRule="auto"/>
        <w:ind w:firstLine="708"/>
        <w:jc w:val="both"/>
        <w:outlineLvl w:val="0"/>
        <w:rPr>
          <w:rFonts w:ascii="Times New Roman" w:hAnsi="Times New Roman" w:cs="Times New Roman"/>
          <w:bCs/>
          <w:sz w:val="24"/>
          <w:szCs w:val="24"/>
        </w:rPr>
      </w:pPr>
      <w:r>
        <w:rPr>
          <w:rFonts w:ascii="Times New Roman" w:hAnsi="Times New Roman" w:cs="Times New Roman"/>
          <w:bCs/>
          <w:sz w:val="24"/>
          <w:szCs w:val="24"/>
        </w:rPr>
        <w:lastRenderedPageBreak/>
        <w:t>Depois da referida lei as debêntures passaram a poder ser endossadas, trazendo no certificado o nome do proprietário da debênture, sendo transferida mediante endosso</w:t>
      </w:r>
      <w:r w:rsidR="000760D7">
        <w:rPr>
          <w:rFonts w:ascii="Times New Roman" w:hAnsi="Times New Roman" w:cs="Times New Roman"/>
          <w:bCs/>
          <w:sz w:val="24"/>
          <w:szCs w:val="24"/>
        </w:rPr>
        <w:t>. Entretanto, como explica Amado</w:t>
      </w:r>
      <w:r w:rsidR="00D6671D">
        <w:rPr>
          <w:rFonts w:ascii="Times New Roman" w:hAnsi="Times New Roman" w:cs="Times New Roman"/>
          <w:bCs/>
          <w:sz w:val="24"/>
          <w:szCs w:val="24"/>
        </w:rPr>
        <w:t>r Almeida (ALMEIDA, 2011</w:t>
      </w:r>
      <w:r w:rsidR="000760D7">
        <w:rPr>
          <w:rFonts w:ascii="Times New Roman" w:hAnsi="Times New Roman" w:cs="Times New Roman"/>
          <w:bCs/>
          <w:sz w:val="24"/>
          <w:szCs w:val="24"/>
        </w:rPr>
        <w:t xml:space="preserve">) a lei 9.457 de 5 de maio de 1997, extinguiu as debêntures </w:t>
      </w:r>
      <w:r w:rsidR="00F4483C">
        <w:rPr>
          <w:rFonts w:ascii="Times New Roman" w:hAnsi="Times New Roman" w:cs="Times New Roman"/>
          <w:bCs/>
          <w:sz w:val="24"/>
          <w:szCs w:val="24"/>
        </w:rPr>
        <w:t>ao portador e endossáveis, proclamando a nominatividade das debêntures</w:t>
      </w:r>
      <w:r w:rsidR="00D92531">
        <w:rPr>
          <w:rFonts w:ascii="Times New Roman" w:hAnsi="Times New Roman" w:cs="Times New Roman"/>
          <w:bCs/>
          <w:sz w:val="24"/>
          <w:szCs w:val="24"/>
        </w:rPr>
        <w:t>, como os demais títulos de emissão de sociedade anônima.</w:t>
      </w:r>
    </w:p>
    <w:p w:rsidR="00D92531" w:rsidRDefault="00D92531" w:rsidP="00B235FB">
      <w:pPr>
        <w:spacing w:line="360" w:lineRule="auto"/>
        <w:ind w:firstLine="708"/>
        <w:jc w:val="both"/>
        <w:outlineLvl w:val="0"/>
        <w:rPr>
          <w:rFonts w:ascii="Times New Roman" w:hAnsi="Times New Roman" w:cs="Times New Roman"/>
          <w:bCs/>
          <w:sz w:val="24"/>
          <w:szCs w:val="24"/>
        </w:rPr>
      </w:pPr>
      <w:r>
        <w:rPr>
          <w:rFonts w:ascii="Times New Roman" w:hAnsi="Times New Roman" w:cs="Times New Roman"/>
          <w:bCs/>
          <w:sz w:val="24"/>
          <w:szCs w:val="24"/>
        </w:rPr>
        <w:t>Sobre o assunto explana Arnaldo Rizzardo:</w:t>
      </w:r>
    </w:p>
    <w:p w:rsidR="00113DEA" w:rsidRDefault="00D92531" w:rsidP="00113DEA">
      <w:pPr>
        <w:ind w:left="2268"/>
        <w:jc w:val="both"/>
        <w:outlineLvl w:val="0"/>
        <w:rPr>
          <w:rFonts w:ascii="Times New Roman" w:hAnsi="Times New Roman" w:cs="Times New Roman"/>
          <w:sz w:val="20"/>
          <w:szCs w:val="20"/>
        </w:rPr>
      </w:pPr>
      <w:r w:rsidRPr="00A05551">
        <w:rPr>
          <w:rFonts w:ascii="Times New Roman" w:hAnsi="Times New Roman" w:cs="Times New Roman"/>
          <w:bCs/>
          <w:sz w:val="20"/>
          <w:szCs w:val="20"/>
        </w:rPr>
        <w:t xml:space="preserve">Outrossim, a lei 10.303 alterou os </w:t>
      </w:r>
      <w:bookmarkStart w:id="0" w:name="art63§1"/>
      <w:bookmarkEnd w:id="0"/>
      <w:r w:rsidRPr="00A05551">
        <w:rPr>
          <w:rFonts w:ascii="Times New Roman" w:hAnsi="Times New Roman" w:cs="Times New Roman"/>
          <w:sz w:val="20"/>
          <w:szCs w:val="20"/>
        </w:rPr>
        <w:t xml:space="preserve">§§1º e  2º  do artigo 63, cuidando aquele do registro </w:t>
      </w:r>
      <w:r w:rsidR="00D72D25" w:rsidRPr="00A05551">
        <w:rPr>
          <w:rFonts w:ascii="Times New Roman" w:hAnsi="Times New Roman" w:cs="Times New Roman"/>
          <w:sz w:val="20"/>
          <w:szCs w:val="20"/>
        </w:rPr>
        <w:t>das debêntures endossáveis, e ultimo facultando que a escritura de emissão pode estabelecer que as debêntures sejam mantidas com conta de custodia, em nome de seus titulares, na instituição que design</w:t>
      </w:r>
      <w:r w:rsidR="006522AF" w:rsidRPr="00A05551">
        <w:rPr>
          <w:rFonts w:ascii="Times New Roman" w:hAnsi="Times New Roman" w:cs="Times New Roman"/>
          <w:sz w:val="20"/>
          <w:szCs w:val="20"/>
        </w:rPr>
        <w:t>ar, sem emissão de certifi</w:t>
      </w:r>
      <w:r w:rsidR="00A05551" w:rsidRPr="00A05551">
        <w:rPr>
          <w:rFonts w:ascii="Times New Roman" w:hAnsi="Times New Roman" w:cs="Times New Roman"/>
          <w:sz w:val="20"/>
          <w:szCs w:val="20"/>
        </w:rPr>
        <w:t>cados. Assim, pela nova redação, são trazidas regras do deposito das debêntures emitidas com certificado, facultando-se que seja mantidos em contas de custódia em instituição que for designada, sem emissão de certificados.</w:t>
      </w:r>
      <w:r w:rsidR="00A05551">
        <w:rPr>
          <w:rFonts w:ascii="Times New Roman" w:hAnsi="Times New Roman" w:cs="Times New Roman"/>
          <w:sz w:val="20"/>
          <w:szCs w:val="20"/>
        </w:rPr>
        <w:t xml:space="preserve"> (RIZZARDO, 2011, p. 281)</w:t>
      </w:r>
    </w:p>
    <w:p w:rsidR="00AC71FC" w:rsidRDefault="00A87A27" w:rsidP="003E05AF">
      <w:pPr>
        <w:spacing w:line="36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3</w:t>
      </w:r>
      <w:r w:rsidR="006A4E48">
        <w:rPr>
          <w:rFonts w:ascii="Times New Roman" w:hAnsi="Times New Roman" w:cs="Times New Roman"/>
          <w:b/>
          <w:bCs/>
          <w:sz w:val="24"/>
          <w:szCs w:val="24"/>
        </w:rPr>
        <w:t xml:space="preserve"> </w:t>
      </w:r>
      <w:r w:rsidR="00AC71FC" w:rsidRPr="00AC71FC">
        <w:rPr>
          <w:rFonts w:ascii="Times New Roman" w:hAnsi="Times New Roman" w:cs="Times New Roman"/>
          <w:b/>
          <w:bCs/>
          <w:sz w:val="24"/>
          <w:szCs w:val="24"/>
        </w:rPr>
        <w:t>Utilização das Debêntures</w:t>
      </w:r>
      <w:r w:rsidR="0094415C">
        <w:rPr>
          <w:rFonts w:ascii="Times New Roman" w:hAnsi="Times New Roman" w:cs="Times New Roman"/>
          <w:b/>
          <w:bCs/>
          <w:sz w:val="24"/>
          <w:szCs w:val="24"/>
        </w:rPr>
        <w:t xml:space="preserve"> pelas Sociedades Anônimas </w:t>
      </w:r>
      <w:r w:rsidR="0033598F">
        <w:rPr>
          <w:rFonts w:ascii="Times New Roman" w:hAnsi="Times New Roman" w:cs="Times New Roman"/>
          <w:b/>
          <w:bCs/>
          <w:sz w:val="24"/>
          <w:szCs w:val="24"/>
        </w:rPr>
        <w:t>Brasileiras</w:t>
      </w:r>
    </w:p>
    <w:p w:rsidR="00D6671D" w:rsidRDefault="00D6671D" w:rsidP="003E05AF">
      <w:pPr>
        <w:spacing w:line="360" w:lineRule="auto"/>
        <w:jc w:val="both"/>
        <w:outlineLvl w:val="0"/>
        <w:rPr>
          <w:rFonts w:ascii="Times New Roman" w:hAnsi="Times New Roman" w:cs="Times New Roman"/>
          <w:bCs/>
          <w:sz w:val="24"/>
          <w:szCs w:val="24"/>
        </w:rPr>
      </w:pPr>
      <w:r>
        <w:rPr>
          <w:rFonts w:ascii="Times New Roman" w:hAnsi="Times New Roman" w:cs="Times New Roman"/>
          <w:b/>
          <w:bCs/>
          <w:sz w:val="24"/>
          <w:szCs w:val="24"/>
        </w:rPr>
        <w:tab/>
        <w:t xml:space="preserve"> </w:t>
      </w:r>
      <w:r>
        <w:rPr>
          <w:rFonts w:ascii="Times New Roman" w:hAnsi="Times New Roman" w:cs="Times New Roman"/>
          <w:bCs/>
          <w:sz w:val="24"/>
          <w:szCs w:val="24"/>
        </w:rPr>
        <w:t>As sociedades anônimas são empresas regidas pela regras da lei das sociedades</w:t>
      </w:r>
      <w:r w:rsidR="007B7D89" w:rsidRPr="007B7D89">
        <w:rPr>
          <w:rFonts w:ascii="Times New Roman" w:hAnsi="Times New Roman" w:cs="Times New Roman"/>
          <w:bCs/>
          <w:sz w:val="24"/>
          <w:szCs w:val="24"/>
        </w:rPr>
        <w:t xml:space="preserve"> </w:t>
      </w:r>
      <w:r w:rsidR="007B7D89">
        <w:rPr>
          <w:rFonts w:ascii="Times New Roman" w:hAnsi="Times New Roman" w:cs="Times New Roman"/>
          <w:bCs/>
          <w:sz w:val="24"/>
          <w:szCs w:val="24"/>
        </w:rPr>
        <w:t>por ação nº 6.404de 1976</w:t>
      </w:r>
      <w:r>
        <w:rPr>
          <w:rFonts w:ascii="Times New Roman" w:hAnsi="Times New Roman" w:cs="Times New Roman"/>
          <w:bCs/>
          <w:sz w:val="24"/>
          <w:szCs w:val="24"/>
        </w:rPr>
        <w:t xml:space="preserve">, sendo aplicável o Código Civil </w:t>
      </w:r>
      <w:r w:rsidR="007B7D89">
        <w:rPr>
          <w:rFonts w:ascii="Times New Roman" w:hAnsi="Times New Roman" w:cs="Times New Roman"/>
          <w:bCs/>
          <w:sz w:val="24"/>
          <w:szCs w:val="24"/>
        </w:rPr>
        <w:t xml:space="preserve">na omissão da referida lei. Estas sociedades se </w:t>
      </w:r>
      <w:r w:rsidR="00CC39A2">
        <w:rPr>
          <w:rFonts w:ascii="Times New Roman" w:hAnsi="Times New Roman" w:cs="Times New Roman"/>
          <w:bCs/>
          <w:sz w:val="24"/>
          <w:szCs w:val="24"/>
        </w:rPr>
        <w:t>classificam</w:t>
      </w:r>
      <w:r w:rsidR="007B7D89">
        <w:rPr>
          <w:rFonts w:ascii="Times New Roman" w:hAnsi="Times New Roman" w:cs="Times New Roman"/>
          <w:bCs/>
          <w:sz w:val="24"/>
          <w:szCs w:val="24"/>
        </w:rPr>
        <w:t xml:space="preserve"> de capital aberto ou fechado, dependendo a disponibilidade de negociação da</w:t>
      </w:r>
      <w:r w:rsidR="006E7333">
        <w:rPr>
          <w:rFonts w:ascii="Times New Roman" w:hAnsi="Times New Roman" w:cs="Times New Roman"/>
          <w:bCs/>
          <w:sz w:val="24"/>
          <w:szCs w:val="24"/>
        </w:rPr>
        <w:t>s</w:t>
      </w:r>
      <w:r w:rsidR="007B7D89">
        <w:rPr>
          <w:rFonts w:ascii="Times New Roman" w:hAnsi="Times New Roman" w:cs="Times New Roman"/>
          <w:bCs/>
          <w:sz w:val="24"/>
          <w:szCs w:val="24"/>
        </w:rPr>
        <w:t xml:space="preserve"> ações na Bo</w:t>
      </w:r>
      <w:r w:rsidR="006E7333">
        <w:rPr>
          <w:rFonts w:ascii="Times New Roman" w:hAnsi="Times New Roman" w:cs="Times New Roman"/>
          <w:bCs/>
          <w:sz w:val="24"/>
          <w:szCs w:val="24"/>
        </w:rPr>
        <w:t>lsa ou no Mercado de Balcão (</w:t>
      </w:r>
      <w:r w:rsidR="007B7D89">
        <w:rPr>
          <w:rFonts w:ascii="Times New Roman" w:hAnsi="Times New Roman" w:cs="Times New Roman"/>
          <w:bCs/>
          <w:sz w:val="24"/>
          <w:szCs w:val="24"/>
        </w:rPr>
        <w:t xml:space="preserve">COELHO, </w:t>
      </w:r>
      <w:r w:rsidR="006E7333">
        <w:rPr>
          <w:rFonts w:ascii="Times New Roman" w:hAnsi="Times New Roman" w:cs="Times New Roman"/>
          <w:bCs/>
          <w:sz w:val="24"/>
          <w:szCs w:val="24"/>
        </w:rPr>
        <w:t>2007)</w:t>
      </w:r>
    </w:p>
    <w:p w:rsidR="007B7D89" w:rsidRDefault="007B7D89" w:rsidP="00F96D62">
      <w:pPr>
        <w:spacing w:line="360" w:lineRule="auto"/>
        <w:ind w:firstLine="708"/>
        <w:jc w:val="both"/>
        <w:outlineLvl w:val="0"/>
        <w:rPr>
          <w:rFonts w:ascii="Times New Roman" w:hAnsi="Times New Roman" w:cs="Times New Roman"/>
          <w:bCs/>
          <w:sz w:val="24"/>
          <w:szCs w:val="24"/>
        </w:rPr>
      </w:pPr>
      <w:r>
        <w:rPr>
          <w:rFonts w:ascii="Times New Roman" w:hAnsi="Times New Roman" w:cs="Times New Roman"/>
          <w:bCs/>
          <w:sz w:val="24"/>
          <w:szCs w:val="24"/>
        </w:rPr>
        <w:t>Em</w:t>
      </w:r>
      <w:r w:rsidR="006E7333">
        <w:rPr>
          <w:rFonts w:ascii="Times New Roman" w:hAnsi="Times New Roman" w:cs="Times New Roman"/>
          <w:bCs/>
          <w:sz w:val="24"/>
          <w:szCs w:val="24"/>
        </w:rPr>
        <w:t xml:space="preserve"> relação as sociedades de capital aberto e a negociabilidade no mercado Fábio Ulhoa explana:</w:t>
      </w:r>
    </w:p>
    <w:p w:rsidR="006E7333" w:rsidRPr="00F96D62" w:rsidRDefault="00F96D62" w:rsidP="00F96D62">
      <w:pPr>
        <w:spacing w:line="360" w:lineRule="auto"/>
        <w:ind w:left="2410"/>
        <w:jc w:val="both"/>
        <w:outlineLvl w:val="0"/>
        <w:rPr>
          <w:rFonts w:ascii="Times New Roman" w:hAnsi="Times New Roman" w:cs="Times New Roman"/>
          <w:bCs/>
          <w:sz w:val="20"/>
          <w:szCs w:val="20"/>
        </w:rPr>
      </w:pPr>
      <w:r>
        <w:rPr>
          <w:rFonts w:ascii="Times New Roman" w:hAnsi="Times New Roman" w:cs="Times New Roman"/>
          <w:bCs/>
          <w:sz w:val="20"/>
          <w:szCs w:val="20"/>
        </w:rPr>
        <w:t>“</w:t>
      </w:r>
      <w:r w:rsidR="006E7333" w:rsidRPr="00F96D62">
        <w:rPr>
          <w:rFonts w:ascii="Times New Roman" w:hAnsi="Times New Roman" w:cs="Times New Roman"/>
          <w:bCs/>
          <w:sz w:val="20"/>
          <w:szCs w:val="20"/>
        </w:rPr>
        <w:t xml:space="preserve">Para que a </w:t>
      </w:r>
      <w:r w:rsidR="00BB451D" w:rsidRPr="00F96D62">
        <w:rPr>
          <w:rFonts w:ascii="Times New Roman" w:hAnsi="Times New Roman" w:cs="Times New Roman"/>
          <w:bCs/>
          <w:sz w:val="20"/>
          <w:szCs w:val="20"/>
        </w:rPr>
        <w:t xml:space="preserve">uma companhia tenha seus valores mobiliários admitidos à negociação na bolsa ou no mercado de balcão – o que permitira maior liquidez do investimento representado por tais títulos – necessita obter do governo federal a respectiva autorização. A companhia somente pode ser aberta se autorizada nesses termos. O órgão do governo federal encarregado pela lei de conceder tal autorização é uma autarquia federal denominada Comissão de Valores Mobiliários – CVM. Essa autarquia foi criada pela lei 6.385, de 1976, e juntamente com o Banco </w:t>
      </w:r>
      <w:r w:rsidRPr="00F96D62">
        <w:rPr>
          <w:rFonts w:ascii="Times New Roman" w:hAnsi="Times New Roman" w:cs="Times New Roman"/>
          <w:bCs/>
          <w:sz w:val="20"/>
          <w:szCs w:val="20"/>
        </w:rPr>
        <w:t xml:space="preserve">exerce a supervisão e o controle do mercado de capitais, de acordo com as diretrizes traçadas pelo Conselho Monetário Nacional </w:t>
      </w:r>
      <w:r>
        <w:rPr>
          <w:rFonts w:ascii="Times New Roman" w:hAnsi="Times New Roman" w:cs="Times New Roman"/>
          <w:bCs/>
          <w:sz w:val="20"/>
          <w:szCs w:val="20"/>
        </w:rPr>
        <w:t>–</w:t>
      </w:r>
      <w:r w:rsidRPr="00F96D62">
        <w:rPr>
          <w:rFonts w:ascii="Times New Roman" w:hAnsi="Times New Roman" w:cs="Times New Roman"/>
          <w:bCs/>
          <w:sz w:val="20"/>
          <w:szCs w:val="20"/>
        </w:rPr>
        <w:t xml:space="preserve"> CMN</w:t>
      </w:r>
      <w:r>
        <w:rPr>
          <w:rFonts w:ascii="Times New Roman" w:hAnsi="Times New Roman" w:cs="Times New Roman"/>
          <w:bCs/>
          <w:sz w:val="20"/>
          <w:szCs w:val="20"/>
        </w:rPr>
        <w:t>” (COELHO, 2007, p. 186)</w:t>
      </w:r>
    </w:p>
    <w:p w:rsidR="0033598F" w:rsidRDefault="0033598F" w:rsidP="00E55567">
      <w:pPr>
        <w:spacing w:line="360" w:lineRule="auto"/>
        <w:ind w:firstLine="708"/>
        <w:jc w:val="both"/>
        <w:outlineLvl w:val="0"/>
        <w:rPr>
          <w:rFonts w:ascii="Times New Roman" w:hAnsi="Times New Roman" w:cs="Times New Roman"/>
          <w:bCs/>
          <w:sz w:val="24"/>
          <w:szCs w:val="24"/>
        </w:rPr>
      </w:pPr>
      <w:r w:rsidRPr="0033598F">
        <w:rPr>
          <w:rFonts w:ascii="Times New Roman" w:hAnsi="Times New Roman" w:cs="Times New Roman"/>
          <w:bCs/>
          <w:sz w:val="24"/>
          <w:szCs w:val="24"/>
        </w:rPr>
        <w:t xml:space="preserve">Até meados </w:t>
      </w:r>
      <w:r>
        <w:rPr>
          <w:rFonts w:ascii="Times New Roman" w:hAnsi="Times New Roman" w:cs="Times New Roman"/>
          <w:bCs/>
          <w:sz w:val="24"/>
          <w:szCs w:val="24"/>
        </w:rPr>
        <w:t>da década passada a utilização das debêntures pelas sociedades anônimas br</w:t>
      </w:r>
      <w:r w:rsidR="00D6671D">
        <w:rPr>
          <w:rFonts w:ascii="Times New Roman" w:hAnsi="Times New Roman" w:cs="Times New Roman"/>
          <w:bCs/>
          <w:sz w:val="24"/>
          <w:szCs w:val="24"/>
        </w:rPr>
        <w:t>asileiras era bastante limitada.</w:t>
      </w:r>
      <w:r w:rsidR="00044459">
        <w:rPr>
          <w:rFonts w:ascii="Times New Roman" w:hAnsi="Times New Roman" w:cs="Times New Roman"/>
          <w:bCs/>
          <w:sz w:val="24"/>
          <w:szCs w:val="24"/>
        </w:rPr>
        <w:t xml:space="preserve"> Tendo por referencia o BNDES, esse títulos passaram a ser o principal meio de recurso</w:t>
      </w:r>
      <w:r w:rsidR="00CC39A2">
        <w:rPr>
          <w:rFonts w:ascii="Times New Roman" w:hAnsi="Times New Roman" w:cs="Times New Roman"/>
          <w:bCs/>
          <w:sz w:val="24"/>
          <w:szCs w:val="24"/>
        </w:rPr>
        <w:t xml:space="preserve"> nos anos 2000</w:t>
      </w:r>
      <w:r w:rsidR="00044459">
        <w:rPr>
          <w:rFonts w:ascii="Times New Roman" w:hAnsi="Times New Roman" w:cs="Times New Roman"/>
          <w:bCs/>
          <w:sz w:val="24"/>
          <w:szCs w:val="24"/>
        </w:rPr>
        <w:t>.(SANTOS, 2006)</w:t>
      </w:r>
    </w:p>
    <w:p w:rsidR="00BF17D3" w:rsidRDefault="00044459" w:rsidP="00C54213">
      <w:pPr>
        <w:spacing w:line="360" w:lineRule="auto"/>
        <w:ind w:firstLine="708"/>
        <w:jc w:val="both"/>
        <w:outlineLvl w:val="0"/>
        <w:rPr>
          <w:rFonts w:ascii="Times New Roman" w:hAnsi="Times New Roman" w:cs="Times New Roman"/>
          <w:bCs/>
          <w:sz w:val="24"/>
          <w:szCs w:val="24"/>
        </w:rPr>
      </w:pPr>
      <w:r>
        <w:rPr>
          <w:rFonts w:ascii="Times New Roman" w:hAnsi="Times New Roman" w:cs="Times New Roman"/>
          <w:bCs/>
          <w:sz w:val="24"/>
          <w:szCs w:val="24"/>
        </w:rPr>
        <w:lastRenderedPageBreak/>
        <w:t>Para constar a importância de tais títulos no mercado brasileiro e seu crescimento foi consultado os dados da sobre a emissão das debêntures no Sistema Nacional de debêntures – SND, contendo até 2006 um estoque de R$ 112 bilhões em debêntures.</w:t>
      </w:r>
      <w:r w:rsidR="00CC39A2">
        <w:rPr>
          <w:rFonts w:ascii="Times New Roman" w:hAnsi="Times New Roman" w:cs="Times New Roman"/>
          <w:bCs/>
          <w:sz w:val="24"/>
          <w:szCs w:val="24"/>
        </w:rPr>
        <w:t xml:space="preserve"> (SANTOS, 2006)</w:t>
      </w:r>
    </w:p>
    <w:p w:rsidR="00BF17D3" w:rsidRDefault="00BF17D3" w:rsidP="00BF17D3">
      <w:pPr>
        <w:spacing w:line="360" w:lineRule="auto"/>
        <w:jc w:val="both"/>
        <w:outlineLvl w:val="0"/>
        <w:rPr>
          <w:rFonts w:ascii="Times New Roman" w:hAnsi="Times New Roman" w:cs="Times New Roman"/>
          <w:b/>
          <w:bCs/>
          <w:sz w:val="24"/>
          <w:szCs w:val="24"/>
        </w:rPr>
      </w:pPr>
      <w:r w:rsidRPr="00BF17D3">
        <w:rPr>
          <w:rFonts w:ascii="Times New Roman" w:hAnsi="Times New Roman" w:cs="Times New Roman"/>
          <w:b/>
          <w:bCs/>
          <w:sz w:val="24"/>
          <w:szCs w:val="24"/>
        </w:rPr>
        <w:t xml:space="preserve">Considerações Finais </w:t>
      </w:r>
    </w:p>
    <w:p w:rsidR="00BF17D3" w:rsidRDefault="00BF17D3" w:rsidP="00BF17D3">
      <w:pPr>
        <w:spacing w:line="360" w:lineRule="auto"/>
        <w:ind w:firstLine="708"/>
        <w:jc w:val="both"/>
        <w:outlineLvl w:val="0"/>
        <w:rPr>
          <w:rFonts w:ascii="Times New Roman" w:hAnsi="Times New Roman" w:cs="Times New Roman"/>
          <w:bCs/>
          <w:sz w:val="24"/>
          <w:szCs w:val="24"/>
        </w:rPr>
      </w:pPr>
      <w:r>
        <w:rPr>
          <w:rFonts w:ascii="Times New Roman" w:hAnsi="Times New Roman" w:cs="Times New Roman"/>
          <w:bCs/>
          <w:sz w:val="24"/>
          <w:szCs w:val="24"/>
        </w:rPr>
        <w:t>Como foi visto as debêntures são títulos de credito representativos de empréstimos contraídos pela</w:t>
      </w:r>
      <w:r w:rsidR="00C54213">
        <w:rPr>
          <w:rFonts w:ascii="Times New Roman" w:hAnsi="Times New Roman" w:cs="Times New Roman"/>
          <w:bCs/>
          <w:sz w:val="24"/>
          <w:szCs w:val="24"/>
        </w:rPr>
        <w:t>s</w:t>
      </w:r>
      <w:r>
        <w:rPr>
          <w:rFonts w:ascii="Times New Roman" w:hAnsi="Times New Roman" w:cs="Times New Roman"/>
          <w:bCs/>
          <w:sz w:val="24"/>
          <w:szCs w:val="24"/>
        </w:rPr>
        <w:t xml:space="preserve"> sociedades junto ao poder público, sendo utilizado pela primeira vez no Brasil em 1882</w:t>
      </w:r>
      <w:r w:rsidR="00C54213">
        <w:rPr>
          <w:rFonts w:ascii="Times New Roman" w:hAnsi="Times New Roman" w:cs="Times New Roman"/>
          <w:bCs/>
          <w:sz w:val="24"/>
          <w:szCs w:val="24"/>
        </w:rPr>
        <w:t>, mas só vieram a ser utilizados efetivamente em 1976.</w:t>
      </w:r>
    </w:p>
    <w:p w:rsidR="00C54213" w:rsidRDefault="00C54213" w:rsidP="00C54213">
      <w:pPr>
        <w:spacing w:line="360" w:lineRule="auto"/>
        <w:ind w:firstLine="708"/>
        <w:jc w:val="both"/>
        <w:outlineLvl w:val="0"/>
        <w:rPr>
          <w:rFonts w:ascii="Times New Roman" w:hAnsi="Times New Roman" w:cs="Times New Roman"/>
          <w:bCs/>
          <w:sz w:val="24"/>
          <w:szCs w:val="24"/>
        </w:rPr>
      </w:pPr>
      <w:r>
        <w:rPr>
          <w:rFonts w:ascii="Times New Roman" w:hAnsi="Times New Roman" w:cs="Times New Roman"/>
          <w:bCs/>
          <w:sz w:val="24"/>
          <w:szCs w:val="24"/>
        </w:rPr>
        <w:t>Para que haja a emissão das debêntures é necessário o preenchimento de alguns requisitos previstos em lei, tornando responsável por perdas e danos a terceiros as sociedades que não observares os requisitos da lei.</w:t>
      </w:r>
    </w:p>
    <w:p w:rsidR="00C54213" w:rsidRDefault="00DC4B2E" w:rsidP="00C54213">
      <w:pPr>
        <w:spacing w:line="360" w:lineRule="auto"/>
        <w:ind w:firstLine="708"/>
        <w:jc w:val="both"/>
        <w:outlineLvl w:val="0"/>
        <w:rPr>
          <w:rFonts w:ascii="Times New Roman" w:hAnsi="Times New Roman" w:cs="Times New Roman"/>
          <w:bCs/>
          <w:sz w:val="24"/>
          <w:szCs w:val="24"/>
        </w:rPr>
      </w:pPr>
      <w:r>
        <w:rPr>
          <w:rFonts w:ascii="Times New Roman" w:hAnsi="Times New Roman" w:cs="Times New Roman"/>
          <w:bCs/>
          <w:sz w:val="24"/>
          <w:szCs w:val="24"/>
        </w:rPr>
        <w:t xml:space="preserve">Atualmente a emissão e circulação de debêntures </w:t>
      </w:r>
      <w:r w:rsidR="004A00FC">
        <w:rPr>
          <w:rFonts w:ascii="Times New Roman" w:hAnsi="Times New Roman" w:cs="Times New Roman"/>
          <w:bCs/>
          <w:sz w:val="24"/>
          <w:szCs w:val="24"/>
        </w:rPr>
        <w:t>superou</w:t>
      </w:r>
      <w:r>
        <w:rPr>
          <w:rFonts w:ascii="Times New Roman" w:hAnsi="Times New Roman" w:cs="Times New Roman"/>
          <w:bCs/>
          <w:sz w:val="24"/>
          <w:szCs w:val="24"/>
        </w:rPr>
        <w:t xml:space="preserve"> a de ações no Brasil, mostrando que a aceitação das debêntures é maior do que a a</w:t>
      </w:r>
      <w:r w:rsidR="004A00FC">
        <w:rPr>
          <w:rFonts w:ascii="Times New Roman" w:hAnsi="Times New Roman" w:cs="Times New Roman"/>
          <w:bCs/>
          <w:sz w:val="24"/>
          <w:szCs w:val="24"/>
        </w:rPr>
        <w:t xml:space="preserve">ceitação das ações no mercado. As sociedades anônimas são empresas regidas pela lei de ações e pelo código civil e é a responsável pela deliberação sobre emissão das debêntures, e a emissão de tal título é de extrema importância para a economia brasileira. </w:t>
      </w:r>
    </w:p>
    <w:p w:rsidR="00822DE9" w:rsidRDefault="00822DE9" w:rsidP="00DC0BBA">
      <w:pPr>
        <w:spacing w:line="360" w:lineRule="auto"/>
        <w:jc w:val="both"/>
        <w:outlineLvl w:val="0"/>
        <w:rPr>
          <w:rFonts w:ascii="Times New Roman" w:hAnsi="Times New Roman" w:cs="Times New Roman"/>
          <w:bCs/>
          <w:color w:val="FF0000"/>
          <w:sz w:val="24"/>
          <w:szCs w:val="24"/>
        </w:rPr>
      </w:pPr>
    </w:p>
    <w:p w:rsidR="00822DE9" w:rsidRDefault="00822DE9" w:rsidP="00DC0BBA">
      <w:pPr>
        <w:spacing w:line="360" w:lineRule="auto"/>
        <w:jc w:val="both"/>
        <w:outlineLvl w:val="0"/>
        <w:rPr>
          <w:rFonts w:ascii="Times New Roman" w:hAnsi="Times New Roman" w:cs="Times New Roman"/>
          <w:bCs/>
          <w:color w:val="FF0000"/>
          <w:sz w:val="24"/>
          <w:szCs w:val="24"/>
        </w:rPr>
      </w:pPr>
    </w:p>
    <w:p w:rsidR="00822DE9" w:rsidRDefault="00822DE9" w:rsidP="00DC0BBA">
      <w:pPr>
        <w:spacing w:line="360" w:lineRule="auto"/>
        <w:jc w:val="both"/>
        <w:outlineLvl w:val="0"/>
        <w:rPr>
          <w:rFonts w:ascii="Times New Roman" w:hAnsi="Times New Roman" w:cs="Times New Roman"/>
          <w:bCs/>
          <w:color w:val="FF0000"/>
          <w:sz w:val="24"/>
          <w:szCs w:val="24"/>
        </w:rPr>
      </w:pPr>
    </w:p>
    <w:p w:rsidR="00822DE9" w:rsidRDefault="00822DE9" w:rsidP="00DC0BBA">
      <w:pPr>
        <w:spacing w:line="360" w:lineRule="auto"/>
        <w:jc w:val="both"/>
        <w:outlineLvl w:val="0"/>
        <w:rPr>
          <w:rFonts w:ascii="Times New Roman" w:hAnsi="Times New Roman" w:cs="Times New Roman"/>
          <w:bCs/>
          <w:color w:val="FF0000"/>
          <w:sz w:val="24"/>
          <w:szCs w:val="24"/>
        </w:rPr>
      </w:pPr>
    </w:p>
    <w:p w:rsidR="00822DE9" w:rsidRDefault="00822DE9" w:rsidP="00DC0BBA">
      <w:pPr>
        <w:spacing w:line="360" w:lineRule="auto"/>
        <w:jc w:val="both"/>
        <w:outlineLvl w:val="0"/>
        <w:rPr>
          <w:rFonts w:ascii="Times New Roman" w:hAnsi="Times New Roman" w:cs="Times New Roman"/>
          <w:bCs/>
          <w:color w:val="FF0000"/>
          <w:sz w:val="24"/>
          <w:szCs w:val="24"/>
        </w:rPr>
      </w:pPr>
    </w:p>
    <w:p w:rsidR="00822DE9" w:rsidRDefault="00822DE9" w:rsidP="00DC0BBA">
      <w:pPr>
        <w:spacing w:line="360" w:lineRule="auto"/>
        <w:jc w:val="both"/>
        <w:outlineLvl w:val="0"/>
        <w:rPr>
          <w:rFonts w:ascii="Times New Roman" w:hAnsi="Times New Roman" w:cs="Times New Roman"/>
          <w:bCs/>
          <w:color w:val="FF0000"/>
          <w:sz w:val="24"/>
          <w:szCs w:val="24"/>
        </w:rPr>
      </w:pPr>
    </w:p>
    <w:p w:rsidR="00822DE9" w:rsidRDefault="00822DE9" w:rsidP="00DC0BBA">
      <w:pPr>
        <w:spacing w:line="360" w:lineRule="auto"/>
        <w:jc w:val="both"/>
        <w:outlineLvl w:val="0"/>
        <w:rPr>
          <w:rFonts w:ascii="Times New Roman" w:hAnsi="Times New Roman" w:cs="Times New Roman"/>
          <w:bCs/>
          <w:color w:val="FF0000"/>
          <w:sz w:val="24"/>
          <w:szCs w:val="24"/>
        </w:rPr>
      </w:pPr>
    </w:p>
    <w:p w:rsidR="00822DE9" w:rsidRDefault="00822DE9" w:rsidP="00DC0BBA">
      <w:pPr>
        <w:spacing w:line="360" w:lineRule="auto"/>
        <w:jc w:val="both"/>
        <w:outlineLvl w:val="0"/>
        <w:rPr>
          <w:rFonts w:ascii="Times New Roman" w:hAnsi="Times New Roman" w:cs="Times New Roman"/>
          <w:bCs/>
          <w:color w:val="FF0000"/>
          <w:sz w:val="24"/>
          <w:szCs w:val="24"/>
        </w:rPr>
      </w:pPr>
    </w:p>
    <w:p w:rsidR="00822DE9" w:rsidRDefault="00822DE9" w:rsidP="00DC0BBA">
      <w:pPr>
        <w:spacing w:line="360" w:lineRule="auto"/>
        <w:jc w:val="both"/>
        <w:outlineLvl w:val="0"/>
        <w:rPr>
          <w:rFonts w:ascii="Times New Roman" w:hAnsi="Times New Roman" w:cs="Times New Roman"/>
          <w:bCs/>
          <w:color w:val="FF0000"/>
          <w:sz w:val="24"/>
          <w:szCs w:val="24"/>
        </w:rPr>
      </w:pPr>
    </w:p>
    <w:p w:rsidR="00AD7BD1" w:rsidRDefault="00AD7BD1" w:rsidP="00D6671D">
      <w:pPr>
        <w:contextualSpacing/>
        <w:rPr>
          <w:rFonts w:ascii="Times New Roman" w:hAnsi="Times New Roman" w:cs="Times New Roman"/>
          <w:bCs/>
          <w:color w:val="FF0000"/>
          <w:sz w:val="24"/>
          <w:szCs w:val="24"/>
        </w:rPr>
      </w:pPr>
    </w:p>
    <w:p w:rsidR="004A00FC" w:rsidRDefault="004A00FC" w:rsidP="00D6671D">
      <w:pPr>
        <w:contextualSpacing/>
        <w:rPr>
          <w:rFonts w:ascii="Times New Roman" w:hAnsi="Times New Roman" w:cs="Times New Roman"/>
          <w:bCs/>
          <w:color w:val="FF0000"/>
          <w:sz w:val="24"/>
          <w:szCs w:val="24"/>
        </w:rPr>
      </w:pPr>
    </w:p>
    <w:p w:rsidR="004A00FC" w:rsidRDefault="004A00FC" w:rsidP="00D6671D">
      <w:pPr>
        <w:contextualSpacing/>
        <w:rPr>
          <w:rFonts w:ascii="Times New Roman" w:hAnsi="Times New Roman" w:cs="Times New Roman"/>
          <w:bCs/>
          <w:color w:val="FF0000"/>
          <w:sz w:val="24"/>
          <w:szCs w:val="24"/>
        </w:rPr>
      </w:pPr>
    </w:p>
    <w:p w:rsidR="00AD7BD1" w:rsidRDefault="00AD7BD1" w:rsidP="00D6671D">
      <w:pPr>
        <w:contextualSpacing/>
        <w:rPr>
          <w:rFonts w:ascii="Times New Roman" w:hAnsi="Times New Roman" w:cs="Times New Roman"/>
          <w:b/>
          <w:bCs/>
          <w:sz w:val="24"/>
          <w:szCs w:val="24"/>
        </w:rPr>
      </w:pPr>
    </w:p>
    <w:p w:rsidR="00E53F8A" w:rsidRDefault="00740D28" w:rsidP="00AE019F">
      <w:pPr>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R</w:t>
      </w:r>
      <w:r w:rsidR="00A87A27">
        <w:rPr>
          <w:rFonts w:ascii="Times New Roman" w:hAnsi="Times New Roman" w:cs="Times New Roman"/>
          <w:b/>
          <w:bCs/>
          <w:sz w:val="24"/>
          <w:szCs w:val="24"/>
        </w:rPr>
        <w:t>EFERÊNCIA</w:t>
      </w:r>
    </w:p>
    <w:p w:rsidR="00AE019F" w:rsidRPr="00054C57" w:rsidRDefault="00AE019F" w:rsidP="00E53F8A">
      <w:pPr>
        <w:contextualSpacing/>
        <w:jc w:val="both"/>
        <w:rPr>
          <w:rFonts w:ascii="Times New Roman" w:hAnsi="Times New Roman" w:cs="Times New Roman"/>
          <w:b/>
          <w:bCs/>
          <w:sz w:val="24"/>
          <w:szCs w:val="24"/>
        </w:rPr>
      </w:pPr>
    </w:p>
    <w:p w:rsidR="00E53F8A" w:rsidRDefault="00E53F8A" w:rsidP="00CE347B">
      <w:pPr>
        <w:contextualSpacing/>
        <w:rPr>
          <w:rFonts w:ascii="Times New Roman" w:eastAsia="Calibri" w:hAnsi="Times New Roman" w:cs="Times New Roman"/>
          <w:sz w:val="24"/>
          <w:szCs w:val="24"/>
        </w:rPr>
      </w:pPr>
      <w:r w:rsidRPr="00CE347B">
        <w:rPr>
          <w:rFonts w:ascii="Times New Roman" w:eastAsia="Calibri" w:hAnsi="Times New Roman" w:cs="Times New Roman"/>
          <w:sz w:val="24"/>
          <w:szCs w:val="24"/>
        </w:rPr>
        <w:t xml:space="preserve">ALMEIDA, Amador P. de. </w:t>
      </w:r>
      <w:r w:rsidRPr="00CE347B">
        <w:rPr>
          <w:rFonts w:ascii="Times New Roman" w:eastAsia="Calibri" w:hAnsi="Times New Roman" w:cs="Times New Roman"/>
          <w:b/>
          <w:sz w:val="24"/>
          <w:szCs w:val="24"/>
        </w:rPr>
        <w:t>Teoria e Prática dos Títulos de Crédito</w:t>
      </w:r>
      <w:r w:rsidRPr="00CE347B">
        <w:rPr>
          <w:rFonts w:ascii="Times New Roman" w:eastAsia="Calibri" w:hAnsi="Times New Roman" w:cs="Times New Roman"/>
          <w:sz w:val="24"/>
          <w:szCs w:val="24"/>
        </w:rPr>
        <w:t>. 26.ed. São Paulo: Saraiva, 2007.</w:t>
      </w:r>
    </w:p>
    <w:p w:rsidR="00D6671D" w:rsidRDefault="00D6671D" w:rsidP="00CE347B">
      <w:pPr>
        <w:contextualSpacing/>
        <w:rPr>
          <w:rFonts w:ascii="Times New Roman" w:eastAsia="Calibri" w:hAnsi="Times New Roman" w:cs="Times New Roman"/>
          <w:sz w:val="24"/>
          <w:szCs w:val="24"/>
        </w:rPr>
      </w:pPr>
    </w:p>
    <w:p w:rsidR="00D6671D" w:rsidRPr="00CE347B" w:rsidRDefault="00D6671D" w:rsidP="00D6671D">
      <w:pPr>
        <w:contextualSpacing/>
        <w:outlineLvl w:val="0"/>
        <w:rPr>
          <w:rFonts w:ascii="Times New Roman" w:hAnsi="Times New Roman" w:cs="Times New Roman"/>
          <w:bCs/>
          <w:color w:val="000000" w:themeColor="text1"/>
          <w:sz w:val="24"/>
          <w:szCs w:val="24"/>
        </w:rPr>
      </w:pPr>
      <w:r w:rsidRPr="00CE347B">
        <w:rPr>
          <w:rFonts w:ascii="Times New Roman" w:hAnsi="Times New Roman" w:cs="Times New Roman"/>
          <w:bCs/>
          <w:color w:val="000000" w:themeColor="text1"/>
          <w:sz w:val="24"/>
          <w:szCs w:val="24"/>
        </w:rPr>
        <w:t xml:space="preserve">CASTRO, Marina Grinaldi de. </w:t>
      </w:r>
      <w:r w:rsidRPr="00CE347B">
        <w:rPr>
          <w:rFonts w:ascii="Times New Roman" w:hAnsi="Times New Roman" w:cs="Times New Roman"/>
          <w:b/>
          <w:bCs/>
          <w:color w:val="000000" w:themeColor="text1"/>
          <w:sz w:val="24"/>
          <w:szCs w:val="24"/>
        </w:rPr>
        <w:t xml:space="preserve">Debêntures: Conceito, Historico e Evolução Legislativa Brasileira. </w:t>
      </w:r>
      <w:r w:rsidRPr="00CE347B">
        <w:rPr>
          <w:rFonts w:ascii="Times New Roman" w:hAnsi="Times New Roman" w:cs="Times New Roman"/>
          <w:bCs/>
          <w:color w:val="000000" w:themeColor="text1"/>
          <w:sz w:val="24"/>
          <w:szCs w:val="24"/>
        </w:rPr>
        <w:t>Disponível em &lt;</w:t>
      </w:r>
      <w:r w:rsidRPr="00CE347B">
        <w:rPr>
          <w:rFonts w:ascii="Times New Roman" w:hAnsi="Times New Roman" w:cs="Times New Roman"/>
          <w:color w:val="000000" w:themeColor="text1"/>
          <w:sz w:val="24"/>
          <w:szCs w:val="24"/>
        </w:rPr>
        <w:t xml:space="preserve"> </w:t>
      </w:r>
      <w:hyperlink r:id="rId9" w:history="1">
        <w:r w:rsidRPr="00CE347B">
          <w:rPr>
            <w:rStyle w:val="Hyperlink"/>
            <w:rFonts w:ascii="Times New Roman" w:hAnsi="Times New Roman" w:cs="Times New Roman"/>
            <w:bCs/>
            <w:color w:val="000000" w:themeColor="text1"/>
            <w:sz w:val="24"/>
            <w:szCs w:val="24"/>
            <w:u w:val="none"/>
          </w:rPr>
          <w:t>http://www.revistadir.mcampos.br/PRODUCAOCIENTIFICA/artigos/marinagrimaldocastrodebenturesconceitohistoricoevolucaolegislativabrasileira.pdf</w:t>
        </w:r>
      </w:hyperlink>
      <w:r w:rsidRPr="00CE347B">
        <w:rPr>
          <w:rFonts w:ascii="Times New Roman" w:hAnsi="Times New Roman" w:cs="Times New Roman"/>
          <w:bCs/>
          <w:color w:val="000000" w:themeColor="text1"/>
          <w:sz w:val="24"/>
          <w:szCs w:val="24"/>
        </w:rPr>
        <w:t xml:space="preserve"> &gt; Acesso em 19 de Mai de 2013.</w:t>
      </w:r>
    </w:p>
    <w:p w:rsidR="00D6671D" w:rsidRPr="00CE347B" w:rsidRDefault="00D6671D" w:rsidP="00CE347B">
      <w:pPr>
        <w:contextualSpacing/>
        <w:rPr>
          <w:rFonts w:ascii="Times New Roman" w:eastAsia="Calibri" w:hAnsi="Times New Roman" w:cs="Times New Roman"/>
          <w:sz w:val="24"/>
          <w:szCs w:val="24"/>
        </w:rPr>
      </w:pPr>
    </w:p>
    <w:p w:rsidR="00D6671D" w:rsidRPr="00CE347B" w:rsidRDefault="00D6671D" w:rsidP="00D6671D">
      <w:pPr>
        <w:contextualSpacing/>
        <w:outlineLvl w:val="0"/>
        <w:rPr>
          <w:rFonts w:ascii="Times New Roman" w:hAnsi="Times New Roman" w:cs="Times New Roman"/>
          <w:sz w:val="24"/>
          <w:szCs w:val="24"/>
        </w:rPr>
      </w:pPr>
      <w:r w:rsidRPr="00CE347B">
        <w:rPr>
          <w:rFonts w:ascii="Times New Roman" w:hAnsi="Times New Roman" w:cs="Times New Roman"/>
          <w:sz w:val="24"/>
          <w:szCs w:val="24"/>
        </w:rPr>
        <w:t xml:space="preserve">COELHO, Fábio Ulhoa. </w:t>
      </w:r>
      <w:r w:rsidRPr="00CE347B">
        <w:rPr>
          <w:rFonts w:ascii="Times New Roman" w:hAnsi="Times New Roman" w:cs="Times New Roman"/>
          <w:b/>
          <w:sz w:val="24"/>
          <w:szCs w:val="24"/>
        </w:rPr>
        <w:t>Curso de Direito Comercial</w:t>
      </w:r>
      <w:r w:rsidRPr="00CE347B">
        <w:rPr>
          <w:rFonts w:ascii="Times New Roman" w:hAnsi="Times New Roman" w:cs="Times New Roman"/>
          <w:sz w:val="24"/>
          <w:szCs w:val="24"/>
        </w:rPr>
        <w:t>, volume 2: direito de empresa/ Fábio Ulhoa Coelho. – 15. ed. – São Paulo: Saraiva, 2011</w:t>
      </w:r>
    </w:p>
    <w:p w:rsidR="00D6671D" w:rsidRPr="00CE347B" w:rsidRDefault="00D6671D" w:rsidP="00D6671D">
      <w:pPr>
        <w:contextualSpacing/>
        <w:outlineLvl w:val="0"/>
        <w:rPr>
          <w:rFonts w:ascii="Times New Roman" w:hAnsi="Times New Roman" w:cs="Times New Roman"/>
          <w:sz w:val="24"/>
          <w:szCs w:val="24"/>
        </w:rPr>
      </w:pPr>
    </w:p>
    <w:p w:rsidR="00D6671D" w:rsidRPr="00CE347B" w:rsidRDefault="00D6671D" w:rsidP="00D6671D">
      <w:pPr>
        <w:contextualSpacing/>
        <w:outlineLvl w:val="0"/>
        <w:rPr>
          <w:rFonts w:ascii="Times New Roman" w:hAnsi="Times New Roman" w:cs="Times New Roman"/>
          <w:sz w:val="24"/>
          <w:szCs w:val="24"/>
        </w:rPr>
      </w:pPr>
      <w:r w:rsidRPr="00CE347B">
        <w:rPr>
          <w:rFonts w:ascii="Times New Roman" w:hAnsi="Times New Roman" w:cs="Times New Roman"/>
          <w:sz w:val="24"/>
          <w:szCs w:val="24"/>
        </w:rPr>
        <w:t xml:space="preserve">______. </w:t>
      </w:r>
      <w:r w:rsidRPr="00CE347B">
        <w:rPr>
          <w:rFonts w:ascii="Times New Roman" w:hAnsi="Times New Roman" w:cs="Times New Roman"/>
          <w:b/>
          <w:sz w:val="24"/>
          <w:szCs w:val="24"/>
        </w:rPr>
        <w:t>Manual de Direito Comercial: Direito de Empresa</w:t>
      </w:r>
      <w:r w:rsidRPr="00CE347B">
        <w:rPr>
          <w:rFonts w:ascii="Times New Roman" w:hAnsi="Times New Roman" w:cs="Times New Roman"/>
          <w:sz w:val="24"/>
          <w:szCs w:val="24"/>
        </w:rPr>
        <w:t xml:space="preserve"> / Fábio Ulhoa Coelho. – 19. ed. rev. e atual. – São Paulo: Saraiva, 2007</w:t>
      </w:r>
    </w:p>
    <w:p w:rsidR="00740D28" w:rsidRPr="00CE347B" w:rsidRDefault="00740D28" w:rsidP="00CE347B">
      <w:pPr>
        <w:contextualSpacing/>
        <w:rPr>
          <w:rFonts w:ascii="Times New Roman" w:eastAsia="Calibri" w:hAnsi="Times New Roman" w:cs="Times New Roman"/>
          <w:sz w:val="24"/>
          <w:szCs w:val="24"/>
        </w:rPr>
      </w:pPr>
    </w:p>
    <w:p w:rsidR="00740D28" w:rsidRPr="00CE347B" w:rsidRDefault="00D6671D" w:rsidP="00CE347B">
      <w:pPr>
        <w:tabs>
          <w:tab w:val="right" w:pos="9071"/>
        </w:tabs>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______</w:t>
      </w:r>
      <w:r w:rsidR="00E53F8A" w:rsidRPr="00CE347B">
        <w:rPr>
          <w:rFonts w:ascii="Times New Roman" w:eastAsia="Calibri" w:hAnsi="Times New Roman" w:cs="Times New Roman"/>
          <w:bCs/>
          <w:sz w:val="24"/>
          <w:szCs w:val="24"/>
        </w:rPr>
        <w:t xml:space="preserve">. </w:t>
      </w:r>
      <w:r w:rsidR="00E53F8A" w:rsidRPr="00CE347B">
        <w:rPr>
          <w:rFonts w:ascii="Times New Roman" w:eastAsia="Calibri" w:hAnsi="Times New Roman" w:cs="Times New Roman"/>
          <w:b/>
          <w:bCs/>
          <w:sz w:val="24"/>
          <w:szCs w:val="24"/>
        </w:rPr>
        <w:t>Curso de Direito Comercial</w:t>
      </w:r>
      <w:r w:rsidR="00E53F8A" w:rsidRPr="00CE347B">
        <w:rPr>
          <w:rFonts w:ascii="Times New Roman" w:eastAsia="Calibri" w:hAnsi="Times New Roman" w:cs="Times New Roman"/>
          <w:bCs/>
          <w:sz w:val="24"/>
          <w:szCs w:val="24"/>
        </w:rPr>
        <w:t>. São Paulo: Saraiva, 2008. Vol. 1</w:t>
      </w:r>
    </w:p>
    <w:p w:rsidR="00740D28" w:rsidRPr="00CE347B" w:rsidRDefault="00740D28" w:rsidP="00CE347B">
      <w:pPr>
        <w:tabs>
          <w:tab w:val="right" w:pos="9071"/>
        </w:tabs>
        <w:contextualSpacing/>
        <w:rPr>
          <w:rFonts w:ascii="Times New Roman" w:eastAsia="Calibri" w:hAnsi="Times New Roman" w:cs="Times New Roman"/>
          <w:bCs/>
          <w:sz w:val="24"/>
          <w:szCs w:val="24"/>
        </w:rPr>
      </w:pPr>
    </w:p>
    <w:p w:rsidR="00CE347B" w:rsidRPr="00CE347B" w:rsidRDefault="00740D28" w:rsidP="00CE347B">
      <w:pPr>
        <w:contextualSpacing/>
        <w:rPr>
          <w:rFonts w:ascii="Times New Roman" w:eastAsia="Calibri" w:hAnsi="Times New Roman" w:cs="Times New Roman"/>
          <w:sz w:val="24"/>
          <w:szCs w:val="24"/>
        </w:rPr>
      </w:pPr>
      <w:r w:rsidRPr="00CE347B">
        <w:rPr>
          <w:rFonts w:ascii="Times New Roman" w:eastAsia="Calibri" w:hAnsi="Times New Roman" w:cs="Times New Roman"/>
          <w:sz w:val="24"/>
          <w:szCs w:val="24"/>
        </w:rPr>
        <w:t xml:space="preserve">DINIZ, Gustavo Saad. Debêntures para as Sociedades Anônimas de Capital Fechado. </w:t>
      </w:r>
      <w:r w:rsidRPr="00CE347B">
        <w:rPr>
          <w:rFonts w:ascii="Times New Roman" w:eastAsia="Calibri" w:hAnsi="Times New Roman" w:cs="Times New Roman"/>
          <w:b/>
          <w:sz w:val="24"/>
          <w:szCs w:val="24"/>
        </w:rPr>
        <w:t>Valor</w:t>
      </w:r>
      <w:r w:rsidRPr="00CE347B">
        <w:rPr>
          <w:rFonts w:ascii="Times New Roman" w:eastAsia="Calibri" w:hAnsi="Times New Roman" w:cs="Times New Roman"/>
          <w:sz w:val="24"/>
          <w:szCs w:val="24"/>
        </w:rPr>
        <w:t>. 28/04/2010, Economia Valor. Disponível em &lt;</w:t>
      </w:r>
      <w:hyperlink r:id="rId10" w:history="1">
        <w:r w:rsidRPr="00CE347B">
          <w:rPr>
            <w:rStyle w:val="Hyperlink"/>
            <w:rFonts w:ascii="Times New Roman" w:eastAsia="Calibri" w:hAnsi="Times New Roman" w:cs="Times New Roman"/>
            <w:color w:val="auto"/>
            <w:sz w:val="24"/>
            <w:szCs w:val="24"/>
            <w:u w:val="none"/>
          </w:rPr>
          <w:t>http://www.valor.com.br/arquivo/821027/debentures-para-sociedades-anonimas-de-capital-fechado</w:t>
        </w:r>
      </w:hyperlink>
      <w:r w:rsidRPr="00CE347B">
        <w:rPr>
          <w:rFonts w:ascii="Times New Roman" w:eastAsia="Calibri" w:hAnsi="Times New Roman" w:cs="Times New Roman"/>
          <w:sz w:val="24"/>
          <w:szCs w:val="24"/>
        </w:rPr>
        <w:t>&gt; Acesso e</w:t>
      </w:r>
    </w:p>
    <w:p w:rsidR="00740D28" w:rsidRDefault="00740D28" w:rsidP="00CE347B">
      <w:pPr>
        <w:contextualSpacing/>
        <w:rPr>
          <w:rFonts w:ascii="Times New Roman" w:eastAsia="Calibri" w:hAnsi="Times New Roman" w:cs="Times New Roman"/>
          <w:sz w:val="24"/>
          <w:szCs w:val="24"/>
        </w:rPr>
      </w:pPr>
      <w:r w:rsidRPr="00CE347B">
        <w:rPr>
          <w:rFonts w:ascii="Times New Roman" w:eastAsia="Calibri" w:hAnsi="Times New Roman" w:cs="Times New Roman"/>
          <w:sz w:val="24"/>
          <w:szCs w:val="24"/>
        </w:rPr>
        <w:t>m 23 abr. 2013</w:t>
      </w:r>
    </w:p>
    <w:p w:rsidR="00D6671D" w:rsidRPr="00CE347B" w:rsidRDefault="00D6671D" w:rsidP="00CE347B">
      <w:pPr>
        <w:contextualSpacing/>
        <w:rPr>
          <w:rFonts w:ascii="Times New Roman" w:eastAsia="Calibri" w:hAnsi="Times New Roman" w:cs="Times New Roman"/>
          <w:sz w:val="24"/>
          <w:szCs w:val="24"/>
        </w:rPr>
      </w:pPr>
    </w:p>
    <w:p w:rsidR="00D6671D" w:rsidRPr="00CE347B" w:rsidRDefault="00D6671D" w:rsidP="00D6671D">
      <w:pPr>
        <w:contextualSpacing/>
        <w:outlineLvl w:val="0"/>
        <w:rPr>
          <w:rFonts w:ascii="Times New Roman" w:hAnsi="Times New Roman" w:cs="Times New Roman"/>
          <w:sz w:val="24"/>
          <w:szCs w:val="24"/>
        </w:rPr>
      </w:pPr>
      <w:r w:rsidRPr="00CE347B">
        <w:rPr>
          <w:rFonts w:ascii="Times New Roman" w:hAnsi="Times New Roman" w:cs="Times New Roman"/>
          <w:b/>
          <w:sz w:val="24"/>
          <w:szCs w:val="24"/>
        </w:rPr>
        <w:t>Emissão de Debêntures</w:t>
      </w:r>
      <w:r w:rsidRPr="00CE347B">
        <w:rPr>
          <w:rFonts w:ascii="Times New Roman" w:hAnsi="Times New Roman" w:cs="Times New Roman"/>
          <w:sz w:val="24"/>
          <w:szCs w:val="24"/>
        </w:rPr>
        <w:t xml:space="preserve">. Disponível em &lt; </w:t>
      </w:r>
      <w:hyperlink r:id="rId11" w:history="1">
        <w:r w:rsidRPr="00CE347B">
          <w:rPr>
            <w:rStyle w:val="Hyperlink"/>
            <w:rFonts w:ascii="Times New Roman" w:hAnsi="Times New Roman" w:cs="Times New Roman"/>
            <w:color w:val="auto"/>
            <w:sz w:val="24"/>
            <w:szCs w:val="24"/>
            <w:u w:val="none"/>
          </w:rPr>
          <w:t>http://www.intermercados.com.br/mercfin/mercfin_ap_emissao_debentures.pdf</w:t>
        </w:r>
      </w:hyperlink>
      <w:r w:rsidRPr="00CE347B">
        <w:rPr>
          <w:rFonts w:ascii="Times New Roman" w:hAnsi="Times New Roman" w:cs="Times New Roman"/>
          <w:sz w:val="24"/>
          <w:szCs w:val="24"/>
        </w:rPr>
        <w:t>&gt; Acesso em 10 de Mai de 2013</w:t>
      </w:r>
    </w:p>
    <w:p w:rsidR="00E53F8A" w:rsidRPr="00CE347B" w:rsidRDefault="00E53F8A" w:rsidP="00CE347B">
      <w:pPr>
        <w:tabs>
          <w:tab w:val="right" w:pos="9071"/>
        </w:tabs>
        <w:contextualSpacing/>
        <w:rPr>
          <w:rFonts w:ascii="Times New Roman" w:eastAsia="Calibri" w:hAnsi="Times New Roman" w:cs="Times New Roman"/>
          <w:bCs/>
          <w:sz w:val="24"/>
          <w:szCs w:val="24"/>
        </w:rPr>
      </w:pPr>
      <w:r w:rsidRPr="00CE347B">
        <w:rPr>
          <w:rFonts w:ascii="Times New Roman" w:eastAsia="Calibri" w:hAnsi="Times New Roman" w:cs="Times New Roman"/>
          <w:bCs/>
          <w:sz w:val="24"/>
          <w:szCs w:val="24"/>
        </w:rPr>
        <w:tab/>
      </w:r>
    </w:p>
    <w:p w:rsidR="00E53F8A" w:rsidRPr="00CE347B" w:rsidRDefault="00E53F8A" w:rsidP="00CE347B">
      <w:pPr>
        <w:contextualSpacing/>
        <w:rPr>
          <w:rFonts w:ascii="Times New Roman" w:eastAsia="Calibri" w:hAnsi="Times New Roman" w:cs="Times New Roman"/>
          <w:bCs/>
          <w:sz w:val="24"/>
          <w:szCs w:val="24"/>
        </w:rPr>
      </w:pPr>
      <w:r w:rsidRPr="00CE347B">
        <w:rPr>
          <w:rFonts w:ascii="Times New Roman" w:eastAsia="Calibri" w:hAnsi="Times New Roman" w:cs="Times New Roman"/>
          <w:bCs/>
          <w:sz w:val="24"/>
          <w:szCs w:val="24"/>
        </w:rPr>
        <w:t xml:space="preserve">FAZZIO JR, Waldo. </w:t>
      </w:r>
      <w:r w:rsidRPr="00CE347B">
        <w:rPr>
          <w:rFonts w:ascii="Times New Roman" w:eastAsia="Calibri" w:hAnsi="Times New Roman" w:cs="Times New Roman"/>
          <w:b/>
          <w:bCs/>
          <w:sz w:val="24"/>
          <w:szCs w:val="24"/>
        </w:rPr>
        <w:t>Fundamentos de Direito Comercial</w:t>
      </w:r>
      <w:r w:rsidRPr="00CE347B">
        <w:rPr>
          <w:rFonts w:ascii="Times New Roman" w:eastAsia="Calibri" w:hAnsi="Times New Roman" w:cs="Times New Roman"/>
          <w:bCs/>
          <w:sz w:val="24"/>
          <w:szCs w:val="24"/>
        </w:rPr>
        <w:t>. 6. ed. São Paulo: Atlas, 2006</w:t>
      </w:r>
    </w:p>
    <w:p w:rsidR="00740D28" w:rsidRPr="00CE347B" w:rsidRDefault="00740D28" w:rsidP="00CE347B">
      <w:pPr>
        <w:contextualSpacing/>
        <w:rPr>
          <w:rFonts w:ascii="Times New Roman" w:eastAsia="Calibri" w:hAnsi="Times New Roman" w:cs="Times New Roman"/>
          <w:bCs/>
          <w:sz w:val="24"/>
          <w:szCs w:val="24"/>
        </w:rPr>
      </w:pPr>
    </w:p>
    <w:p w:rsidR="00E53F8A" w:rsidRPr="00CE347B" w:rsidRDefault="00E53F8A" w:rsidP="00CE347B">
      <w:pPr>
        <w:contextualSpacing/>
        <w:rPr>
          <w:rFonts w:ascii="Times New Roman" w:eastAsia="Calibri" w:hAnsi="Times New Roman" w:cs="Times New Roman"/>
          <w:sz w:val="24"/>
          <w:szCs w:val="24"/>
        </w:rPr>
      </w:pPr>
      <w:r w:rsidRPr="00CE347B">
        <w:rPr>
          <w:rFonts w:ascii="Times New Roman" w:eastAsia="Calibri" w:hAnsi="Times New Roman" w:cs="Times New Roman"/>
          <w:sz w:val="24"/>
          <w:szCs w:val="24"/>
        </w:rPr>
        <w:t xml:space="preserve">MAMEDE, Gladston. </w:t>
      </w:r>
      <w:r w:rsidRPr="00CE347B">
        <w:rPr>
          <w:rFonts w:ascii="Times New Roman" w:eastAsia="Calibri" w:hAnsi="Times New Roman" w:cs="Times New Roman"/>
          <w:b/>
          <w:sz w:val="24"/>
          <w:szCs w:val="24"/>
        </w:rPr>
        <w:t>Títulos de Crédito</w:t>
      </w:r>
      <w:r w:rsidRPr="00CE347B">
        <w:rPr>
          <w:rFonts w:ascii="Times New Roman" w:eastAsia="Calibri" w:hAnsi="Times New Roman" w:cs="Times New Roman"/>
          <w:sz w:val="24"/>
          <w:szCs w:val="24"/>
        </w:rPr>
        <w:t xml:space="preserve">. São Paulo: Atlas, 2011. </w:t>
      </w:r>
    </w:p>
    <w:p w:rsidR="00740D28" w:rsidRPr="00CE347B" w:rsidRDefault="00740D28" w:rsidP="00CE347B">
      <w:pPr>
        <w:contextualSpacing/>
        <w:rPr>
          <w:rFonts w:ascii="Times New Roman" w:eastAsia="Calibri" w:hAnsi="Times New Roman" w:cs="Times New Roman"/>
          <w:sz w:val="24"/>
          <w:szCs w:val="24"/>
        </w:rPr>
      </w:pPr>
    </w:p>
    <w:p w:rsidR="00E53F8A" w:rsidRPr="00CE347B" w:rsidRDefault="00E53F8A" w:rsidP="00CE347B">
      <w:pPr>
        <w:contextualSpacing/>
        <w:rPr>
          <w:rFonts w:ascii="Times New Roman" w:eastAsia="Calibri" w:hAnsi="Times New Roman" w:cs="Times New Roman"/>
          <w:sz w:val="24"/>
          <w:szCs w:val="24"/>
        </w:rPr>
      </w:pPr>
      <w:r w:rsidRPr="00CE347B">
        <w:rPr>
          <w:rFonts w:ascii="Times New Roman" w:eastAsia="Calibri" w:hAnsi="Times New Roman" w:cs="Times New Roman"/>
          <w:sz w:val="24"/>
          <w:szCs w:val="24"/>
        </w:rPr>
        <w:t>RIZZARDO</w:t>
      </w:r>
      <w:r w:rsidR="008B43B2" w:rsidRPr="00CE347B">
        <w:rPr>
          <w:rFonts w:ascii="Times New Roman" w:eastAsia="Calibri" w:hAnsi="Times New Roman" w:cs="Times New Roman"/>
          <w:sz w:val="24"/>
          <w:szCs w:val="24"/>
        </w:rPr>
        <w:t xml:space="preserve">, Arnaldo. </w:t>
      </w:r>
      <w:r w:rsidR="008B43B2" w:rsidRPr="00CE347B">
        <w:rPr>
          <w:rFonts w:ascii="Times New Roman" w:eastAsia="Calibri" w:hAnsi="Times New Roman" w:cs="Times New Roman"/>
          <w:b/>
          <w:sz w:val="24"/>
          <w:szCs w:val="24"/>
        </w:rPr>
        <w:t>Títulos de Credito</w:t>
      </w:r>
      <w:r w:rsidR="008B43B2" w:rsidRPr="00CE347B">
        <w:rPr>
          <w:rFonts w:ascii="Times New Roman" w:eastAsia="Calibri" w:hAnsi="Times New Roman" w:cs="Times New Roman"/>
          <w:sz w:val="24"/>
          <w:szCs w:val="24"/>
        </w:rPr>
        <w:t>. /Arnaldo Rizzardo. 3. Ed. – Rio de Janeiro: Forense, 2011.</w:t>
      </w:r>
    </w:p>
    <w:p w:rsidR="00740D28" w:rsidRPr="00CE347B" w:rsidRDefault="00740D28" w:rsidP="00CE347B">
      <w:pPr>
        <w:contextualSpacing/>
        <w:rPr>
          <w:rFonts w:ascii="Times New Roman" w:eastAsia="Calibri" w:hAnsi="Times New Roman" w:cs="Times New Roman"/>
          <w:sz w:val="24"/>
          <w:szCs w:val="24"/>
        </w:rPr>
      </w:pPr>
    </w:p>
    <w:p w:rsidR="00E53F8A" w:rsidRPr="00CE347B" w:rsidRDefault="00E53F8A" w:rsidP="00CE347B">
      <w:pPr>
        <w:contextualSpacing/>
        <w:rPr>
          <w:rFonts w:ascii="Times New Roman" w:hAnsi="Times New Roman" w:cs="Times New Roman"/>
          <w:bCs/>
          <w:sz w:val="24"/>
          <w:szCs w:val="24"/>
        </w:rPr>
      </w:pPr>
      <w:r w:rsidRPr="00CE347B">
        <w:rPr>
          <w:rFonts w:ascii="Times New Roman" w:hAnsi="Times New Roman" w:cs="Times New Roman"/>
          <w:bCs/>
          <w:sz w:val="24"/>
          <w:szCs w:val="24"/>
        </w:rPr>
        <w:t>RAMOS, André Luiz Santana Cruz.</w:t>
      </w:r>
      <w:r w:rsidRPr="00CE347B">
        <w:rPr>
          <w:rFonts w:ascii="Times New Roman" w:hAnsi="Times New Roman" w:cs="Times New Roman"/>
          <w:b/>
          <w:bCs/>
          <w:sz w:val="24"/>
          <w:szCs w:val="24"/>
        </w:rPr>
        <w:t xml:space="preserve"> Direito Empresarial. </w:t>
      </w:r>
      <w:r w:rsidRPr="00CE347B">
        <w:rPr>
          <w:rFonts w:ascii="Times New Roman" w:hAnsi="Times New Roman" w:cs="Times New Roman"/>
          <w:bCs/>
          <w:sz w:val="24"/>
          <w:szCs w:val="24"/>
        </w:rPr>
        <w:t xml:space="preserve">São Paulo: Método, 2011. </w:t>
      </w:r>
    </w:p>
    <w:p w:rsidR="00740D28" w:rsidRPr="00CE347B" w:rsidRDefault="00740D28" w:rsidP="00CE347B">
      <w:pPr>
        <w:contextualSpacing/>
        <w:rPr>
          <w:rFonts w:ascii="Times New Roman" w:eastAsia="Calibri" w:hAnsi="Times New Roman" w:cs="Times New Roman"/>
          <w:sz w:val="24"/>
          <w:szCs w:val="24"/>
        </w:rPr>
      </w:pPr>
    </w:p>
    <w:p w:rsidR="0094415C" w:rsidRPr="00CE347B" w:rsidRDefault="00EA5C81" w:rsidP="00CE347B">
      <w:pPr>
        <w:contextualSpacing/>
        <w:outlineLvl w:val="0"/>
        <w:rPr>
          <w:rFonts w:ascii="Times New Roman" w:hAnsi="Times New Roman" w:cs="Times New Roman"/>
          <w:bCs/>
          <w:sz w:val="24"/>
          <w:szCs w:val="24"/>
        </w:rPr>
      </w:pPr>
      <w:r w:rsidRPr="00CE347B">
        <w:rPr>
          <w:rFonts w:ascii="Times New Roman" w:hAnsi="Times New Roman" w:cs="Times New Roman"/>
          <w:bCs/>
          <w:sz w:val="24"/>
          <w:szCs w:val="24"/>
        </w:rPr>
        <w:t xml:space="preserve">TOMAZETTE, Marlon. </w:t>
      </w:r>
      <w:r w:rsidRPr="00CE347B">
        <w:rPr>
          <w:rFonts w:ascii="Times New Roman" w:hAnsi="Times New Roman" w:cs="Times New Roman"/>
          <w:b/>
          <w:bCs/>
          <w:sz w:val="24"/>
          <w:szCs w:val="24"/>
        </w:rPr>
        <w:t>Curso de Direito empresarial: Títulos de Crédito</w:t>
      </w:r>
      <w:r w:rsidRPr="00CE347B">
        <w:rPr>
          <w:rFonts w:ascii="Times New Roman" w:hAnsi="Times New Roman" w:cs="Times New Roman"/>
          <w:bCs/>
          <w:sz w:val="24"/>
          <w:szCs w:val="24"/>
        </w:rPr>
        <w:t>, volume 2/ Marlon Tomazette. – 3. ed. – São Paulo: Atlas, 2012</w:t>
      </w:r>
    </w:p>
    <w:p w:rsidR="00B417C7" w:rsidRPr="00CE347B" w:rsidRDefault="00B417C7" w:rsidP="00CE347B">
      <w:pPr>
        <w:contextualSpacing/>
        <w:outlineLvl w:val="0"/>
        <w:rPr>
          <w:rFonts w:ascii="Times New Roman" w:hAnsi="Times New Roman" w:cs="Times New Roman"/>
          <w:bCs/>
          <w:color w:val="000000" w:themeColor="text1"/>
          <w:sz w:val="24"/>
          <w:szCs w:val="24"/>
        </w:rPr>
      </w:pPr>
    </w:p>
    <w:p w:rsidR="009A5DC6" w:rsidRPr="00CE347B" w:rsidRDefault="00B417C7" w:rsidP="00CE347B">
      <w:pPr>
        <w:contextualSpacing/>
        <w:outlineLvl w:val="0"/>
        <w:rPr>
          <w:rFonts w:ascii="Times New Roman" w:hAnsi="Times New Roman" w:cs="Times New Roman"/>
          <w:sz w:val="24"/>
          <w:szCs w:val="24"/>
        </w:rPr>
      </w:pPr>
      <w:r w:rsidRPr="00CE347B">
        <w:rPr>
          <w:rFonts w:ascii="Times New Roman" w:hAnsi="Times New Roman" w:cs="Times New Roman"/>
          <w:bCs/>
          <w:sz w:val="24"/>
          <w:szCs w:val="24"/>
        </w:rPr>
        <w:t xml:space="preserve">SANTOS, Durval José Solidade. </w:t>
      </w:r>
      <w:r w:rsidRPr="00CE347B">
        <w:rPr>
          <w:rFonts w:ascii="Times New Roman" w:hAnsi="Times New Roman" w:cs="Times New Roman"/>
          <w:b/>
          <w:bCs/>
          <w:sz w:val="24"/>
          <w:szCs w:val="24"/>
        </w:rPr>
        <w:t xml:space="preserve">Debêntures: Um instrumento moderno na aplicação de comercialização de Recursos. </w:t>
      </w:r>
      <w:r w:rsidRPr="00CE347B">
        <w:rPr>
          <w:rFonts w:ascii="Times New Roman" w:hAnsi="Times New Roman" w:cs="Times New Roman"/>
          <w:bCs/>
          <w:sz w:val="24"/>
          <w:szCs w:val="24"/>
        </w:rPr>
        <w:t>Revista do BNDES, Rio de Janeiro, V</w:t>
      </w:r>
      <w:r w:rsidRPr="00CE347B">
        <w:rPr>
          <w:rFonts w:ascii="Times New Roman" w:hAnsi="Times New Roman" w:cs="Times New Roman"/>
          <w:sz w:val="24"/>
          <w:szCs w:val="24"/>
        </w:rPr>
        <w:t xml:space="preserve">. 13, N. 26, P. 35-54, DEZ. 2006. Disponível em &lt; </w:t>
      </w:r>
      <w:hyperlink r:id="rId12" w:history="1">
        <w:r w:rsidRPr="00CE347B">
          <w:rPr>
            <w:rStyle w:val="Hyperlink"/>
            <w:rFonts w:ascii="Times New Roman" w:hAnsi="Times New Roman" w:cs="Times New Roman"/>
            <w:color w:val="auto"/>
            <w:sz w:val="24"/>
            <w:szCs w:val="24"/>
            <w:u w:val="none"/>
          </w:rPr>
          <w:t>http://www.bndespar.com.br/SiteBNDES/export/sites/default/bndes_pt/Galerias/Arquivos/conhecimento/revista/rev2603.pdf</w:t>
        </w:r>
      </w:hyperlink>
      <w:r w:rsidRPr="00CE347B">
        <w:rPr>
          <w:rFonts w:ascii="Times New Roman" w:hAnsi="Times New Roman" w:cs="Times New Roman"/>
          <w:sz w:val="24"/>
          <w:szCs w:val="24"/>
        </w:rPr>
        <w:t>&gt; Acesso em 10 de Mai de 2013</w:t>
      </w:r>
    </w:p>
    <w:p w:rsidR="00B417C7" w:rsidRPr="00CE347B" w:rsidRDefault="00B417C7" w:rsidP="00CE347B">
      <w:pPr>
        <w:contextualSpacing/>
        <w:outlineLvl w:val="0"/>
        <w:rPr>
          <w:rFonts w:ascii="Times New Roman" w:hAnsi="Times New Roman" w:cs="Times New Roman"/>
          <w:sz w:val="24"/>
          <w:szCs w:val="24"/>
        </w:rPr>
      </w:pPr>
    </w:p>
    <w:p w:rsidR="00CE347B" w:rsidRPr="00CE347B" w:rsidRDefault="00CE347B" w:rsidP="00CE347B">
      <w:pPr>
        <w:contextualSpacing/>
        <w:outlineLvl w:val="0"/>
        <w:rPr>
          <w:rFonts w:ascii="Times New Roman" w:hAnsi="Times New Roman" w:cs="Times New Roman"/>
          <w:sz w:val="24"/>
          <w:szCs w:val="24"/>
        </w:rPr>
      </w:pPr>
    </w:p>
    <w:sectPr w:rsidR="00CE347B" w:rsidRPr="00CE347B" w:rsidSect="00933115">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C44" w:rsidRDefault="00EF6C44" w:rsidP="00663AF6">
      <w:pPr>
        <w:spacing w:after="0" w:line="240" w:lineRule="auto"/>
      </w:pPr>
      <w:r>
        <w:separator/>
      </w:r>
    </w:p>
  </w:endnote>
  <w:endnote w:type="continuationSeparator" w:id="1">
    <w:p w:rsidR="00EF6C44" w:rsidRDefault="00EF6C44" w:rsidP="00663A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C44" w:rsidRDefault="00EF6C44" w:rsidP="00663AF6">
      <w:pPr>
        <w:spacing w:after="0" w:line="240" w:lineRule="auto"/>
      </w:pPr>
      <w:r>
        <w:separator/>
      </w:r>
    </w:p>
  </w:footnote>
  <w:footnote w:type="continuationSeparator" w:id="1">
    <w:p w:rsidR="00EF6C44" w:rsidRDefault="00EF6C44" w:rsidP="00663AF6">
      <w:pPr>
        <w:spacing w:after="0" w:line="240" w:lineRule="auto"/>
      </w:pPr>
      <w:r>
        <w:continuationSeparator/>
      </w:r>
    </w:p>
  </w:footnote>
  <w:footnote w:id="2">
    <w:p w:rsidR="00113DEA" w:rsidRPr="00924C26" w:rsidRDefault="00113DEA">
      <w:pPr>
        <w:pStyle w:val="Textodenotaderodap"/>
        <w:rPr>
          <w:rFonts w:ascii="Times New Roman" w:hAnsi="Times New Roman" w:cs="Times New Roman"/>
        </w:rPr>
      </w:pPr>
      <w:r w:rsidRPr="00924C26">
        <w:rPr>
          <w:rStyle w:val="Refdenotaderodap"/>
          <w:rFonts w:ascii="Times New Roman" w:hAnsi="Times New Roman" w:cs="Times New Roman"/>
        </w:rPr>
        <w:footnoteRef/>
      </w:r>
      <w:r w:rsidRPr="00924C26">
        <w:rPr>
          <w:rFonts w:ascii="Times New Roman" w:hAnsi="Times New Roman" w:cs="Times New Roman"/>
        </w:rPr>
        <w:t xml:space="preserve"> 2º </w:t>
      </w:r>
      <w:r w:rsidRPr="00924C26">
        <w:rPr>
          <w:rFonts w:ascii="Times New Roman" w:hAnsi="Times New Roman" w:cs="Times New Roman"/>
          <w:i/>
        </w:rPr>
        <w:t>check</w:t>
      </w:r>
      <w:r>
        <w:rPr>
          <w:rFonts w:ascii="Times New Roman" w:hAnsi="Times New Roman" w:cs="Times New Roman"/>
          <w:i/>
        </w:rPr>
        <w:t xml:space="preserve"> </w:t>
      </w:r>
      <w:r w:rsidRPr="00924C26">
        <w:rPr>
          <w:rFonts w:ascii="Times New Roman" w:hAnsi="Times New Roman" w:cs="Times New Roman"/>
        </w:rPr>
        <w:t xml:space="preserve">de </w:t>
      </w:r>
      <w:r w:rsidRPr="00924C26">
        <w:rPr>
          <w:rFonts w:ascii="Times New Roman" w:hAnsi="Times New Roman" w:cs="Times New Roman"/>
          <w:i/>
        </w:rPr>
        <w:t>Paper</w:t>
      </w:r>
      <w:r w:rsidRPr="00924C26">
        <w:rPr>
          <w:rFonts w:ascii="Times New Roman" w:hAnsi="Times New Roman" w:cs="Times New Roman"/>
        </w:rPr>
        <w:t xml:space="preserve"> apresentado a disciplina de Títulos de Credito da Unidade de Ensino Superior Dom Bosco  </w:t>
      </w:r>
    </w:p>
  </w:footnote>
  <w:footnote w:id="3">
    <w:p w:rsidR="00113DEA" w:rsidRPr="00924C26" w:rsidRDefault="00113DEA">
      <w:pPr>
        <w:pStyle w:val="Textodenotaderodap"/>
        <w:rPr>
          <w:rFonts w:ascii="Times New Roman" w:hAnsi="Times New Roman" w:cs="Times New Roman"/>
        </w:rPr>
      </w:pPr>
      <w:r w:rsidRPr="00924C26">
        <w:rPr>
          <w:rStyle w:val="Refdenotaderodap"/>
          <w:rFonts w:ascii="Times New Roman" w:hAnsi="Times New Roman" w:cs="Times New Roman"/>
        </w:rPr>
        <w:footnoteRef/>
      </w:r>
      <w:r w:rsidRPr="00924C26">
        <w:rPr>
          <w:rFonts w:ascii="Times New Roman" w:hAnsi="Times New Roman" w:cs="Times New Roman"/>
        </w:rPr>
        <w:t xml:space="preserve"> Graduanda do 5º período do curso de Direito da UNDB</w:t>
      </w:r>
    </w:p>
  </w:footnote>
  <w:footnote w:id="4">
    <w:p w:rsidR="00113DEA" w:rsidRPr="00924C26" w:rsidRDefault="00113DEA">
      <w:pPr>
        <w:pStyle w:val="Textodenotaderodap"/>
        <w:rPr>
          <w:rFonts w:ascii="Times New Roman" w:hAnsi="Times New Roman" w:cs="Times New Roman"/>
        </w:rPr>
      </w:pPr>
      <w:r w:rsidRPr="00924C26">
        <w:rPr>
          <w:rStyle w:val="Refdenotaderodap"/>
          <w:rFonts w:ascii="Times New Roman" w:hAnsi="Times New Roman" w:cs="Times New Roman"/>
        </w:rPr>
        <w:footnoteRef/>
      </w:r>
      <w:r w:rsidRPr="00924C26">
        <w:rPr>
          <w:rFonts w:ascii="Times New Roman" w:hAnsi="Times New Roman" w:cs="Times New Roman"/>
        </w:rPr>
        <w:t xml:space="preserve"> Graduanda do 5º período do curso de Direito da UNDB</w:t>
      </w:r>
    </w:p>
  </w:footnote>
  <w:footnote w:id="5">
    <w:p w:rsidR="00113DEA" w:rsidRPr="00924C26" w:rsidRDefault="00113DEA">
      <w:pPr>
        <w:pStyle w:val="Textodenotaderodap"/>
        <w:rPr>
          <w:rFonts w:ascii="Times New Roman" w:hAnsi="Times New Roman" w:cs="Times New Roman"/>
        </w:rPr>
      </w:pPr>
      <w:r w:rsidRPr="00924C26">
        <w:rPr>
          <w:rStyle w:val="Refdenotaderodap"/>
          <w:rFonts w:ascii="Times New Roman" w:hAnsi="Times New Roman" w:cs="Times New Roman"/>
        </w:rPr>
        <w:footnoteRef/>
      </w:r>
      <w:r w:rsidRPr="00924C26">
        <w:rPr>
          <w:rFonts w:ascii="Times New Roman" w:hAnsi="Times New Roman" w:cs="Times New Roman"/>
        </w:rPr>
        <w:t xml:space="preserve"> Professor Mestre Orientador </w:t>
      </w:r>
    </w:p>
  </w:footnote>
  <w:footnote w:id="6">
    <w:p w:rsidR="00822DE9" w:rsidRPr="00CE347B" w:rsidRDefault="00822DE9" w:rsidP="00822DE9">
      <w:pPr>
        <w:pStyle w:val="Textodenotaderodap"/>
        <w:spacing w:line="276" w:lineRule="auto"/>
        <w:jc w:val="both"/>
        <w:rPr>
          <w:rFonts w:ascii="Times New Roman" w:hAnsi="Times New Roman" w:cs="Times New Roman"/>
        </w:rPr>
      </w:pPr>
      <w:r w:rsidRPr="00CE347B">
        <w:rPr>
          <w:rStyle w:val="Refdenotaderodap"/>
          <w:rFonts w:ascii="Times New Roman" w:hAnsi="Times New Roman" w:cs="Times New Roman"/>
        </w:rPr>
        <w:footnoteRef/>
      </w:r>
      <w:r w:rsidR="00CE347B" w:rsidRPr="00CE347B">
        <w:rPr>
          <w:rFonts w:ascii="Times New Roman" w:hAnsi="Times New Roman" w:cs="Times New Roman"/>
        </w:rPr>
        <w:t xml:space="preserve">CASTRO, Marina </w:t>
      </w:r>
      <w:r w:rsidRPr="00CE347B">
        <w:rPr>
          <w:rFonts w:ascii="Times New Roman" w:hAnsi="Times New Roman" w:cs="Times New Roman"/>
        </w:rPr>
        <w:t xml:space="preserve">Grinaldi Castro. Disponível em </w:t>
      </w:r>
      <w:r w:rsidR="00CE347B" w:rsidRPr="00CE347B">
        <w:rPr>
          <w:rFonts w:ascii="Times New Roman" w:hAnsi="Times New Roman" w:cs="Times New Roman"/>
        </w:rPr>
        <w:t>&lt;</w:t>
      </w:r>
      <w:hyperlink r:id="rId1" w:history="1">
        <w:r w:rsidR="00CE347B" w:rsidRPr="00CE347B">
          <w:rPr>
            <w:rStyle w:val="Hyperlink"/>
            <w:rFonts w:ascii="Times New Roman" w:hAnsi="Times New Roman" w:cs="Times New Roman"/>
            <w:color w:val="auto"/>
            <w:u w:val="none"/>
          </w:rPr>
          <w:t>http://www.revistadir.mcampos.br/PRODUCAOCIENTIFICA/artigos/marinagrimaldocastrodebenturesconceitohistoricoevolucaolegislativabrasileira.pdf</w:t>
        </w:r>
      </w:hyperlink>
      <w:r w:rsidR="00CE347B" w:rsidRPr="00CE347B">
        <w:rPr>
          <w:rFonts w:ascii="Times New Roman" w:hAnsi="Times New Roman" w:cs="Times New Roman"/>
        </w:rPr>
        <w:t>&gt; Apud -Dados colhidos no site da Comissão de Valores Imobiliários, em 26 de fevereiro de 2009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90322"/>
    <w:multiLevelType w:val="hybridMultilevel"/>
    <w:tmpl w:val="DEF853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9A5DC6"/>
    <w:rsid w:val="00013163"/>
    <w:rsid w:val="00026A21"/>
    <w:rsid w:val="00027639"/>
    <w:rsid w:val="000405FC"/>
    <w:rsid w:val="00044459"/>
    <w:rsid w:val="000760D7"/>
    <w:rsid w:val="000C1BC5"/>
    <w:rsid w:val="00100F0E"/>
    <w:rsid w:val="00113DEA"/>
    <w:rsid w:val="0015258B"/>
    <w:rsid w:val="0015451B"/>
    <w:rsid w:val="001561B7"/>
    <w:rsid w:val="00157F8B"/>
    <w:rsid w:val="00171D73"/>
    <w:rsid w:val="00176A71"/>
    <w:rsid w:val="001D1CDE"/>
    <w:rsid w:val="001D3596"/>
    <w:rsid w:val="001F1491"/>
    <w:rsid w:val="002435CD"/>
    <w:rsid w:val="002554E3"/>
    <w:rsid w:val="002663D9"/>
    <w:rsid w:val="00266BE6"/>
    <w:rsid w:val="002A51BD"/>
    <w:rsid w:val="002C137F"/>
    <w:rsid w:val="002C4776"/>
    <w:rsid w:val="0031165E"/>
    <w:rsid w:val="0033598F"/>
    <w:rsid w:val="00396AAE"/>
    <w:rsid w:val="003A5DFE"/>
    <w:rsid w:val="003B1EC3"/>
    <w:rsid w:val="003C559E"/>
    <w:rsid w:val="003D48F9"/>
    <w:rsid w:val="003E05AF"/>
    <w:rsid w:val="003E443B"/>
    <w:rsid w:val="0040236E"/>
    <w:rsid w:val="00493AAE"/>
    <w:rsid w:val="004961B7"/>
    <w:rsid w:val="004A00FC"/>
    <w:rsid w:val="004F0D29"/>
    <w:rsid w:val="004F78FB"/>
    <w:rsid w:val="00512C80"/>
    <w:rsid w:val="005C3C2F"/>
    <w:rsid w:val="005E2C30"/>
    <w:rsid w:val="00635E97"/>
    <w:rsid w:val="0065079D"/>
    <w:rsid w:val="006522AF"/>
    <w:rsid w:val="00663AF6"/>
    <w:rsid w:val="00674115"/>
    <w:rsid w:val="006926EC"/>
    <w:rsid w:val="006A4E48"/>
    <w:rsid w:val="006B5BA0"/>
    <w:rsid w:val="006D6EEA"/>
    <w:rsid w:val="006E7333"/>
    <w:rsid w:val="007008AB"/>
    <w:rsid w:val="00740D28"/>
    <w:rsid w:val="007471B6"/>
    <w:rsid w:val="00772B58"/>
    <w:rsid w:val="007A16B2"/>
    <w:rsid w:val="007B0FCE"/>
    <w:rsid w:val="007B7D89"/>
    <w:rsid w:val="007C157C"/>
    <w:rsid w:val="007C44A4"/>
    <w:rsid w:val="00806BDE"/>
    <w:rsid w:val="008127BA"/>
    <w:rsid w:val="00822DE9"/>
    <w:rsid w:val="00824AA8"/>
    <w:rsid w:val="00881ECA"/>
    <w:rsid w:val="008A287A"/>
    <w:rsid w:val="008B43B2"/>
    <w:rsid w:val="008F4446"/>
    <w:rsid w:val="008F6771"/>
    <w:rsid w:val="009127B0"/>
    <w:rsid w:val="00916D66"/>
    <w:rsid w:val="00924C26"/>
    <w:rsid w:val="00933115"/>
    <w:rsid w:val="0094415C"/>
    <w:rsid w:val="009879CE"/>
    <w:rsid w:val="009A3DF5"/>
    <w:rsid w:val="009A5DC6"/>
    <w:rsid w:val="009F58E8"/>
    <w:rsid w:val="00A05551"/>
    <w:rsid w:val="00A20916"/>
    <w:rsid w:val="00A32F17"/>
    <w:rsid w:val="00A82F20"/>
    <w:rsid w:val="00A86CE9"/>
    <w:rsid w:val="00A87A27"/>
    <w:rsid w:val="00A9785E"/>
    <w:rsid w:val="00AB29C9"/>
    <w:rsid w:val="00AC47FF"/>
    <w:rsid w:val="00AC71FC"/>
    <w:rsid w:val="00AD7BD1"/>
    <w:rsid w:val="00AE019F"/>
    <w:rsid w:val="00B235FB"/>
    <w:rsid w:val="00B34225"/>
    <w:rsid w:val="00B417C7"/>
    <w:rsid w:val="00B50215"/>
    <w:rsid w:val="00B61D74"/>
    <w:rsid w:val="00B71B5A"/>
    <w:rsid w:val="00B96475"/>
    <w:rsid w:val="00BA07AF"/>
    <w:rsid w:val="00BB451D"/>
    <w:rsid w:val="00BE0283"/>
    <w:rsid w:val="00BF17D3"/>
    <w:rsid w:val="00C2776A"/>
    <w:rsid w:val="00C54213"/>
    <w:rsid w:val="00CC39A2"/>
    <w:rsid w:val="00CE347B"/>
    <w:rsid w:val="00CF0F1D"/>
    <w:rsid w:val="00CF692A"/>
    <w:rsid w:val="00D039C6"/>
    <w:rsid w:val="00D05D48"/>
    <w:rsid w:val="00D372C7"/>
    <w:rsid w:val="00D6671D"/>
    <w:rsid w:val="00D72D25"/>
    <w:rsid w:val="00D73A81"/>
    <w:rsid w:val="00D92531"/>
    <w:rsid w:val="00D92987"/>
    <w:rsid w:val="00DA3BAB"/>
    <w:rsid w:val="00DB0557"/>
    <w:rsid w:val="00DC0BBA"/>
    <w:rsid w:val="00DC0E71"/>
    <w:rsid w:val="00DC4B2E"/>
    <w:rsid w:val="00DE1A52"/>
    <w:rsid w:val="00E24E63"/>
    <w:rsid w:val="00E25FC6"/>
    <w:rsid w:val="00E42513"/>
    <w:rsid w:val="00E53F8A"/>
    <w:rsid w:val="00E54B0F"/>
    <w:rsid w:val="00E55567"/>
    <w:rsid w:val="00E64BD1"/>
    <w:rsid w:val="00E86264"/>
    <w:rsid w:val="00E87701"/>
    <w:rsid w:val="00EA5C81"/>
    <w:rsid w:val="00EE5705"/>
    <w:rsid w:val="00EF6C44"/>
    <w:rsid w:val="00F320F0"/>
    <w:rsid w:val="00F42B87"/>
    <w:rsid w:val="00F4483C"/>
    <w:rsid w:val="00F77C78"/>
    <w:rsid w:val="00F96D62"/>
    <w:rsid w:val="00FC0F4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76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63AF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63AF6"/>
    <w:rPr>
      <w:sz w:val="20"/>
      <w:szCs w:val="20"/>
    </w:rPr>
  </w:style>
  <w:style w:type="character" w:styleId="Refdenotaderodap">
    <w:name w:val="footnote reference"/>
    <w:basedOn w:val="Fontepargpadro"/>
    <w:uiPriority w:val="99"/>
    <w:semiHidden/>
    <w:unhideWhenUsed/>
    <w:rsid w:val="00663AF6"/>
    <w:rPr>
      <w:vertAlign w:val="superscript"/>
    </w:rPr>
  </w:style>
  <w:style w:type="character" w:styleId="Hyperlink">
    <w:name w:val="Hyperlink"/>
    <w:basedOn w:val="Fontepargpadro"/>
    <w:uiPriority w:val="99"/>
    <w:unhideWhenUsed/>
    <w:rsid w:val="00740D28"/>
    <w:rPr>
      <w:color w:val="0000FF" w:themeColor="hyperlink"/>
      <w:u w:val="single"/>
    </w:rPr>
  </w:style>
  <w:style w:type="paragraph" w:styleId="PargrafodaLista">
    <w:name w:val="List Paragraph"/>
    <w:basedOn w:val="Normal"/>
    <w:uiPriority w:val="34"/>
    <w:qFormat/>
    <w:rsid w:val="000C1BC5"/>
    <w:pPr>
      <w:ind w:left="720"/>
      <w:contextualSpacing/>
    </w:pPr>
  </w:style>
  <w:style w:type="character" w:styleId="HiperlinkVisitado">
    <w:name w:val="FollowedHyperlink"/>
    <w:basedOn w:val="Fontepargpadro"/>
    <w:uiPriority w:val="99"/>
    <w:semiHidden/>
    <w:unhideWhenUsed/>
    <w:rsid w:val="00EA5C81"/>
    <w:rPr>
      <w:color w:val="800080" w:themeColor="followedHyperlink"/>
      <w:u w:val="single"/>
    </w:rPr>
  </w:style>
  <w:style w:type="paragraph" w:styleId="NormalWeb">
    <w:name w:val="Normal (Web)"/>
    <w:basedOn w:val="Normal"/>
    <w:uiPriority w:val="99"/>
    <w:unhideWhenUsed/>
    <w:rsid w:val="0015451B"/>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DA3B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SombreamentoClaro">
    <w:name w:val="Light Shading"/>
    <w:basedOn w:val="Tabelanormal"/>
    <w:uiPriority w:val="60"/>
    <w:rsid w:val="00DA3BA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DA3BA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DA3BAB"/>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53761661">
      <w:bodyDiv w:val="1"/>
      <w:marLeft w:val="0"/>
      <w:marRight w:val="0"/>
      <w:marTop w:val="0"/>
      <w:marBottom w:val="0"/>
      <w:divBdr>
        <w:top w:val="none" w:sz="0" w:space="0" w:color="auto"/>
        <w:left w:val="none" w:sz="0" w:space="0" w:color="auto"/>
        <w:bottom w:val="none" w:sz="0" w:space="0" w:color="auto"/>
        <w:right w:val="none" w:sz="0" w:space="0" w:color="auto"/>
      </w:divBdr>
    </w:div>
    <w:div w:id="17089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ndespar.com.br/SiteBNDES/export/sites/default/bndes_pt/Galerias/Arquivos/conhecimento/revista/rev2603.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ermercados.com.br/mercfin/mercfin_ap_emissao_debentures.pdf"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valor.com.br/arquivo/821027/debentures-para-sociedades-anonimas-de-capital-fechado" TargetMode="External"/><Relationship Id="rId4" Type="http://schemas.openxmlformats.org/officeDocument/2006/relationships/settings" Target="settings.xml"/><Relationship Id="rId9" Type="http://schemas.openxmlformats.org/officeDocument/2006/relationships/hyperlink" Target="http://www.revistadir.mcampos.br/PRODUCAOCIENTIFICA/artigos/marinagrimaldocastrodebenturesconceitohistoricoevolucaolegislativabrasileira.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revistadir.mcampos.br/PRODUCAOCIENTIFICA/artigos/marinagrimaldocastrodebenturesconceitohistoricoevolucaolegislativabrasileira.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8811F-65FC-440E-8712-E3D8DBB2C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10</Pages>
  <Words>3017</Words>
  <Characters>16294</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18</cp:revision>
  <dcterms:created xsi:type="dcterms:W3CDTF">2013-05-06T19:10:00Z</dcterms:created>
  <dcterms:modified xsi:type="dcterms:W3CDTF">2013-05-22T17:16:00Z</dcterms:modified>
</cp:coreProperties>
</file>