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251" w:rsidRPr="000873C7" w:rsidRDefault="00C06251" w:rsidP="00C06251">
      <w:pPr>
        <w:spacing w:after="0" w:line="360" w:lineRule="auto"/>
        <w:contextualSpacing/>
        <w:rPr>
          <w:rFonts w:ascii="Times New Roman" w:hAnsi="Times New Roman"/>
          <w:b/>
          <w:bCs/>
          <w:sz w:val="24"/>
          <w:szCs w:val="24"/>
        </w:rPr>
      </w:pPr>
      <w:bookmarkStart w:id="0" w:name="_GoBack"/>
    </w:p>
    <w:p w:rsidR="00C06251" w:rsidRPr="000873C7" w:rsidRDefault="00C06251" w:rsidP="00C06251">
      <w:pPr>
        <w:spacing w:after="0" w:line="360" w:lineRule="auto"/>
        <w:contextualSpacing/>
        <w:rPr>
          <w:rFonts w:ascii="Times New Roman" w:hAnsi="Times New Roman"/>
          <w:b/>
          <w:bCs/>
          <w:sz w:val="24"/>
          <w:szCs w:val="24"/>
        </w:rPr>
      </w:pPr>
    </w:p>
    <w:p w:rsidR="00C06251" w:rsidRPr="000873C7" w:rsidRDefault="00C06251" w:rsidP="00C06251">
      <w:pPr>
        <w:spacing w:after="0" w:line="360" w:lineRule="auto"/>
        <w:contextualSpacing/>
        <w:rPr>
          <w:rFonts w:ascii="Times New Roman" w:hAnsi="Times New Roman"/>
          <w:b/>
          <w:bCs/>
          <w:sz w:val="24"/>
          <w:szCs w:val="24"/>
        </w:rPr>
      </w:pPr>
    </w:p>
    <w:p w:rsidR="00C06251" w:rsidRPr="000873C7" w:rsidRDefault="00C06251" w:rsidP="00C06251">
      <w:pPr>
        <w:spacing w:after="0" w:line="360" w:lineRule="auto"/>
        <w:contextualSpacing/>
        <w:jc w:val="center"/>
        <w:rPr>
          <w:rFonts w:ascii="Times New Roman" w:hAnsi="Times New Roman"/>
          <w:b/>
          <w:bCs/>
          <w:sz w:val="24"/>
          <w:szCs w:val="24"/>
        </w:rPr>
      </w:pPr>
      <w:r w:rsidRPr="000873C7">
        <w:rPr>
          <w:rFonts w:ascii="Times New Roman" w:hAnsi="Times New Roman"/>
          <w:b/>
          <w:bCs/>
          <w:sz w:val="24"/>
          <w:szCs w:val="24"/>
        </w:rPr>
        <w:t xml:space="preserve">EMBARGOS DE DECLARAÇÃO PREQUESTIONADORES E O </w:t>
      </w:r>
      <w:r w:rsidR="00C073FB" w:rsidRPr="000873C7">
        <w:rPr>
          <w:rFonts w:ascii="Times New Roman" w:hAnsi="Times New Roman"/>
          <w:b/>
          <w:bCs/>
          <w:sz w:val="24"/>
          <w:szCs w:val="24"/>
        </w:rPr>
        <w:t xml:space="preserve">NOVO </w:t>
      </w:r>
      <w:r w:rsidRPr="000873C7">
        <w:rPr>
          <w:rFonts w:ascii="Times New Roman" w:hAnsi="Times New Roman"/>
          <w:b/>
          <w:bCs/>
          <w:sz w:val="24"/>
          <w:szCs w:val="24"/>
        </w:rPr>
        <w:t>CÓDIGO DE PROCESSO CIVIL</w:t>
      </w:r>
    </w:p>
    <w:p w:rsidR="00C06251" w:rsidRPr="000873C7" w:rsidRDefault="00C06251" w:rsidP="00C06251">
      <w:pPr>
        <w:spacing w:after="0" w:line="360" w:lineRule="auto"/>
        <w:contextualSpacing/>
        <w:rPr>
          <w:rFonts w:ascii="Times New Roman" w:hAnsi="Times New Roman"/>
          <w:b/>
          <w:bCs/>
          <w:sz w:val="24"/>
          <w:szCs w:val="24"/>
        </w:rPr>
      </w:pPr>
    </w:p>
    <w:p w:rsidR="00C06251" w:rsidRPr="000873C7" w:rsidRDefault="00C06251" w:rsidP="00C06251">
      <w:pPr>
        <w:spacing w:after="0" w:line="360" w:lineRule="auto"/>
        <w:contextualSpacing/>
        <w:rPr>
          <w:rFonts w:ascii="Times New Roman" w:hAnsi="Times New Roman"/>
          <w:b/>
          <w:bCs/>
          <w:sz w:val="24"/>
          <w:szCs w:val="24"/>
        </w:rPr>
      </w:pPr>
    </w:p>
    <w:p w:rsidR="00C06251" w:rsidRPr="000873C7" w:rsidRDefault="00C06251" w:rsidP="00C06251">
      <w:pPr>
        <w:spacing w:after="0" w:line="360" w:lineRule="auto"/>
        <w:contextualSpacing/>
        <w:rPr>
          <w:rFonts w:ascii="Times New Roman" w:hAnsi="Times New Roman"/>
          <w:b/>
          <w:bCs/>
          <w:sz w:val="24"/>
          <w:szCs w:val="24"/>
        </w:rPr>
      </w:pPr>
    </w:p>
    <w:p w:rsidR="00C06251" w:rsidRPr="00955ED3" w:rsidRDefault="00C06251" w:rsidP="00955ED3">
      <w:pPr>
        <w:spacing w:after="0" w:line="360" w:lineRule="auto"/>
        <w:contextualSpacing/>
        <w:jc w:val="right"/>
        <w:rPr>
          <w:rFonts w:ascii="Times New Roman" w:hAnsi="Times New Roman"/>
          <w:bCs/>
          <w:sz w:val="24"/>
          <w:szCs w:val="24"/>
        </w:rPr>
      </w:pPr>
      <w:proofErr w:type="spellStart"/>
      <w:r w:rsidRPr="00955ED3">
        <w:rPr>
          <w:rFonts w:ascii="Times New Roman" w:hAnsi="Times New Roman"/>
          <w:bCs/>
          <w:sz w:val="24"/>
          <w:szCs w:val="24"/>
        </w:rPr>
        <w:t>L</w:t>
      </w:r>
      <w:r w:rsidR="00955ED3" w:rsidRPr="00955ED3">
        <w:rPr>
          <w:rFonts w:ascii="Times New Roman" w:hAnsi="Times New Roman"/>
          <w:bCs/>
          <w:sz w:val="24"/>
          <w:szCs w:val="24"/>
        </w:rPr>
        <w:t>uis</w:t>
      </w:r>
      <w:proofErr w:type="spellEnd"/>
      <w:r w:rsidR="00955ED3" w:rsidRPr="00955ED3">
        <w:rPr>
          <w:rFonts w:ascii="Times New Roman" w:hAnsi="Times New Roman"/>
          <w:bCs/>
          <w:sz w:val="24"/>
          <w:szCs w:val="24"/>
        </w:rPr>
        <w:t xml:space="preserve"> Arlindo </w:t>
      </w:r>
      <w:proofErr w:type="spellStart"/>
      <w:r w:rsidR="00955ED3" w:rsidRPr="00955ED3">
        <w:rPr>
          <w:rFonts w:ascii="Times New Roman" w:hAnsi="Times New Roman"/>
          <w:bCs/>
          <w:sz w:val="24"/>
          <w:szCs w:val="24"/>
        </w:rPr>
        <w:t>Feriani</w:t>
      </w:r>
      <w:proofErr w:type="spellEnd"/>
      <w:r w:rsidR="00955ED3" w:rsidRPr="00955ED3">
        <w:rPr>
          <w:rFonts w:ascii="Times New Roman" w:hAnsi="Times New Roman"/>
          <w:bCs/>
          <w:sz w:val="24"/>
          <w:szCs w:val="24"/>
        </w:rPr>
        <w:t xml:space="preserve"> Filho</w:t>
      </w:r>
      <w:r w:rsidR="00A5358A" w:rsidRPr="00955ED3">
        <w:rPr>
          <w:rStyle w:val="Refdenotaderodap"/>
          <w:rFonts w:ascii="Times New Roman" w:hAnsi="Times New Roman"/>
          <w:bCs/>
          <w:sz w:val="24"/>
          <w:szCs w:val="24"/>
        </w:rPr>
        <w:footnoteReference w:id="1"/>
      </w:r>
    </w:p>
    <w:p w:rsidR="00A5358A" w:rsidRPr="000873C7" w:rsidRDefault="00A5358A" w:rsidP="00C06251">
      <w:pPr>
        <w:spacing w:after="0" w:line="360" w:lineRule="auto"/>
        <w:contextualSpacing/>
        <w:jc w:val="center"/>
        <w:rPr>
          <w:rFonts w:ascii="Times New Roman" w:hAnsi="Times New Roman"/>
          <w:b/>
          <w:bCs/>
          <w:sz w:val="24"/>
          <w:szCs w:val="24"/>
        </w:rPr>
      </w:pPr>
    </w:p>
    <w:p w:rsidR="00C06251" w:rsidRPr="000873C7" w:rsidRDefault="00C06251" w:rsidP="00C06251">
      <w:pPr>
        <w:spacing w:after="0" w:line="360" w:lineRule="auto"/>
        <w:contextualSpacing/>
        <w:rPr>
          <w:rFonts w:ascii="Times New Roman" w:hAnsi="Times New Roman"/>
          <w:b/>
          <w:bCs/>
          <w:sz w:val="24"/>
          <w:szCs w:val="24"/>
        </w:rPr>
      </w:pPr>
    </w:p>
    <w:p w:rsidR="00DF0687" w:rsidRPr="000873C7" w:rsidRDefault="00DF0687" w:rsidP="00C06251">
      <w:pPr>
        <w:spacing w:after="0" w:line="360" w:lineRule="auto"/>
        <w:contextualSpacing/>
        <w:jc w:val="center"/>
        <w:rPr>
          <w:rFonts w:ascii="Times New Roman" w:hAnsi="Times New Roman"/>
          <w:b/>
          <w:bCs/>
          <w:sz w:val="24"/>
          <w:szCs w:val="24"/>
        </w:rPr>
      </w:pPr>
    </w:p>
    <w:p w:rsidR="00C06251" w:rsidRPr="000873C7" w:rsidRDefault="00C06251" w:rsidP="00C06251">
      <w:pPr>
        <w:spacing w:line="360" w:lineRule="auto"/>
        <w:jc w:val="center"/>
        <w:rPr>
          <w:rFonts w:ascii="Times New Roman" w:hAnsi="Times New Roman"/>
          <w:b/>
          <w:sz w:val="24"/>
          <w:szCs w:val="24"/>
        </w:rPr>
      </w:pPr>
      <w:r w:rsidRPr="000873C7">
        <w:rPr>
          <w:rFonts w:ascii="Times New Roman" w:hAnsi="Times New Roman"/>
          <w:b/>
          <w:sz w:val="24"/>
          <w:szCs w:val="24"/>
        </w:rPr>
        <w:t>RESUMO</w:t>
      </w:r>
    </w:p>
    <w:p w:rsidR="00C06251" w:rsidRPr="000873C7" w:rsidRDefault="00C06251" w:rsidP="00165BFD">
      <w:pPr>
        <w:spacing w:line="360" w:lineRule="auto"/>
        <w:jc w:val="both"/>
        <w:rPr>
          <w:rFonts w:ascii="Times New Roman" w:hAnsi="Times New Roman"/>
          <w:sz w:val="24"/>
          <w:szCs w:val="24"/>
        </w:rPr>
      </w:pPr>
      <w:r w:rsidRPr="000873C7">
        <w:rPr>
          <w:rFonts w:ascii="Times New Roman" w:hAnsi="Times New Roman"/>
          <w:sz w:val="24"/>
          <w:szCs w:val="24"/>
        </w:rPr>
        <w:t xml:space="preserve">O estudo trata dos temas prequestionamento e embargos de declaração, sobretudo com enfoque nas atuais interpretações a respeito do assunto e as </w:t>
      </w:r>
      <w:r w:rsidR="00FF391E">
        <w:rPr>
          <w:rFonts w:ascii="Times New Roman" w:hAnsi="Times New Roman"/>
          <w:sz w:val="24"/>
          <w:szCs w:val="24"/>
        </w:rPr>
        <w:t>disposições no</w:t>
      </w:r>
      <w:r w:rsidRPr="000873C7">
        <w:rPr>
          <w:rFonts w:ascii="Times New Roman" w:hAnsi="Times New Roman"/>
          <w:sz w:val="24"/>
          <w:szCs w:val="24"/>
        </w:rPr>
        <w:t xml:space="preserve"> Novo Código de Processo Civil e que alcançam a matéria. Nesse sentido, discute-se a conceituação e importância do chamado prequestionamento e da constante utilização do recurso de embargos de declaração como forma de evidenciar aos tribunais a presença do requisito indispensável para a admissão dos recursos especial e extraordinário. Por fim, analisando comparativamente os embargos de declaração na atual legislação e no Novo Código de Processo Civil, que conta com disposição específica a respeito do assunto, procura o trabalho extrair uma visão crítica interpretativa da matéria.</w:t>
      </w:r>
    </w:p>
    <w:p w:rsidR="00A5358A" w:rsidRDefault="00A5358A" w:rsidP="00C06251">
      <w:pPr>
        <w:spacing w:line="360" w:lineRule="auto"/>
        <w:jc w:val="center"/>
        <w:rPr>
          <w:rFonts w:ascii="Times New Roman" w:hAnsi="Times New Roman"/>
          <w:b/>
          <w:sz w:val="24"/>
          <w:szCs w:val="24"/>
        </w:rPr>
      </w:pPr>
    </w:p>
    <w:p w:rsidR="00C06251" w:rsidRDefault="00C06251" w:rsidP="00C06251">
      <w:pPr>
        <w:spacing w:line="360" w:lineRule="auto"/>
        <w:jc w:val="center"/>
        <w:rPr>
          <w:rFonts w:ascii="Times New Roman" w:hAnsi="Times New Roman"/>
          <w:b/>
          <w:sz w:val="24"/>
          <w:szCs w:val="24"/>
        </w:rPr>
      </w:pPr>
      <w:r w:rsidRPr="000873C7">
        <w:rPr>
          <w:rFonts w:ascii="Times New Roman" w:hAnsi="Times New Roman"/>
          <w:b/>
          <w:sz w:val="24"/>
          <w:szCs w:val="24"/>
        </w:rPr>
        <w:t>PALAVRAS CHAVES</w:t>
      </w:r>
    </w:p>
    <w:p w:rsidR="00A5358A" w:rsidRPr="000873C7" w:rsidRDefault="00A5358A" w:rsidP="00C06251">
      <w:pPr>
        <w:spacing w:line="360" w:lineRule="auto"/>
        <w:jc w:val="center"/>
        <w:rPr>
          <w:rFonts w:ascii="Times New Roman" w:hAnsi="Times New Roman"/>
          <w:b/>
          <w:sz w:val="24"/>
          <w:szCs w:val="24"/>
        </w:rPr>
      </w:pPr>
    </w:p>
    <w:p w:rsidR="00C06251" w:rsidRPr="000873C7" w:rsidRDefault="00C06251" w:rsidP="00165BFD">
      <w:pPr>
        <w:spacing w:line="360" w:lineRule="auto"/>
        <w:jc w:val="both"/>
        <w:rPr>
          <w:rFonts w:ascii="Times New Roman" w:hAnsi="Times New Roman"/>
          <w:b/>
          <w:sz w:val="24"/>
          <w:szCs w:val="24"/>
        </w:rPr>
      </w:pPr>
      <w:r w:rsidRPr="000873C7">
        <w:rPr>
          <w:rFonts w:ascii="Times New Roman" w:hAnsi="Times New Roman"/>
          <w:b/>
          <w:sz w:val="24"/>
          <w:szCs w:val="24"/>
        </w:rPr>
        <w:t>PREQUESTIONAMENTO – EMBARGOS DE DECLARAÇÃO – EMBARGOS DE DECLARAÇÃO PREQUESTIONADORES – NOVO CÓDIGO DE PROCESSO CIVIL</w:t>
      </w:r>
    </w:p>
    <w:p w:rsidR="00C06251" w:rsidRPr="000873C7" w:rsidRDefault="00C06251" w:rsidP="00C06251">
      <w:pPr>
        <w:spacing w:line="360" w:lineRule="auto"/>
        <w:jc w:val="center"/>
        <w:rPr>
          <w:rFonts w:ascii="Times New Roman" w:hAnsi="Times New Roman"/>
          <w:b/>
          <w:sz w:val="24"/>
          <w:szCs w:val="24"/>
        </w:rPr>
      </w:pPr>
    </w:p>
    <w:p w:rsidR="00C06251" w:rsidRPr="000873C7" w:rsidRDefault="00C06251" w:rsidP="00C06251">
      <w:pPr>
        <w:spacing w:line="360" w:lineRule="auto"/>
        <w:jc w:val="center"/>
        <w:rPr>
          <w:rFonts w:ascii="Times New Roman" w:hAnsi="Times New Roman"/>
          <w:b/>
          <w:sz w:val="24"/>
          <w:szCs w:val="24"/>
          <w:lang w:val="en-US"/>
        </w:rPr>
      </w:pPr>
      <w:r w:rsidRPr="000873C7">
        <w:rPr>
          <w:rFonts w:ascii="Times New Roman" w:hAnsi="Times New Roman"/>
          <w:b/>
          <w:sz w:val="24"/>
          <w:szCs w:val="24"/>
          <w:lang w:val="en-US"/>
        </w:rPr>
        <w:t>ABSTRACT</w:t>
      </w:r>
    </w:p>
    <w:p w:rsidR="00CA1E22" w:rsidRPr="000873C7" w:rsidRDefault="00CA1E22" w:rsidP="00CA1E22">
      <w:pPr>
        <w:pStyle w:val="ecxmsonormal"/>
        <w:spacing w:line="360" w:lineRule="auto"/>
        <w:jc w:val="both"/>
        <w:rPr>
          <w:lang w:val="en-US"/>
        </w:rPr>
      </w:pPr>
      <w:r w:rsidRPr="000873C7">
        <w:rPr>
          <w:lang w:val="en-US"/>
        </w:rPr>
        <w:lastRenderedPageBreak/>
        <w:t xml:space="preserve">The previous debate of federal matter in lower courts as requirement for writ of error’s admittance in order to Brazilian Superior Courts and Supreme Court be hearing from the case, and also the institute of the motion for clarification, both focusing the current literary interpretations and the new Brazilian civil procedure </w:t>
      </w:r>
      <w:r w:rsidRPr="000873C7">
        <w:rPr>
          <w:i/>
          <w:iCs/>
          <w:lang w:val="en-US"/>
        </w:rPr>
        <w:t>codex</w:t>
      </w:r>
      <w:r w:rsidRPr="000873C7">
        <w:rPr>
          <w:lang w:val="en-US"/>
        </w:rPr>
        <w:t xml:space="preserve">, are the two targets of this essay. Here it will be discussed the importance and conceptualization of the said previous debate, as well as studying the recurrent use of the motion for clarification as a tool to demonstrate the debate of federal matter in lower instance, when the case urges to be heard from the Supreme Court or Superior Courts in Brazil. Under a comparative analysis of the motion for clarification in the current legislation and the </w:t>
      </w:r>
      <w:r w:rsidR="00C073FB" w:rsidRPr="000873C7">
        <w:rPr>
          <w:lang w:val="en-US"/>
        </w:rPr>
        <w:t xml:space="preserve">new </w:t>
      </w:r>
      <w:r w:rsidRPr="000873C7">
        <w:rPr>
          <w:lang w:val="en-US"/>
        </w:rPr>
        <w:t>legislation</w:t>
      </w:r>
      <w:r w:rsidR="00C073FB" w:rsidRPr="000873C7">
        <w:rPr>
          <w:lang w:val="en-US"/>
        </w:rPr>
        <w:t xml:space="preserve"> </w:t>
      </w:r>
      <w:r w:rsidRPr="000873C7">
        <w:rPr>
          <w:lang w:val="en-US"/>
        </w:rPr>
        <w:t>(which brings specific descriptions about the subject) it is thought to give the readers a critical and interpretative view of the matter.</w:t>
      </w:r>
    </w:p>
    <w:p w:rsidR="00CA1E22" w:rsidRPr="000873C7" w:rsidRDefault="00CA1E22" w:rsidP="00CA1E22">
      <w:pPr>
        <w:pStyle w:val="ecxmsonormal"/>
        <w:spacing w:line="360" w:lineRule="auto"/>
        <w:jc w:val="center"/>
        <w:rPr>
          <w:b/>
          <w:lang w:val="en-US"/>
        </w:rPr>
      </w:pPr>
      <w:r w:rsidRPr="000873C7">
        <w:rPr>
          <w:b/>
          <w:lang w:val="en-US"/>
        </w:rPr>
        <w:t>KEYWORDS</w:t>
      </w:r>
    </w:p>
    <w:p w:rsidR="00CA1E22" w:rsidRPr="000873C7" w:rsidRDefault="00CA1E22" w:rsidP="00CA1E22">
      <w:pPr>
        <w:pStyle w:val="ecxmsonormal"/>
        <w:spacing w:line="360" w:lineRule="auto"/>
        <w:jc w:val="both"/>
        <w:rPr>
          <w:b/>
          <w:lang w:val="en-US"/>
        </w:rPr>
      </w:pPr>
      <w:r w:rsidRPr="000873C7">
        <w:rPr>
          <w:b/>
          <w:lang w:val="en-US"/>
        </w:rPr>
        <w:t xml:space="preserve"> PREVIOUS DEBATE OF FEDERAL MATTER – MOTION FOR CLARIFICATION – MOTION FOR CLARIFICATION FOR APPEAL’S ACCEPTANCE - NEW BRAZILIAN CIVIL PROCEDURE </w:t>
      </w:r>
      <w:r w:rsidRPr="000873C7">
        <w:rPr>
          <w:b/>
          <w:i/>
          <w:iCs/>
          <w:lang w:val="en-US"/>
        </w:rPr>
        <w:t>CODEX</w:t>
      </w:r>
      <w:r w:rsidRPr="000873C7">
        <w:rPr>
          <w:b/>
          <w:lang w:val="en-US"/>
        </w:rPr>
        <w:t xml:space="preserve"> </w:t>
      </w:r>
    </w:p>
    <w:p w:rsidR="00C06251" w:rsidRPr="000873C7" w:rsidRDefault="00C06251" w:rsidP="00165BFD">
      <w:pPr>
        <w:spacing w:line="360" w:lineRule="auto"/>
        <w:jc w:val="center"/>
        <w:rPr>
          <w:rFonts w:ascii="Times New Roman" w:hAnsi="Times New Roman"/>
          <w:b/>
          <w:sz w:val="24"/>
          <w:szCs w:val="24"/>
          <w:lang w:val="en-US"/>
        </w:rPr>
      </w:pPr>
    </w:p>
    <w:p w:rsidR="002F55F8" w:rsidRPr="000873C7" w:rsidRDefault="002F55F8" w:rsidP="002F55F8">
      <w:pPr>
        <w:pStyle w:val="Corpodetexto"/>
        <w:spacing w:line="360" w:lineRule="auto"/>
        <w:ind w:firstLine="709"/>
        <w:contextualSpacing/>
        <w:jc w:val="center"/>
        <w:rPr>
          <w:rFonts w:ascii="Times New Roman" w:hAnsi="Times New Roman"/>
          <w:color w:val="000000"/>
          <w:sz w:val="24"/>
          <w:lang w:val="en-US"/>
        </w:rPr>
      </w:pPr>
    </w:p>
    <w:p w:rsidR="002F55F8" w:rsidRPr="000873C7" w:rsidRDefault="002F55F8" w:rsidP="002F55F8">
      <w:pPr>
        <w:pStyle w:val="Corpodetexto"/>
        <w:spacing w:line="360" w:lineRule="auto"/>
        <w:contextualSpacing/>
        <w:jc w:val="center"/>
        <w:rPr>
          <w:rFonts w:ascii="Times New Roman" w:hAnsi="Times New Roman"/>
          <w:color w:val="000000"/>
          <w:sz w:val="24"/>
        </w:rPr>
      </w:pPr>
      <w:r w:rsidRPr="000873C7">
        <w:rPr>
          <w:rFonts w:ascii="Times New Roman" w:hAnsi="Times New Roman"/>
          <w:color w:val="000000"/>
          <w:sz w:val="24"/>
        </w:rPr>
        <w:t>SUMÁRIO</w:t>
      </w:r>
    </w:p>
    <w:p w:rsidR="002F55F8" w:rsidRPr="000873C7" w:rsidRDefault="002F55F8" w:rsidP="002F55F8">
      <w:pPr>
        <w:pStyle w:val="Corpodetexto"/>
        <w:spacing w:line="360" w:lineRule="auto"/>
        <w:contextualSpacing/>
        <w:rPr>
          <w:rFonts w:ascii="Times New Roman" w:hAnsi="Times New Roman"/>
          <w:b w:val="0"/>
          <w:color w:val="000000"/>
          <w:sz w:val="24"/>
        </w:rPr>
      </w:pPr>
    </w:p>
    <w:p w:rsidR="002F55F8" w:rsidRPr="000873C7" w:rsidRDefault="002F55F8" w:rsidP="00C073FB">
      <w:pPr>
        <w:spacing w:line="360" w:lineRule="auto"/>
        <w:jc w:val="both"/>
        <w:rPr>
          <w:rFonts w:ascii="Times New Roman" w:hAnsi="Times New Roman"/>
          <w:sz w:val="24"/>
          <w:szCs w:val="24"/>
        </w:rPr>
      </w:pPr>
      <w:r w:rsidRPr="000873C7">
        <w:rPr>
          <w:rFonts w:ascii="Times New Roman" w:hAnsi="Times New Roman"/>
          <w:b/>
          <w:sz w:val="24"/>
          <w:szCs w:val="24"/>
        </w:rPr>
        <w:t>Introdução</w:t>
      </w:r>
      <w:r w:rsidR="00C073FB" w:rsidRPr="000873C7">
        <w:rPr>
          <w:rFonts w:ascii="Times New Roman" w:hAnsi="Times New Roman"/>
          <w:sz w:val="24"/>
          <w:szCs w:val="24"/>
        </w:rPr>
        <w:t xml:space="preserve"> </w:t>
      </w:r>
      <w:r w:rsidR="00C073FB" w:rsidRPr="000873C7">
        <w:rPr>
          <w:rFonts w:ascii="Times New Roman" w:hAnsi="Times New Roman"/>
          <w:b/>
          <w:sz w:val="24"/>
          <w:szCs w:val="24"/>
        </w:rPr>
        <w:t>– 1.</w:t>
      </w:r>
      <w:r w:rsidR="00C073FB" w:rsidRPr="000873C7">
        <w:rPr>
          <w:rFonts w:ascii="Times New Roman" w:hAnsi="Times New Roman"/>
          <w:sz w:val="24"/>
          <w:szCs w:val="24"/>
        </w:rPr>
        <w:t xml:space="preserve"> </w:t>
      </w:r>
      <w:r w:rsidR="00C073FB" w:rsidRPr="000873C7">
        <w:rPr>
          <w:rFonts w:ascii="Times New Roman" w:hAnsi="Times New Roman"/>
          <w:b/>
          <w:sz w:val="24"/>
          <w:szCs w:val="24"/>
        </w:rPr>
        <w:t>P</w:t>
      </w:r>
      <w:r w:rsidRPr="000873C7">
        <w:rPr>
          <w:rFonts w:ascii="Times New Roman" w:hAnsi="Times New Roman"/>
          <w:b/>
          <w:sz w:val="24"/>
          <w:szCs w:val="24"/>
        </w:rPr>
        <w:t>requestionamento</w:t>
      </w:r>
      <w:r w:rsidR="00C073FB" w:rsidRPr="000873C7">
        <w:rPr>
          <w:rFonts w:ascii="Times New Roman" w:hAnsi="Times New Roman"/>
          <w:sz w:val="24"/>
          <w:szCs w:val="24"/>
        </w:rPr>
        <w:t xml:space="preserve"> </w:t>
      </w:r>
      <w:r w:rsidR="00C073FB" w:rsidRPr="000873C7">
        <w:rPr>
          <w:rFonts w:ascii="Times New Roman" w:hAnsi="Times New Roman"/>
          <w:b/>
          <w:sz w:val="24"/>
          <w:szCs w:val="24"/>
        </w:rPr>
        <w:t xml:space="preserve">- </w:t>
      </w:r>
      <w:r w:rsidRPr="000873C7">
        <w:rPr>
          <w:rFonts w:ascii="Times New Roman" w:hAnsi="Times New Roman"/>
          <w:b/>
          <w:sz w:val="24"/>
          <w:szCs w:val="24"/>
        </w:rPr>
        <w:t>2. Embargos de</w:t>
      </w:r>
      <w:r w:rsidR="00C073FB" w:rsidRPr="000873C7">
        <w:rPr>
          <w:rFonts w:ascii="Times New Roman" w:hAnsi="Times New Roman"/>
          <w:b/>
          <w:sz w:val="24"/>
          <w:szCs w:val="24"/>
        </w:rPr>
        <w:t xml:space="preserve"> </w:t>
      </w:r>
      <w:r w:rsidRPr="000873C7">
        <w:rPr>
          <w:rFonts w:ascii="Times New Roman" w:hAnsi="Times New Roman"/>
          <w:b/>
          <w:sz w:val="24"/>
          <w:szCs w:val="24"/>
        </w:rPr>
        <w:t>Declaração</w:t>
      </w:r>
      <w:r w:rsidR="00C073FB" w:rsidRPr="000873C7">
        <w:rPr>
          <w:rFonts w:ascii="Times New Roman" w:hAnsi="Times New Roman"/>
          <w:b/>
          <w:sz w:val="24"/>
          <w:szCs w:val="24"/>
        </w:rPr>
        <w:t xml:space="preserve"> </w:t>
      </w:r>
      <w:r w:rsidR="00C073FB" w:rsidRPr="000873C7">
        <w:rPr>
          <w:rFonts w:ascii="Times New Roman" w:hAnsi="Times New Roman"/>
          <w:sz w:val="24"/>
          <w:szCs w:val="24"/>
        </w:rPr>
        <w:t xml:space="preserve">– </w:t>
      </w:r>
      <w:proofErr w:type="gramStart"/>
      <w:r w:rsidR="00C073FB" w:rsidRPr="000873C7">
        <w:rPr>
          <w:rFonts w:ascii="Times New Roman" w:hAnsi="Times New Roman"/>
          <w:sz w:val="24"/>
          <w:szCs w:val="24"/>
        </w:rPr>
        <w:t>2.1.</w:t>
      </w:r>
      <w:proofErr w:type="gramEnd"/>
      <w:r w:rsidRPr="000873C7">
        <w:rPr>
          <w:rFonts w:ascii="Times New Roman" w:hAnsi="Times New Roman"/>
          <w:sz w:val="24"/>
          <w:szCs w:val="24"/>
        </w:rPr>
        <w:t>Cabimento</w:t>
      </w:r>
      <w:r w:rsidR="00C073FB" w:rsidRPr="000873C7">
        <w:rPr>
          <w:rFonts w:ascii="Times New Roman" w:hAnsi="Times New Roman"/>
          <w:sz w:val="24"/>
          <w:szCs w:val="24"/>
        </w:rPr>
        <w:t xml:space="preserve"> - </w:t>
      </w:r>
      <w:r w:rsidRPr="000873C7">
        <w:rPr>
          <w:rFonts w:ascii="Times New Roman" w:hAnsi="Times New Roman"/>
          <w:sz w:val="24"/>
          <w:szCs w:val="24"/>
        </w:rPr>
        <w:t>2.2. Embargos de Declaração e Efeito Modificativo</w:t>
      </w:r>
      <w:r w:rsidR="00C073FB" w:rsidRPr="000873C7">
        <w:rPr>
          <w:rFonts w:ascii="Times New Roman" w:hAnsi="Times New Roman"/>
          <w:sz w:val="24"/>
          <w:szCs w:val="24"/>
        </w:rPr>
        <w:t xml:space="preserve"> - </w:t>
      </w:r>
      <w:r w:rsidRPr="000873C7">
        <w:rPr>
          <w:rFonts w:ascii="Times New Roman" w:hAnsi="Times New Roman"/>
          <w:sz w:val="24"/>
          <w:szCs w:val="24"/>
        </w:rPr>
        <w:t>2.3. Do Prazo e Procedimento</w:t>
      </w:r>
      <w:r w:rsidR="00C073FB" w:rsidRPr="000873C7">
        <w:rPr>
          <w:rFonts w:ascii="Times New Roman" w:hAnsi="Times New Roman"/>
          <w:sz w:val="24"/>
          <w:szCs w:val="24"/>
        </w:rPr>
        <w:t xml:space="preserve"> - </w:t>
      </w:r>
      <w:r w:rsidRPr="000873C7">
        <w:rPr>
          <w:rFonts w:ascii="Times New Roman" w:hAnsi="Times New Roman"/>
          <w:sz w:val="24"/>
          <w:szCs w:val="24"/>
        </w:rPr>
        <w:t>2.4. Embargos de Declaração Protelatórios</w:t>
      </w:r>
      <w:r w:rsidR="00C073FB" w:rsidRPr="000873C7">
        <w:rPr>
          <w:rFonts w:ascii="Times New Roman" w:hAnsi="Times New Roman"/>
          <w:sz w:val="24"/>
          <w:szCs w:val="24"/>
        </w:rPr>
        <w:t xml:space="preserve"> - </w:t>
      </w:r>
      <w:r w:rsidRPr="000873C7">
        <w:rPr>
          <w:rFonts w:ascii="Times New Roman" w:hAnsi="Times New Roman"/>
          <w:b/>
          <w:sz w:val="24"/>
          <w:szCs w:val="24"/>
        </w:rPr>
        <w:t xml:space="preserve">3. Embargos </w:t>
      </w:r>
      <w:proofErr w:type="spellStart"/>
      <w:r w:rsidRPr="000873C7">
        <w:rPr>
          <w:rFonts w:ascii="Times New Roman" w:hAnsi="Times New Roman"/>
          <w:b/>
          <w:sz w:val="24"/>
          <w:szCs w:val="24"/>
        </w:rPr>
        <w:t>Prequestionadores</w:t>
      </w:r>
      <w:proofErr w:type="spellEnd"/>
      <w:r w:rsidR="00C073FB" w:rsidRPr="000873C7">
        <w:rPr>
          <w:rFonts w:ascii="Times New Roman" w:hAnsi="Times New Roman"/>
          <w:b/>
          <w:sz w:val="24"/>
          <w:szCs w:val="24"/>
        </w:rPr>
        <w:t xml:space="preserve"> - </w:t>
      </w:r>
      <w:r w:rsidRPr="000873C7">
        <w:rPr>
          <w:rFonts w:ascii="Times New Roman" w:hAnsi="Times New Roman"/>
          <w:b/>
          <w:sz w:val="24"/>
          <w:szCs w:val="24"/>
        </w:rPr>
        <w:t>Considerações Finais</w:t>
      </w:r>
      <w:r w:rsidR="00C073FB" w:rsidRPr="000873C7">
        <w:rPr>
          <w:rFonts w:ascii="Times New Roman" w:hAnsi="Times New Roman"/>
          <w:b/>
          <w:sz w:val="24"/>
          <w:szCs w:val="24"/>
        </w:rPr>
        <w:t xml:space="preserve"> – Referências bibliográficas</w:t>
      </w:r>
    </w:p>
    <w:p w:rsidR="00C073FB" w:rsidRPr="000873C7" w:rsidRDefault="00C073FB" w:rsidP="00165BFD">
      <w:pPr>
        <w:spacing w:line="360" w:lineRule="auto"/>
        <w:jc w:val="center"/>
        <w:rPr>
          <w:rFonts w:ascii="Times New Roman" w:hAnsi="Times New Roman"/>
          <w:b/>
          <w:sz w:val="24"/>
          <w:szCs w:val="24"/>
        </w:rPr>
      </w:pPr>
    </w:p>
    <w:p w:rsidR="00A24E3D" w:rsidRPr="000873C7" w:rsidRDefault="007F2474" w:rsidP="00165BFD">
      <w:pPr>
        <w:spacing w:line="360" w:lineRule="auto"/>
        <w:jc w:val="center"/>
        <w:rPr>
          <w:rFonts w:ascii="Times New Roman" w:hAnsi="Times New Roman"/>
          <w:b/>
          <w:sz w:val="24"/>
          <w:szCs w:val="24"/>
        </w:rPr>
      </w:pPr>
      <w:r w:rsidRPr="000873C7">
        <w:rPr>
          <w:rFonts w:ascii="Times New Roman" w:hAnsi="Times New Roman"/>
          <w:b/>
          <w:sz w:val="24"/>
          <w:szCs w:val="24"/>
        </w:rPr>
        <w:t>INTRODUÇÃO</w:t>
      </w:r>
    </w:p>
    <w:p w:rsidR="00847FD2" w:rsidRPr="000873C7" w:rsidRDefault="00847FD2" w:rsidP="00165BFD">
      <w:pPr>
        <w:spacing w:line="360" w:lineRule="auto"/>
        <w:jc w:val="center"/>
        <w:rPr>
          <w:rFonts w:ascii="Times New Roman" w:hAnsi="Times New Roman"/>
          <w:b/>
          <w:sz w:val="24"/>
          <w:szCs w:val="24"/>
        </w:rPr>
      </w:pPr>
    </w:p>
    <w:p w:rsidR="00A24E3D" w:rsidRPr="000873C7" w:rsidRDefault="00A24E3D"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O presente estudo tem por objetivo analisar o prequestionamento, enquanto requisito para admissão dos recursos excepcionais, e a utilização dos embargos de </w:t>
      </w:r>
      <w:proofErr w:type="gramStart"/>
      <w:r w:rsidRPr="000873C7">
        <w:rPr>
          <w:rFonts w:ascii="Times New Roman" w:hAnsi="Times New Roman"/>
          <w:sz w:val="24"/>
          <w:szCs w:val="24"/>
        </w:rPr>
        <w:t xml:space="preserve">declaração </w:t>
      </w:r>
      <w:r w:rsidRPr="000873C7">
        <w:rPr>
          <w:rFonts w:ascii="Times New Roman" w:hAnsi="Times New Roman"/>
          <w:sz w:val="24"/>
          <w:szCs w:val="24"/>
        </w:rPr>
        <w:lastRenderedPageBreak/>
        <w:t>chamados</w:t>
      </w:r>
      <w:proofErr w:type="gramEnd"/>
      <w:r w:rsidRPr="000873C7">
        <w:rPr>
          <w:rFonts w:ascii="Times New Roman" w:hAnsi="Times New Roman"/>
          <w:sz w:val="24"/>
          <w:szCs w:val="24"/>
        </w:rPr>
        <w:t xml:space="preserve"> </w:t>
      </w:r>
      <w:proofErr w:type="spellStart"/>
      <w:r w:rsidRPr="000873C7">
        <w:rPr>
          <w:rFonts w:ascii="Times New Roman" w:hAnsi="Times New Roman"/>
          <w:sz w:val="24"/>
          <w:szCs w:val="24"/>
        </w:rPr>
        <w:t>prequestionadores</w:t>
      </w:r>
      <w:proofErr w:type="spellEnd"/>
      <w:r w:rsidRPr="000873C7">
        <w:rPr>
          <w:rFonts w:ascii="Times New Roman" w:hAnsi="Times New Roman"/>
          <w:sz w:val="24"/>
          <w:szCs w:val="24"/>
        </w:rPr>
        <w:t>, tendo em vista especialmente o Novo Código de Processo Civil e as possíveis modificações no sistema vigente.</w:t>
      </w:r>
    </w:p>
    <w:p w:rsidR="00A24E3D" w:rsidRPr="000873C7" w:rsidRDefault="00A24E3D"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Como é sabido, o exercício da jurisdição pressupõe a adequada provocação do Estado que, a partir daí, responsabiliza-se pelo impulso e encerramento do processo, atentando a duração razoável e em busca da composição da lide de maneira mais justa e próxima da realidade.</w:t>
      </w:r>
    </w:p>
    <w:p w:rsidR="00A24E3D" w:rsidRPr="000873C7" w:rsidRDefault="00A24E3D"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Para tanto, indispensável que se observem as normas e princípios processuais, o que deve garantir o amplo contraditório e a apreciação, justa, clara e pautada na legislação existente.</w:t>
      </w:r>
    </w:p>
    <w:p w:rsidR="00A24E3D" w:rsidRPr="000873C7" w:rsidRDefault="00A24E3D"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Não por outro motivo contempla a Constituição Federal</w:t>
      </w:r>
      <w:r w:rsidR="007B6443" w:rsidRPr="000873C7">
        <w:rPr>
          <w:rFonts w:ascii="Times New Roman" w:hAnsi="Times New Roman"/>
          <w:sz w:val="24"/>
          <w:szCs w:val="24"/>
        </w:rPr>
        <w:t xml:space="preserve"> e legislação processual</w:t>
      </w:r>
      <w:r w:rsidRPr="000873C7">
        <w:rPr>
          <w:rFonts w:ascii="Times New Roman" w:hAnsi="Times New Roman"/>
          <w:sz w:val="24"/>
          <w:szCs w:val="24"/>
        </w:rPr>
        <w:t xml:space="preserve"> a necessidade de fundamentação de todas as decisões judiciais</w:t>
      </w:r>
      <w:r w:rsidR="007B6443" w:rsidRPr="000873C7">
        <w:rPr>
          <w:rFonts w:ascii="Times New Roman" w:hAnsi="Times New Roman"/>
          <w:sz w:val="24"/>
          <w:szCs w:val="24"/>
        </w:rPr>
        <w:t xml:space="preserve"> e, ainda, a existência de recursos</w:t>
      </w:r>
      <w:r w:rsidR="006100FC" w:rsidRPr="000873C7">
        <w:rPr>
          <w:rFonts w:ascii="Times New Roman" w:hAnsi="Times New Roman"/>
          <w:sz w:val="24"/>
          <w:szCs w:val="24"/>
        </w:rPr>
        <w:t xml:space="preserve"> para reexame dos julgados e par</w:t>
      </w:r>
      <w:r w:rsidR="007B6443" w:rsidRPr="000873C7">
        <w:rPr>
          <w:rFonts w:ascii="Times New Roman" w:hAnsi="Times New Roman"/>
          <w:sz w:val="24"/>
          <w:szCs w:val="24"/>
        </w:rPr>
        <w:t>a a garantia de uniformização dos entendimentos jurisdicionais.</w:t>
      </w:r>
    </w:p>
    <w:p w:rsidR="007B6443" w:rsidRPr="000873C7" w:rsidRDefault="007B6443"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É realmente indispensável que todo e qualquer pronunciamento jurisdicional se apresente de forma clara, precisa e inteligível, de modo a contribuir para o entendimento e esclarecimento da questão, o que viabiliza o convencimento por parte dos jurisdicionados ou</w:t>
      </w:r>
      <w:proofErr w:type="gramStart"/>
      <w:r w:rsidRPr="000873C7">
        <w:rPr>
          <w:rFonts w:ascii="Times New Roman" w:hAnsi="Times New Roman"/>
          <w:sz w:val="24"/>
          <w:szCs w:val="24"/>
        </w:rPr>
        <w:t xml:space="preserve">  </w:t>
      </w:r>
      <w:proofErr w:type="gramEnd"/>
      <w:r w:rsidRPr="000873C7">
        <w:rPr>
          <w:rFonts w:ascii="Times New Roman" w:hAnsi="Times New Roman"/>
          <w:sz w:val="24"/>
          <w:szCs w:val="24"/>
        </w:rPr>
        <w:t>mesmo a interposição de recursos.</w:t>
      </w:r>
    </w:p>
    <w:p w:rsidR="006100FC" w:rsidRPr="000873C7" w:rsidRDefault="007B6443"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A soberania do Estado e o respeito da sociedade perante o Judiciário exige, sem dúvida nenhuma, a adequada fundamentação das decisões judiciais, </w:t>
      </w:r>
      <w:r w:rsidR="006100FC" w:rsidRPr="000873C7">
        <w:rPr>
          <w:rFonts w:ascii="Times New Roman" w:hAnsi="Times New Roman"/>
          <w:sz w:val="24"/>
          <w:szCs w:val="24"/>
        </w:rPr>
        <w:t>com o</w:t>
      </w:r>
      <w:r w:rsidR="007B3D9D" w:rsidRPr="000873C7">
        <w:rPr>
          <w:rFonts w:ascii="Times New Roman" w:hAnsi="Times New Roman"/>
          <w:sz w:val="24"/>
          <w:szCs w:val="24"/>
        </w:rPr>
        <w:t xml:space="preserve"> que</w:t>
      </w:r>
      <w:r w:rsidR="006100FC" w:rsidRPr="000873C7">
        <w:rPr>
          <w:rFonts w:ascii="Times New Roman" w:hAnsi="Times New Roman"/>
          <w:sz w:val="24"/>
          <w:szCs w:val="24"/>
        </w:rPr>
        <w:t xml:space="preserve"> demonstrará o Estado o respeito e a atenção com o cidadão, evidenciando a leitura e efetivo conhecimento do litígio que lhe </w:t>
      </w:r>
      <w:r w:rsidR="007B3D9D" w:rsidRPr="000873C7">
        <w:rPr>
          <w:rFonts w:ascii="Times New Roman" w:hAnsi="Times New Roman"/>
          <w:sz w:val="24"/>
          <w:szCs w:val="24"/>
        </w:rPr>
        <w:t>levado ao conhecimento</w:t>
      </w:r>
      <w:r w:rsidR="006100FC" w:rsidRPr="000873C7">
        <w:rPr>
          <w:rFonts w:ascii="Times New Roman" w:hAnsi="Times New Roman"/>
          <w:sz w:val="24"/>
          <w:szCs w:val="24"/>
        </w:rPr>
        <w:t>, além da adequada aplicação da norma de direito material ao caso concreto.</w:t>
      </w:r>
    </w:p>
    <w:p w:rsidR="007B6443" w:rsidRPr="000873C7" w:rsidRDefault="007B3D9D"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Somente a fundamentação adequada é capaz de demonstrar o grau de aprofundamento na análise por parte do Estado, de convencer o jurisdicionado quanto ao acerto da decisão e ao cumprimento do julgado ou, de outro lado, a interposição de recurso com a demonstração dos equívocos cometidos pelo Juiz.</w:t>
      </w:r>
    </w:p>
    <w:p w:rsidR="007B3D9D" w:rsidRPr="000873C7" w:rsidRDefault="007B3D9D"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As razões acima justificam a criação e manutenção de recursos para reexame </w:t>
      </w:r>
      <w:proofErr w:type="gramStart"/>
      <w:r w:rsidRPr="000873C7">
        <w:rPr>
          <w:rFonts w:ascii="Times New Roman" w:hAnsi="Times New Roman"/>
          <w:sz w:val="24"/>
          <w:szCs w:val="24"/>
        </w:rPr>
        <w:t>dos julgados e, talvez mais importante</w:t>
      </w:r>
      <w:proofErr w:type="gramEnd"/>
      <w:r w:rsidRPr="000873C7">
        <w:rPr>
          <w:rFonts w:ascii="Times New Roman" w:hAnsi="Times New Roman"/>
          <w:sz w:val="24"/>
          <w:szCs w:val="24"/>
        </w:rPr>
        <w:t xml:space="preserve"> do que isso, a previsão dos embargos de declaração como forma de garantir a integração, clareza e precisão dos pronunciamentos decisórios dos julgadores</w:t>
      </w:r>
      <w:r w:rsidR="004B0234" w:rsidRPr="000873C7">
        <w:rPr>
          <w:rFonts w:ascii="Times New Roman" w:hAnsi="Times New Roman"/>
          <w:sz w:val="24"/>
          <w:szCs w:val="24"/>
        </w:rPr>
        <w:t>.</w:t>
      </w:r>
    </w:p>
    <w:p w:rsidR="004B0234" w:rsidRPr="000873C7" w:rsidRDefault="004B0234"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lastRenderedPageBreak/>
        <w:t xml:space="preserve">A questão ganha ainda maior importância quando se tem em mente a importância dos recursos destinados aos tribunais superiores, </w:t>
      </w:r>
      <w:proofErr w:type="gramStart"/>
      <w:r w:rsidRPr="000873C7">
        <w:rPr>
          <w:rFonts w:ascii="Times New Roman" w:hAnsi="Times New Roman"/>
          <w:sz w:val="24"/>
          <w:szCs w:val="24"/>
        </w:rPr>
        <w:t>a</w:t>
      </w:r>
      <w:proofErr w:type="gramEnd"/>
      <w:r w:rsidRPr="000873C7">
        <w:rPr>
          <w:rFonts w:ascii="Times New Roman" w:hAnsi="Times New Roman"/>
          <w:sz w:val="24"/>
          <w:szCs w:val="24"/>
        </w:rPr>
        <w:t xml:space="preserve"> dificuldade de admissão imposta pelos próprios tribunais e a constante utilização dos embargos de declaração como forma de abrir caminho para o Recurso Especial e Recurso Extraordinário.</w:t>
      </w:r>
    </w:p>
    <w:p w:rsidR="004B0234" w:rsidRPr="000873C7" w:rsidRDefault="004B0234"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Embora os chamados embargos declaratórios já tenham sido bastante discutidos, certamente o Novo Código de Processo Civil exige a revisitação do tema e pode, inclusive, representar relevante mudança nos paradigmas atuais, o que justifica o presente estudo, que levará em consideração os conceitos e interpretações a respeito do assunto e as alterações na legislação.</w:t>
      </w:r>
    </w:p>
    <w:p w:rsidR="00A9082D" w:rsidRPr="000873C7" w:rsidRDefault="00F74471"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Para tanto, primeiro serão revis</w:t>
      </w:r>
      <w:r w:rsidR="007F2474" w:rsidRPr="000873C7">
        <w:rPr>
          <w:rFonts w:ascii="Times New Roman" w:hAnsi="Times New Roman"/>
          <w:sz w:val="24"/>
          <w:szCs w:val="24"/>
        </w:rPr>
        <w:t>itadas as questões ligada</w:t>
      </w:r>
      <w:r w:rsidRPr="000873C7">
        <w:rPr>
          <w:rFonts w:ascii="Times New Roman" w:hAnsi="Times New Roman"/>
          <w:sz w:val="24"/>
          <w:szCs w:val="24"/>
        </w:rPr>
        <w:t>s ao prequestionamento e aos embargos de declaração</w:t>
      </w:r>
      <w:r w:rsidR="00A9082D" w:rsidRPr="000873C7">
        <w:rPr>
          <w:rFonts w:ascii="Times New Roman" w:hAnsi="Times New Roman"/>
          <w:sz w:val="24"/>
          <w:szCs w:val="24"/>
        </w:rPr>
        <w:t xml:space="preserve"> e sua utilização para fins de admissão dos recursos excepcionais para, ao final, em análise comparativa, tomar por base </w:t>
      </w:r>
      <w:r w:rsidR="000873C7" w:rsidRPr="000873C7">
        <w:rPr>
          <w:rFonts w:ascii="Times New Roman" w:hAnsi="Times New Roman"/>
          <w:sz w:val="24"/>
          <w:szCs w:val="24"/>
        </w:rPr>
        <w:t>o Novo</w:t>
      </w:r>
      <w:r w:rsidR="00A9082D" w:rsidRPr="000873C7">
        <w:rPr>
          <w:rFonts w:ascii="Times New Roman" w:hAnsi="Times New Roman"/>
          <w:sz w:val="24"/>
          <w:szCs w:val="24"/>
        </w:rPr>
        <w:t xml:space="preserve"> Código de Processo Civil.</w:t>
      </w:r>
    </w:p>
    <w:p w:rsidR="002F55F8" w:rsidRPr="000873C7" w:rsidRDefault="002F55F8" w:rsidP="00165BFD">
      <w:pPr>
        <w:spacing w:line="360" w:lineRule="auto"/>
        <w:jc w:val="both"/>
        <w:rPr>
          <w:rFonts w:ascii="Times New Roman" w:hAnsi="Times New Roman"/>
          <w:b/>
          <w:sz w:val="24"/>
          <w:szCs w:val="24"/>
        </w:rPr>
      </w:pPr>
    </w:p>
    <w:p w:rsidR="00A9082D" w:rsidRPr="000873C7" w:rsidRDefault="009E1B46" w:rsidP="00165BFD">
      <w:pPr>
        <w:spacing w:line="360" w:lineRule="auto"/>
        <w:jc w:val="both"/>
        <w:rPr>
          <w:rFonts w:ascii="Times New Roman" w:hAnsi="Times New Roman"/>
          <w:b/>
          <w:sz w:val="24"/>
          <w:szCs w:val="24"/>
        </w:rPr>
      </w:pPr>
      <w:r w:rsidRPr="000873C7">
        <w:rPr>
          <w:rFonts w:ascii="Times New Roman" w:hAnsi="Times New Roman"/>
          <w:b/>
          <w:sz w:val="24"/>
          <w:szCs w:val="24"/>
        </w:rPr>
        <w:t xml:space="preserve">1. </w:t>
      </w:r>
      <w:r w:rsidR="00A9082D" w:rsidRPr="000873C7">
        <w:rPr>
          <w:rFonts w:ascii="Times New Roman" w:hAnsi="Times New Roman"/>
          <w:b/>
          <w:sz w:val="24"/>
          <w:szCs w:val="24"/>
        </w:rPr>
        <w:t>PREQUESTIONAMENTO</w:t>
      </w:r>
    </w:p>
    <w:p w:rsidR="00D5090F" w:rsidRPr="000873C7" w:rsidRDefault="00D5090F" w:rsidP="00165BFD">
      <w:pPr>
        <w:spacing w:line="360" w:lineRule="auto"/>
        <w:jc w:val="both"/>
        <w:rPr>
          <w:rFonts w:ascii="Times New Roman" w:hAnsi="Times New Roman"/>
          <w:sz w:val="24"/>
          <w:szCs w:val="24"/>
        </w:rPr>
      </w:pPr>
    </w:p>
    <w:p w:rsidR="00D5090F" w:rsidRPr="000873C7" w:rsidRDefault="00D5090F"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Inicialmente, é preciso relembrar que o sistema processual brasileiro, em nome da segurança jurídica e também visando </w:t>
      </w:r>
      <w:proofErr w:type="gramStart"/>
      <w:r w:rsidRPr="000873C7">
        <w:rPr>
          <w:rFonts w:ascii="Times New Roman" w:hAnsi="Times New Roman"/>
          <w:sz w:val="24"/>
          <w:szCs w:val="24"/>
        </w:rPr>
        <w:t>a</w:t>
      </w:r>
      <w:proofErr w:type="gramEnd"/>
      <w:r w:rsidRPr="000873C7">
        <w:rPr>
          <w:rFonts w:ascii="Times New Roman" w:hAnsi="Times New Roman"/>
          <w:sz w:val="24"/>
          <w:szCs w:val="24"/>
        </w:rPr>
        <w:t xml:space="preserve"> adequação e justiça dos pronunciamentos judiciais decisórios</w:t>
      </w:r>
      <w:r w:rsidR="00595E8D" w:rsidRPr="000873C7">
        <w:rPr>
          <w:rFonts w:ascii="Times New Roman" w:hAnsi="Times New Roman"/>
          <w:sz w:val="24"/>
          <w:szCs w:val="24"/>
        </w:rPr>
        <w:t>, prevê uma série de recursos que asseguram especialmente o princípio do duplo grau de jurisdição.</w:t>
      </w:r>
    </w:p>
    <w:p w:rsidR="00595E8D" w:rsidRPr="000873C7" w:rsidRDefault="00595E8D"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De outro lado, com o objetivo de resguardar o próprio direito objetivo e garantir a coerência e uniformidade de interpretações por parte do Estado, prevê a Constituição Federal e também o Código de Processo Civil os chamados recursos excepcionais, ou extraordinários, e que se dirigem aos Tribunais Superiores.</w:t>
      </w:r>
    </w:p>
    <w:p w:rsidR="00595E8D" w:rsidRPr="000873C7" w:rsidRDefault="00595E8D"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Considerando, portanto, a </w:t>
      </w:r>
      <w:proofErr w:type="spellStart"/>
      <w:r w:rsidRPr="000873C7">
        <w:rPr>
          <w:rFonts w:ascii="Times New Roman" w:hAnsi="Times New Roman"/>
          <w:sz w:val="24"/>
          <w:szCs w:val="24"/>
        </w:rPr>
        <w:t>expecionalidade</w:t>
      </w:r>
      <w:proofErr w:type="spellEnd"/>
      <w:r w:rsidRPr="000873C7">
        <w:rPr>
          <w:rFonts w:ascii="Times New Roman" w:hAnsi="Times New Roman"/>
          <w:sz w:val="24"/>
          <w:szCs w:val="24"/>
        </w:rPr>
        <w:t xml:space="preserve"> e a finalidade dos mencionados recursos, natural que a sua admissão dependa da observância de todos os pressupostos de admissibilidade inerentes a todos os recursos e também outros requisitos específicos previstos inclusive na própria Constituição Federal.</w:t>
      </w:r>
    </w:p>
    <w:p w:rsidR="00595E8D" w:rsidRPr="000873C7" w:rsidRDefault="00595E8D"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lastRenderedPageBreak/>
        <w:t>Ao longo dos anos restou bastante clara a dificuldade de demonstração de cabimento e, infelizmente, o excesso de rigor por parte dos tribunais no que tange ao juízo de admissibilidade.</w:t>
      </w:r>
    </w:p>
    <w:p w:rsidR="00595E8D" w:rsidRPr="000873C7" w:rsidRDefault="00595E8D"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O chamado prequestionamento se insere no contexto acima, tem suscitado inúmeras discussões no seio da doutrina e jurisprudência e, indiscutivelmente, merece a atenção e a análise de todos, sobretudo em razão da necessidade de equilibrar os diversos valores e princípios processuais que recomendam o maior aproveitamento dos atos processuais e a instrumentalidade do processo e, de outro lado, a pertinência de análise criteriosa das questões consideradas, especialmente pela legislação, como indispensáveis para admissibilidade do recurso.</w:t>
      </w:r>
    </w:p>
    <w:p w:rsidR="00595E8D" w:rsidRPr="000873C7" w:rsidRDefault="008250D5"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A própria conceituação e natureza jurídica do prequestionamento </w:t>
      </w:r>
      <w:proofErr w:type="gramStart"/>
      <w:r w:rsidRPr="000873C7">
        <w:rPr>
          <w:rFonts w:ascii="Times New Roman" w:hAnsi="Times New Roman"/>
          <w:sz w:val="24"/>
          <w:szCs w:val="24"/>
        </w:rPr>
        <w:t>continua</w:t>
      </w:r>
      <w:proofErr w:type="gramEnd"/>
      <w:r w:rsidRPr="000873C7">
        <w:rPr>
          <w:rFonts w:ascii="Times New Roman" w:hAnsi="Times New Roman"/>
          <w:sz w:val="24"/>
          <w:szCs w:val="24"/>
        </w:rPr>
        <w:t xml:space="preserve"> sendo objeto de controvérsias, embora a exigência se apresente por décadas no Brasil. Pressuposto de admissibilidade específico? Exigência ilegal e baseada apenas em jurisprudência defensiva dos Tribunais?</w:t>
      </w:r>
    </w:p>
    <w:p w:rsidR="00D36C71" w:rsidRPr="000873C7" w:rsidRDefault="00D36C71"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O jurista </w:t>
      </w:r>
      <w:proofErr w:type="spellStart"/>
      <w:r w:rsidRPr="000873C7">
        <w:rPr>
          <w:rFonts w:ascii="Times New Roman" w:hAnsi="Times New Roman"/>
          <w:sz w:val="24"/>
          <w:szCs w:val="24"/>
        </w:rPr>
        <w:t>Athos</w:t>
      </w:r>
      <w:proofErr w:type="spellEnd"/>
      <w:r w:rsidRPr="000873C7">
        <w:rPr>
          <w:rFonts w:ascii="Times New Roman" w:hAnsi="Times New Roman"/>
          <w:sz w:val="24"/>
          <w:szCs w:val="24"/>
        </w:rPr>
        <w:t xml:space="preserve"> Gusmão Carneiro, a respeito do assunto, dissertou que:</w:t>
      </w:r>
    </w:p>
    <w:p w:rsidR="00D36C71" w:rsidRPr="000873C7" w:rsidRDefault="00D36C71" w:rsidP="00D36C71">
      <w:pPr>
        <w:spacing w:line="240" w:lineRule="auto"/>
        <w:ind w:left="2340"/>
        <w:jc w:val="both"/>
        <w:rPr>
          <w:rFonts w:ascii="Times New Roman" w:hAnsi="Times New Roman"/>
          <w:sz w:val="20"/>
          <w:szCs w:val="20"/>
        </w:rPr>
      </w:pPr>
      <w:r w:rsidRPr="000873C7">
        <w:rPr>
          <w:rFonts w:ascii="Times New Roman" w:hAnsi="Times New Roman"/>
          <w:sz w:val="20"/>
          <w:szCs w:val="20"/>
        </w:rPr>
        <w:t xml:space="preserve">“Todavia, para que uma determinada questão seja considerada como </w:t>
      </w:r>
      <w:proofErr w:type="spellStart"/>
      <w:r w:rsidRPr="000873C7">
        <w:rPr>
          <w:rFonts w:ascii="Times New Roman" w:hAnsi="Times New Roman"/>
          <w:sz w:val="20"/>
          <w:szCs w:val="20"/>
        </w:rPr>
        <w:t>prequestionada</w:t>
      </w:r>
      <w:proofErr w:type="spellEnd"/>
      <w:r w:rsidRPr="000873C7">
        <w:rPr>
          <w:rFonts w:ascii="Times New Roman" w:hAnsi="Times New Roman"/>
          <w:sz w:val="20"/>
          <w:szCs w:val="20"/>
        </w:rPr>
        <w:t>, não basta que haja sido suscitada pela parte no curso do contraditório, preferentemente com expressa menção à norma de lei federal onde a mesma questão esteja regulamentada. É necessário, mais, que</w:t>
      </w:r>
      <w:proofErr w:type="gramStart"/>
      <w:r w:rsidRPr="000873C7">
        <w:rPr>
          <w:rFonts w:ascii="Times New Roman" w:hAnsi="Times New Roman"/>
          <w:sz w:val="20"/>
          <w:szCs w:val="20"/>
        </w:rPr>
        <w:t xml:space="preserve">  </w:t>
      </w:r>
      <w:proofErr w:type="gramEnd"/>
      <w:r w:rsidRPr="000873C7">
        <w:rPr>
          <w:rFonts w:ascii="Times New Roman" w:hAnsi="Times New Roman"/>
          <w:sz w:val="20"/>
          <w:szCs w:val="20"/>
        </w:rPr>
        <w:t>no aresto recorrido a matéria tenha sido decidida, e decidida manifestamente (não obstante se possa considerar prescindível a expressa menção ao artigo de lei)”</w:t>
      </w:r>
      <w:r w:rsidRPr="000873C7">
        <w:rPr>
          <w:rStyle w:val="Refdenotaderodap"/>
          <w:rFonts w:ascii="Times New Roman" w:hAnsi="Times New Roman"/>
          <w:sz w:val="20"/>
          <w:szCs w:val="20"/>
        </w:rPr>
        <w:footnoteReference w:id="2"/>
      </w:r>
    </w:p>
    <w:p w:rsidR="00D36C71" w:rsidRPr="000873C7" w:rsidRDefault="00D36C71"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Na tentativa de melhor entender a questão a doutrina acabou inclusive a apresentar algumas classificações, tais como prequestionamento implícito</w:t>
      </w:r>
      <w:r w:rsidR="00C637C5" w:rsidRPr="000873C7">
        <w:rPr>
          <w:rStyle w:val="Refdenotaderodap"/>
          <w:rFonts w:ascii="Times New Roman" w:hAnsi="Times New Roman"/>
          <w:sz w:val="24"/>
          <w:szCs w:val="24"/>
        </w:rPr>
        <w:footnoteReference w:id="3"/>
      </w:r>
      <w:r w:rsidRPr="000873C7">
        <w:rPr>
          <w:rFonts w:ascii="Times New Roman" w:hAnsi="Times New Roman"/>
          <w:sz w:val="24"/>
          <w:szCs w:val="24"/>
        </w:rPr>
        <w:t>, expresso, numérico</w:t>
      </w:r>
      <w:r w:rsidR="00C637C5" w:rsidRPr="000873C7">
        <w:rPr>
          <w:rStyle w:val="Refdenotaderodap"/>
          <w:rFonts w:ascii="Times New Roman" w:hAnsi="Times New Roman"/>
          <w:sz w:val="24"/>
          <w:szCs w:val="24"/>
        </w:rPr>
        <w:footnoteReference w:id="4"/>
      </w:r>
      <w:r w:rsidRPr="000873C7">
        <w:rPr>
          <w:rFonts w:ascii="Times New Roman" w:hAnsi="Times New Roman"/>
          <w:sz w:val="24"/>
          <w:szCs w:val="24"/>
        </w:rPr>
        <w:t>.</w:t>
      </w:r>
    </w:p>
    <w:p w:rsidR="00D36C71" w:rsidRPr="000873C7" w:rsidRDefault="00D36C71"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lastRenderedPageBreak/>
        <w:t>A respeito do tema:</w:t>
      </w:r>
    </w:p>
    <w:p w:rsidR="00D36C71" w:rsidRPr="000873C7" w:rsidRDefault="00D36C71" w:rsidP="00D36C71">
      <w:pPr>
        <w:spacing w:line="240" w:lineRule="auto"/>
        <w:ind w:left="2340"/>
        <w:jc w:val="both"/>
        <w:rPr>
          <w:rFonts w:ascii="Times New Roman" w:hAnsi="Times New Roman"/>
          <w:sz w:val="20"/>
          <w:szCs w:val="20"/>
        </w:rPr>
      </w:pPr>
      <w:r w:rsidRPr="000873C7">
        <w:rPr>
          <w:rFonts w:ascii="Times New Roman" w:hAnsi="Times New Roman"/>
          <w:sz w:val="20"/>
          <w:szCs w:val="20"/>
        </w:rPr>
        <w:t>“Questão elegante diz respeito ao intitulado prequestionamento implícito, interpretado de duas formas, a saber: ‘ausência de um pronunciamento explícito do tribunal a quo sobre matéria federal controvertida e o fato de o tribunal não mencionar explicitamente o dispositivo legal tido como violado, apesar de enfrentar a regra nele contida.</w:t>
      </w:r>
      <w:proofErr w:type="gramStart"/>
      <w:r w:rsidRPr="000873C7">
        <w:rPr>
          <w:rFonts w:ascii="Times New Roman" w:hAnsi="Times New Roman"/>
          <w:sz w:val="20"/>
          <w:szCs w:val="20"/>
        </w:rPr>
        <w:t>”</w:t>
      </w:r>
      <w:proofErr w:type="gramEnd"/>
      <w:r w:rsidRPr="000873C7">
        <w:rPr>
          <w:rStyle w:val="Refdenotaderodap"/>
          <w:rFonts w:ascii="Times New Roman" w:hAnsi="Times New Roman"/>
          <w:sz w:val="20"/>
          <w:szCs w:val="20"/>
        </w:rPr>
        <w:footnoteReference w:id="5"/>
      </w:r>
    </w:p>
    <w:p w:rsidR="004B0C38" w:rsidRPr="000873C7" w:rsidRDefault="004B0C38"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A controvérsia acima se mostrou ainda mais presente em razão da Constituição de 1988 </w:t>
      </w:r>
      <w:proofErr w:type="gramStart"/>
      <w:r w:rsidRPr="000873C7">
        <w:rPr>
          <w:rFonts w:ascii="Times New Roman" w:hAnsi="Times New Roman"/>
          <w:sz w:val="24"/>
          <w:szCs w:val="24"/>
        </w:rPr>
        <w:t>deixar</w:t>
      </w:r>
      <w:proofErr w:type="gramEnd"/>
      <w:r w:rsidRPr="000873C7">
        <w:rPr>
          <w:rFonts w:ascii="Times New Roman" w:hAnsi="Times New Roman"/>
          <w:sz w:val="24"/>
          <w:szCs w:val="24"/>
        </w:rPr>
        <w:t xml:space="preserve"> de consignar, ao menos de forma expressa, o prequestionamento como requisito indispensável para admissão dos recursos.</w:t>
      </w:r>
    </w:p>
    <w:p w:rsidR="00D5090F" w:rsidRPr="000873C7" w:rsidRDefault="004B0C38" w:rsidP="00275D5B">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Para melhor entender a questão, é preciso destacar que a Constituição de </w:t>
      </w:r>
      <w:r w:rsidR="00A17A28" w:rsidRPr="000873C7">
        <w:rPr>
          <w:rFonts w:ascii="Times New Roman" w:hAnsi="Times New Roman"/>
          <w:sz w:val="24"/>
          <w:szCs w:val="24"/>
        </w:rPr>
        <w:t xml:space="preserve">Republicana dos Estados Unidos do Brasil de 1891 </w:t>
      </w:r>
      <w:proofErr w:type="gramStart"/>
      <w:r w:rsidR="00A17A28" w:rsidRPr="000873C7">
        <w:rPr>
          <w:rFonts w:ascii="Times New Roman" w:hAnsi="Times New Roman"/>
          <w:sz w:val="24"/>
          <w:szCs w:val="24"/>
        </w:rPr>
        <w:t>exigir</w:t>
      </w:r>
      <w:proofErr w:type="gramEnd"/>
      <w:r w:rsidR="00A17A28" w:rsidRPr="000873C7">
        <w:rPr>
          <w:rFonts w:ascii="Times New Roman" w:hAnsi="Times New Roman"/>
          <w:sz w:val="24"/>
          <w:szCs w:val="24"/>
        </w:rPr>
        <w:t xml:space="preserve"> o prequestionamento como condição para a admissibilidade do recurso excepcional.</w:t>
      </w:r>
    </w:p>
    <w:p w:rsidR="00D5090F" w:rsidRPr="000873C7" w:rsidRDefault="00D5090F" w:rsidP="00275D5B">
      <w:pPr>
        <w:spacing w:line="360" w:lineRule="auto"/>
        <w:ind w:firstLine="720"/>
        <w:jc w:val="both"/>
        <w:rPr>
          <w:rFonts w:ascii="Times New Roman" w:hAnsi="Times New Roman"/>
          <w:sz w:val="24"/>
          <w:szCs w:val="24"/>
        </w:rPr>
      </w:pPr>
      <w:r w:rsidRPr="000873C7">
        <w:rPr>
          <w:rFonts w:ascii="Times New Roman" w:hAnsi="Times New Roman"/>
          <w:sz w:val="24"/>
          <w:szCs w:val="24"/>
        </w:rPr>
        <w:t>A Constituição Republicana de 1934</w:t>
      </w:r>
      <w:r w:rsidR="00A17A28" w:rsidRPr="000873C7">
        <w:rPr>
          <w:rFonts w:ascii="Times New Roman" w:hAnsi="Times New Roman"/>
          <w:sz w:val="24"/>
          <w:szCs w:val="24"/>
        </w:rPr>
        <w:t xml:space="preserve">, apesar dos reflexos dos preceitos militares, continha diversos pontos ligados ao interesse social e, da mesma forma, citava a expressão </w:t>
      </w:r>
      <w:r w:rsidRPr="000873C7">
        <w:rPr>
          <w:rFonts w:ascii="Times New Roman" w:hAnsi="Times New Roman"/>
          <w:sz w:val="24"/>
          <w:szCs w:val="24"/>
        </w:rPr>
        <w:t>"questionar"</w:t>
      </w:r>
      <w:r w:rsidR="00A17A28" w:rsidRPr="000873C7">
        <w:rPr>
          <w:rFonts w:ascii="Times New Roman" w:hAnsi="Times New Roman"/>
          <w:sz w:val="24"/>
          <w:szCs w:val="24"/>
        </w:rPr>
        <w:t xml:space="preserve">, de modo </w:t>
      </w:r>
      <w:proofErr w:type="gramStart"/>
      <w:r w:rsidR="00A17A28" w:rsidRPr="000873C7">
        <w:rPr>
          <w:rFonts w:ascii="Times New Roman" w:hAnsi="Times New Roman"/>
          <w:sz w:val="24"/>
          <w:szCs w:val="24"/>
        </w:rPr>
        <w:t>a</w:t>
      </w:r>
      <w:proofErr w:type="gramEnd"/>
      <w:r w:rsidR="00A17A28" w:rsidRPr="000873C7">
        <w:rPr>
          <w:rFonts w:ascii="Times New Roman" w:hAnsi="Times New Roman"/>
          <w:sz w:val="24"/>
          <w:szCs w:val="24"/>
        </w:rPr>
        <w:t xml:space="preserve"> com isso manter </w:t>
      </w:r>
      <w:r w:rsidRPr="000873C7">
        <w:rPr>
          <w:rFonts w:ascii="Times New Roman" w:hAnsi="Times New Roman"/>
          <w:sz w:val="24"/>
          <w:szCs w:val="24"/>
        </w:rPr>
        <w:t xml:space="preserve">o prequestionamento como requisito elementar </w:t>
      </w:r>
      <w:r w:rsidR="00A17A28" w:rsidRPr="000873C7">
        <w:rPr>
          <w:rFonts w:ascii="Times New Roman" w:hAnsi="Times New Roman"/>
          <w:sz w:val="24"/>
          <w:szCs w:val="24"/>
        </w:rPr>
        <w:t xml:space="preserve">para </w:t>
      </w:r>
      <w:r w:rsidRPr="000873C7">
        <w:rPr>
          <w:rFonts w:ascii="Times New Roman" w:hAnsi="Times New Roman"/>
          <w:sz w:val="24"/>
          <w:szCs w:val="24"/>
        </w:rPr>
        <w:t>a interposição do recurso extraordinário.</w:t>
      </w:r>
    </w:p>
    <w:p w:rsidR="00D5090F" w:rsidRPr="000873C7" w:rsidRDefault="00D5090F" w:rsidP="00275D5B">
      <w:pPr>
        <w:spacing w:line="360" w:lineRule="auto"/>
        <w:ind w:firstLine="720"/>
        <w:jc w:val="both"/>
        <w:rPr>
          <w:rFonts w:ascii="Times New Roman" w:hAnsi="Times New Roman"/>
          <w:sz w:val="24"/>
          <w:szCs w:val="24"/>
        </w:rPr>
      </w:pPr>
      <w:r w:rsidRPr="000873C7">
        <w:rPr>
          <w:rFonts w:ascii="Times New Roman" w:hAnsi="Times New Roman"/>
          <w:sz w:val="24"/>
          <w:szCs w:val="24"/>
        </w:rPr>
        <w:t>A Constituição de 1946</w:t>
      </w:r>
      <w:r w:rsidR="00A17A28" w:rsidRPr="000873C7">
        <w:rPr>
          <w:rFonts w:ascii="Times New Roman" w:hAnsi="Times New Roman"/>
          <w:sz w:val="24"/>
          <w:szCs w:val="24"/>
        </w:rPr>
        <w:t xml:space="preserve"> incluiu o sistema de controle de constitucionalidade</w:t>
      </w:r>
      <w:r w:rsidRPr="000873C7">
        <w:rPr>
          <w:rFonts w:ascii="Times New Roman" w:hAnsi="Times New Roman"/>
          <w:sz w:val="24"/>
          <w:szCs w:val="24"/>
        </w:rPr>
        <w:t xml:space="preserve"> de toda e qualquer lesão de direito, proporcionando a todos o alcance a Carta Política. Todavia, em decorrência de algumas modificações, exclui-se o termo "questionar" em uma das hipóteses </w:t>
      </w:r>
      <w:r w:rsidRPr="000873C7">
        <w:rPr>
          <w:rFonts w:ascii="Times New Roman" w:hAnsi="Times New Roman"/>
          <w:sz w:val="24"/>
          <w:szCs w:val="24"/>
        </w:rPr>
        <w:lastRenderedPageBreak/>
        <w:t>de cabimento do recurso extraordinário, e perante a dispensa do prequestionamento a jurisprudência passou a entender que em razão da natureza de recurso excepcional, não seria necessária a expressa requisição do prequestionamento.</w:t>
      </w:r>
    </w:p>
    <w:p w:rsidR="00264B19" w:rsidRPr="000873C7" w:rsidRDefault="00264B19" w:rsidP="00275D5B">
      <w:pPr>
        <w:spacing w:line="360" w:lineRule="auto"/>
        <w:ind w:firstLine="720"/>
        <w:jc w:val="both"/>
        <w:rPr>
          <w:rFonts w:ascii="Times New Roman" w:hAnsi="Times New Roman"/>
          <w:sz w:val="24"/>
          <w:szCs w:val="24"/>
        </w:rPr>
      </w:pPr>
      <w:smartTag w:uri="urn:schemas-microsoft-com:office:smarttags" w:element="PersonName">
        <w:smartTagPr>
          <w:attr w:name="ProductID" w:val="Em Sess￣o Plen￡ria"/>
        </w:smartTagPr>
        <w:r w:rsidRPr="000873C7">
          <w:rPr>
            <w:rFonts w:ascii="Times New Roman" w:hAnsi="Times New Roman"/>
            <w:sz w:val="24"/>
            <w:szCs w:val="24"/>
          </w:rPr>
          <w:t>Em Sessão Plenária</w:t>
        </w:r>
      </w:smartTag>
      <w:r w:rsidRPr="000873C7">
        <w:rPr>
          <w:rFonts w:ascii="Times New Roman" w:hAnsi="Times New Roman"/>
          <w:sz w:val="24"/>
          <w:szCs w:val="24"/>
        </w:rPr>
        <w:t xml:space="preserve"> de 13 de dezembro de 1963, o Supremo Tribunal Federal editou as duas súmulas mais determinantes a respeito do prequestionamento</w:t>
      </w:r>
      <w:r w:rsidR="00363218" w:rsidRPr="000873C7">
        <w:rPr>
          <w:rFonts w:ascii="Times New Roman" w:hAnsi="Times New Roman"/>
          <w:sz w:val="24"/>
          <w:szCs w:val="24"/>
        </w:rPr>
        <w:t xml:space="preserve"> (Súmulas 282</w:t>
      </w:r>
      <w:r w:rsidR="00363218" w:rsidRPr="000873C7">
        <w:rPr>
          <w:rStyle w:val="Refdenotaderodap"/>
          <w:rFonts w:ascii="Times New Roman" w:hAnsi="Times New Roman"/>
          <w:sz w:val="24"/>
          <w:szCs w:val="24"/>
        </w:rPr>
        <w:footnoteReference w:id="6"/>
      </w:r>
      <w:r w:rsidR="00363218" w:rsidRPr="000873C7">
        <w:rPr>
          <w:rFonts w:ascii="Times New Roman" w:hAnsi="Times New Roman"/>
          <w:sz w:val="24"/>
          <w:szCs w:val="24"/>
        </w:rPr>
        <w:t xml:space="preserve"> e 356</w:t>
      </w:r>
      <w:r w:rsidR="00363218" w:rsidRPr="000873C7">
        <w:rPr>
          <w:rStyle w:val="Refdenotaderodap"/>
          <w:rFonts w:ascii="Times New Roman" w:hAnsi="Times New Roman"/>
          <w:sz w:val="24"/>
          <w:szCs w:val="24"/>
        </w:rPr>
        <w:footnoteReference w:id="7"/>
      </w:r>
      <w:r w:rsidR="00363218" w:rsidRPr="000873C7">
        <w:rPr>
          <w:rFonts w:ascii="Times New Roman" w:hAnsi="Times New Roman"/>
          <w:sz w:val="24"/>
          <w:szCs w:val="24"/>
        </w:rPr>
        <w:t>)</w:t>
      </w:r>
      <w:r w:rsidRPr="000873C7">
        <w:rPr>
          <w:rFonts w:ascii="Times New Roman" w:hAnsi="Times New Roman"/>
          <w:sz w:val="24"/>
          <w:szCs w:val="24"/>
        </w:rPr>
        <w:t xml:space="preserve"> e que servem de base para análise da questão até os dias atuais</w:t>
      </w:r>
      <w:r w:rsidR="000873C7">
        <w:rPr>
          <w:rFonts w:ascii="Times New Roman" w:hAnsi="Times New Roman"/>
          <w:sz w:val="24"/>
          <w:szCs w:val="24"/>
        </w:rPr>
        <w:t>.</w:t>
      </w:r>
    </w:p>
    <w:p w:rsidR="00D5090F" w:rsidRPr="000873C7" w:rsidRDefault="00D5090F" w:rsidP="00275D5B">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A partir de </w:t>
      </w:r>
      <w:smartTag w:uri="urn:schemas-microsoft-com:office:smarttags" w:element="metricconverter">
        <w:smartTagPr>
          <w:attr w:name="ProductID" w:val="1964 a"/>
        </w:smartTagPr>
        <w:r w:rsidRPr="000873C7">
          <w:rPr>
            <w:rFonts w:ascii="Times New Roman" w:hAnsi="Times New Roman"/>
            <w:sz w:val="24"/>
            <w:szCs w:val="24"/>
          </w:rPr>
          <w:t>1964 a</w:t>
        </w:r>
      </w:smartTag>
      <w:r w:rsidRPr="000873C7">
        <w:rPr>
          <w:rFonts w:ascii="Times New Roman" w:hAnsi="Times New Roman"/>
          <w:sz w:val="24"/>
          <w:szCs w:val="24"/>
        </w:rPr>
        <w:t xml:space="preserve"> Constituição fora mutilada pelos Atos Institucionais acabando extinta em 1967.</w:t>
      </w:r>
    </w:p>
    <w:p w:rsidR="00D5090F" w:rsidRPr="000873C7" w:rsidRDefault="00D5090F" w:rsidP="00275D5B">
      <w:pPr>
        <w:spacing w:line="360" w:lineRule="auto"/>
        <w:ind w:firstLine="720"/>
        <w:jc w:val="both"/>
        <w:rPr>
          <w:rFonts w:ascii="Times New Roman" w:hAnsi="Times New Roman"/>
          <w:sz w:val="24"/>
          <w:szCs w:val="24"/>
        </w:rPr>
      </w:pPr>
      <w:r w:rsidRPr="000873C7">
        <w:rPr>
          <w:rFonts w:ascii="Times New Roman" w:hAnsi="Times New Roman"/>
          <w:sz w:val="24"/>
          <w:szCs w:val="24"/>
        </w:rPr>
        <w:t> A Constituição de 1967</w:t>
      </w:r>
      <w:r w:rsidR="00A17A28" w:rsidRPr="000873C7">
        <w:rPr>
          <w:rFonts w:ascii="Times New Roman" w:hAnsi="Times New Roman"/>
          <w:sz w:val="24"/>
          <w:szCs w:val="24"/>
        </w:rPr>
        <w:t>, ao tra</w:t>
      </w:r>
      <w:r w:rsidRPr="000873C7">
        <w:rPr>
          <w:rFonts w:ascii="Times New Roman" w:hAnsi="Times New Roman"/>
          <w:sz w:val="24"/>
          <w:szCs w:val="24"/>
        </w:rPr>
        <w:t>tar de recursos extraordinários, reflete-se no descontentamento com a cláusula de 1946 que mencionava tão apenas a "contrariedade", dando maior amplitude a "negativa de vigência".</w:t>
      </w:r>
      <w:r w:rsidR="00D72951" w:rsidRPr="000873C7">
        <w:rPr>
          <w:rFonts w:ascii="Times New Roman" w:hAnsi="Times New Roman"/>
          <w:sz w:val="24"/>
          <w:szCs w:val="24"/>
        </w:rPr>
        <w:t xml:space="preserve"> Nessa linha, </w:t>
      </w:r>
      <w:r w:rsidRPr="000873C7">
        <w:rPr>
          <w:rFonts w:ascii="Times New Roman" w:hAnsi="Times New Roman"/>
          <w:sz w:val="24"/>
          <w:szCs w:val="24"/>
        </w:rPr>
        <w:t>o prequestionamento não era exigido e os doutrina</w:t>
      </w:r>
      <w:r w:rsidR="000873C7">
        <w:rPr>
          <w:rFonts w:ascii="Times New Roman" w:hAnsi="Times New Roman"/>
          <w:sz w:val="24"/>
          <w:szCs w:val="24"/>
        </w:rPr>
        <w:t>do</w:t>
      </w:r>
      <w:r w:rsidRPr="000873C7">
        <w:rPr>
          <w:rFonts w:ascii="Times New Roman" w:hAnsi="Times New Roman"/>
          <w:sz w:val="24"/>
          <w:szCs w:val="24"/>
        </w:rPr>
        <w:t>res se dividiam entre: inconstitucionalidade em função da ausência do termo, e aplicabilidade, pois o prequestionamento já estaria embutido na tradição jurídica do País.</w:t>
      </w:r>
    </w:p>
    <w:p w:rsidR="00D5090F" w:rsidRPr="000873C7" w:rsidRDefault="00D5090F" w:rsidP="00275D5B">
      <w:pPr>
        <w:spacing w:line="360" w:lineRule="auto"/>
        <w:ind w:firstLine="720"/>
        <w:jc w:val="both"/>
        <w:rPr>
          <w:rFonts w:ascii="Times New Roman" w:hAnsi="Times New Roman"/>
          <w:sz w:val="24"/>
          <w:szCs w:val="24"/>
        </w:rPr>
      </w:pPr>
      <w:r w:rsidRPr="000873C7">
        <w:rPr>
          <w:rFonts w:ascii="Times New Roman" w:hAnsi="Times New Roman"/>
          <w:sz w:val="24"/>
          <w:szCs w:val="24"/>
        </w:rPr>
        <w:t>A Constituição de 1988</w:t>
      </w:r>
      <w:r w:rsidR="00D72951" w:rsidRPr="000873C7">
        <w:rPr>
          <w:rFonts w:ascii="Times New Roman" w:hAnsi="Times New Roman"/>
          <w:sz w:val="24"/>
          <w:szCs w:val="24"/>
        </w:rPr>
        <w:t xml:space="preserve">, ao disciplinar o recurso extraordinário, deixou de fazer menção expressa ao prequestionamento, mas fez constar a competência do Supremo Tribunal Federal para </w:t>
      </w:r>
      <w:r w:rsidR="00D72951" w:rsidRPr="000873C7">
        <w:rPr>
          <w:rFonts w:ascii="Times New Roman" w:hAnsi="Times New Roman"/>
          <w:i/>
          <w:sz w:val="24"/>
          <w:szCs w:val="24"/>
        </w:rPr>
        <w:t>“julgar, mediante recurso extraordinário, as causas decididas, em única ou última instância,...”</w:t>
      </w:r>
      <w:r w:rsidR="00D72951" w:rsidRPr="000873C7">
        <w:rPr>
          <w:rFonts w:ascii="Times New Roman" w:hAnsi="Times New Roman"/>
          <w:sz w:val="24"/>
          <w:szCs w:val="24"/>
        </w:rPr>
        <w:t xml:space="preserve"> (artigo 102, inciso III). Da mesma forma, ao regrar o recurso especial, o legislador constituinte fez constar a competência do Superior Tribunal de Justiça para julgar, em recurso especial, </w:t>
      </w:r>
      <w:r w:rsidR="00D72951" w:rsidRPr="000873C7">
        <w:rPr>
          <w:rFonts w:ascii="Times New Roman" w:hAnsi="Times New Roman"/>
          <w:i/>
          <w:sz w:val="24"/>
          <w:szCs w:val="24"/>
        </w:rPr>
        <w:t>“as causas decididas...”</w:t>
      </w:r>
      <w:r w:rsidR="00D72951" w:rsidRPr="000873C7">
        <w:rPr>
          <w:rFonts w:ascii="Times New Roman" w:hAnsi="Times New Roman"/>
          <w:sz w:val="24"/>
          <w:szCs w:val="24"/>
        </w:rPr>
        <w:t xml:space="preserve"> (artigo 105, inciso III).</w:t>
      </w:r>
    </w:p>
    <w:p w:rsidR="00363218" w:rsidRPr="000873C7" w:rsidRDefault="00363218" w:rsidP="00275D5B">
      <w:pPr>
        <w:spacing w:line="360" w:lineRule="auto"/>
        <w:ind w:firstLine="720"/>
        <w:jc w:val="both"/>
        <w:rPr>
          <w:rFonts w:ascii="Times New Roman" w:hAnsi="Times New Roman"/>
          <w:sz w:val="24"/>
          <w:szCs w:val="24"/>
        </w:rPr>
      </w:pPr>
      <w:r w:rsidRPr="000873C7">
        <w:rPr>
          <w:rFonts w:ascii="Times New Roman" w:hAnsi="Times New Roman"/>
          <w:sz w:val="24"/>
          <w:szCs w:val="24"/>
        </w:rPr>
        <w:t>Sob a égide da Constituição de 1988 foram editadas, pelo Superior Tribunal de Justiça, as súmulas 98</w:t>
      </w:r>
      <w:r w:rsidR="00DF5DAB" w:rsidRPr="000873C7">
        <w:rPr>
          <w:rStyle w:val="Refdenotaderodap"/>
          <w:rFonts w:ascii="Times New Roman" w:hAnsi="Times New Roman"/>
          <w:sz w:val="24"/>
          <w:szCs w:val="24"/>
        </w:rPr>
        <w:footnoteReference w:id="8"/>
      </w:r>
      <w:r w:rsidR="00DF5DAB" w:rsidRPr="000873C7">
        <w:rPr>
          <w:rFonts w:ascii="Times New Roman" w:hAnsi="Times New Roman"/>
          <w:sz w:val="24"/>
          <w:szCs w:val="24"/>
        </w:rPr>
        <w:t xml:space="preserve"> (em 14.04.1994)</w:t>
      </w:r>
      <w:r w:rsidRPr="000873C7">
        <w:rPr>
          <w:rFonts w:ascii="Times New Roman" w:hAnsi="Times New Roman"/>
          <w:sz w:val="24"/>
          <w:szCs w:val="24"/>
        </w:rPr>
        <w:t xml:space="preserve"> e 211</w:t>
      </w:r>
      <w:r w:rsidR="00DF5DAB" w:rsidRPr="000873C7">
        <w:rPr>
          <w:rStyle w:val="Refdenotaderodap"/>
          <w:rFonts w:ascii="Times New Roman" w:hAnsi="Times New Roman"/>
          <w:sz w:val="24"/>
          <w:szCs w:val="24"/>
        </w:rPr>
        <w:footnoteReference w:id="9"/>
      </w:r>
      <w:r w:rsidR="00DF5DAB" w:rsidRPr="000873C7">
        <w:rPr>
          <w:rFonts w:ascii="Times New Roman" w:hAnsi="Times New Roman"/>
          <w:sz w:val="24"/>
          <w:szCs w:val="24"/>
        </w:rPr>
        <w:t xml:space="preserve"> (em 01.07.1998)</w:t>
      </w:r>
      <w:r w:rsidRPr="000873C7">
        <w:rPr>
          <w:rFonts w:ascii="Times New Roman" w:hAnsi="Times New Roman"/>
          <w:sz w:val="24"/>
          <w:szCs w:val="24"/>
        </w:rPr>
        <w:t xml:space="preserve">, que também </w:t>
      </w:r>
      <w:r w:rsidR="00DF5DAB" w:rsidRPr="000873C7">
        <w:rPr>
          <w:rFonts w:ascii="Times New Roman" w:hAnsi="Times New Roman"/>
          <w:sz w:val="24"/>
          <w:szCs w:val="24"/>
        </w:rPr>
        <w:t>trataram da questão do prequestionamento e servem de base para decisões de admissibilidade.</w:t>
      </w:r>
    </w:p>
    <w:p w:rsidR="00D72951" w:rsidRPr="000873C7" w:rsidRDefault="00D72951" w:rsidP="00275D5B">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Com a disposição acima, debruçou-se a doutrina a discutir e a interpretar os dispositivos de modo a entender o prequestionamento como um requisito legal ou talvez uma </w:t>
      </w:r>
      <w:r w:rsidRPr="000873C7">
        <w:rPr>
          <w:rFonts w:ascii="Times New Roman" w:hAnsi="Times New Roman"/>
          <w:sz w:val="24"/>
          <w:szCs w:val="24"/>
        </w:rPr>
        <w:lastRenderedPageBreak/>
        <w:t>simples exigência por parte dos tribunais e decorrente de análise</w:t>
      </w:r>
      <w:r w:rsidR="000109DE" w:rsidRPr="000873C7">
        <w:rPr>
          <w:rFonts w:ascii="Times New Roman" w:hAnsi="Times New Roman"/>
          <w:sz w:val="24"/>
          <w:szCs w:val="24"/>
        </w:rPr>
        <w:t>s</w:t>
      </w:r>
      <w:r w:rsidRPr="000873C7">
        <w:rPr>
          <w:rFonts w:ascii="Times New Roman" w:hAnsi="Times New Roman"/>
          <w:sz w:val="24"/>
          <w:szCs w:val="24"/>
        </w:rPr>
        <w:t xml:space="preserve"> apegadas e normas constitucionais já revogadas, o que seria ilegal.</w:t>
      </w:r>
    </w:p>
    <w:p w:rsidR="000109DE" w:rsidRPr="000873C7" w:rsidRDefault="000109DE" w:rsidP="00275D5B">
      <w:pPr>
        <w:spacing w:line="360" w:lineRule="auto"/>
        <w:ind w:firstLine="720"/>
        <w:jc w:val="both"/>
        <w:rPr>
          <w:rFonts w:ascii="Times New Roman" w:hAnsi="Times New Roman"/>
          <w:sz w:val="24"/>
          <w:szCs w:val="24"/>
        </w:rPr>
      </w:pPr>
      <w:r w:rsidRPr="000873C7">
        <w:rPr>
          <w:rFonts w:ascii="Times New Roman" w:hAnsi="Times New Roman"/>
          <w:sz w:val="24"/>
          <w:szCs w:val="24"/>
        </w:rPr>
        <w:t>O doutrinador Nelson Nery Júnior, em interpretação ao assunto, explica que:</w:t>
      </w:r>
    </w:p>
    <w:p w:rsidR="000109DE" w:rsidRPr="000873C7" w:rsidRDefault="000109DE" w:rsidP="000109DE">
      <w:pPr>
        <w:spacing w:line="240" w:lineRule="auto"/>
        <w:ind w:left="2340"/>
        <w:jc w:val="both"/>
        <w:rPr>
          <w:rFonts w:ascii="Times New Roman" w:hAnsi="Times New Roman"/>
          <w:sz w:val="20"/>
          <w:szCs w:val="20"/>
        </w:rPr>
      </w:pPr>
      <w:r w:rsidRPr="000873C7">
        <w:rPr>
          <w:rFonts w:ascii="Times New Roman" w:hAnsi="Times New Roman"/>
          <w:sz w:val="20"/>
          <w:szCs w:val="20"/>
        </w:rPr>
        <w:t xml:space="preserve">“Por meio do RE, o STF somente revê julgamentos dos tribunais inferiores. Assim, apenas quando tiver sido </w:t>
      </w:r>
      <w:r w:rsidRPr="000873C7">
        <w:rPr>
          <w:rFonts w:ascii="Times New Roman" w:hAnsi="Times New Roman"/>
          <w:i/>
          <w:sz w:val="20"/>
          <w:szCs w:val="20"/>
        </w:rPr>
        <w:t>decidida</w:t>
      </w:r>
      <w:r w:rsidRPr="000873C7">
        <w:rPr>
          <w:rFonts w:ascii="Times New Roman" w:hAnsi="Times New Roman"/>
          <w:sz w:val="20"/>
          <w:szCs w:val="20"/>
        </w:rPr>
        <w:t xml:space="preserve"> a causa é que, em tese cabe RE ao STF, se o recorrente alegar que o tribunal </w:t>
      </w:r>
      <w:r w:rsidRPr="000873C7">
        <w:rPr>
          <w:rFonts w:ascii="Times New Roman" w:hAnsi="Times New Roman"/>
          <w:i/>
          <w:sz w:val="20"/>
          <w:szCs w:val="20"/>
        </w:rPr>
        <w:t>a quo</w:t>
      </w:r>
      <w:r w:rsidRPr="000873C7">
        <w:rPr>
          <w:rFonts w:ascii="Times New Roman" w:hAnsi="Times New Roman"/>
          <w:sz w:val="20"/>
          <w:szCs w:val="20"/>
        </w:rPr>
        <w:t xml:space="preserve"> proferiu julgamento com infringência ao texto constitucional federal. Questão não decidida na instância inferior, não enseja revisão por meio do RE: o que não foi decidido não pode ser revisto. Daí porque tem razão o STF quando exige </w:t>
      </w:r>
      <w:r w:rsidRPr="000873C7">
        <w:rPr>
          <w:rFonts w:ascii="Times New Roman" w:hAnsi="Times New Roman"/>
          <w:i/>
          <w:sz w:val="20"/>
          <w:szCs w:val="20"/>
        </w:rPr>
        <w:t>prequestionamento</w:t>
      </w:r>
      <w:r w:rsidRPr="000873C7">
        <w:rPr>
          <w:rFonts w:ascii="Times New Roman" w:hAnsi="Times New Roman"/>
          <w:sz w:val="20"/>
          <w:szCs w:val="20"/>
        </w:rPr>
        <w:t xml:space="preserve"> da questão constitucional, para que possa conhecer do RE (STF 282 e 356). </w:t>
      </w:r>
      <w:proofErr w:type="spellStart"/>
      <w:r w:rsidRPr="000873C7">
        <w:rPr>
          <w:rFonts w:ascii="Times New Roman" w:hAnsi="Times New Roman"/>
          <w:sz w:val="20"/>
          <w:szCs w:val="20"/>
        </w:rPr>
        <w:t>Prequestionar</w:t>
      </w:r>
      <w:proofErr w:type="spellEnd"/>
      <w:r w:rsidRPr="000873C7">
        <w:rPr>
          <w:rFonts w:ascii="Times New Roman" w:hAnsi="Times New Roman"/>
          <w:sz w:val="20"/>
          <w:szCs w:val="20"/>
        </w:rPr>
        <w:t xml:space="preserve"> significa provocar o tribunal inferior a pronunciar-se sobre a questão constitucional, previamente à interposição do RE. Não havendo sido decidida a questão, se efetivamente alegada anteriormente, a parte terá de opor embargos de declaração (STF 356), para provocar o julgamento do tribunal inferior sobre a questão por ele </w:t>
      </w:r>
      <w:proofErr w:type="spellStart"/>
      <w:r w:rsidRPr="000873C7">
        <w:rPr>
          <w:rFonts w:ascii="Times New Roman" w:hAnsi="Times New Roman"/>
          <w:sz w:val="20"/>
          <w:szCs w:val="20"/>
        </w:rPr>
        <w:t>argüida</w:t>
      </w:r>
      <w:proofErr w:type="spellEnd"/>
      <w:r w:rsidRPr="000873C7">
        <w:rPr>
          <w:rFonts w:ascii="Times New Roman" w:hAnsi="Times New Roman"/>
          <w:sz w:val="20"/>
          <w:szCs w:val="20"/>
        </w:rPr>
        <w:t>.”</w:t>
      </w:r>
      <w:r w:rsidRPr="000873C7">
        <w:rPr>
          <w:rStyle w:val="Refdenotaderodap"/>
          <w:rFonts w:ascii="Times New Roman" w:hAnsi="Times New Roman"/>
          <w:sz w:val="20"/>
          <w:szCs w:val="20"/>
        </w:rPr>
        <w:footnoteReference w:id="10"/>
      </w:r>
    </w:p>
    <w:p w:rsidR="00D72951" w:rsidRPr="000873C7" w:rsidRDefault="000109DE" w:rsidP="00275D5B">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 De fato, a referida interpretação dada ao dispositivo parece convincente e adequada, de modo inclusive a se fazer concluir que o chamado prequestionamento é uma decorrência da disposição Constitucional, que de forma expressa atribui aos Tribunais Superiores a competência para o julgamento dos recursos excepcionais única e exclusivamente para questões já decididas.</w:t>
      </w:r>
    </w:p>
    <w:p w:rsidR="00A9082D" w:rsidRPr="000873C7" w:rsidRDefault="00A9082D" w:rsidP="00165BFD">
      <w:pPr>
        <w:spacing w:line="360" w:lineRule="auto"/>
        <w:jc w:val="both"/>
        <w:rPr>
          <w:rFonts w:ascii="Times New Roman" w:hAnsi="Times New Roman"/>
          <w:sz w:val="24"/>
          <w:szCs w:val="24"/>
        </w:rPr>
      </w:pPr>
    </w:p>
    <w:p w:rsidR="004B44E5" w:rsidRPr="000873C7" w:rsidRDefault="00264B19" w:rsidP="00165BFD">
      <w:pPr>
        <w:spacing w:line="360" w:lineRule="auto"/>
        <w:jc w:val="both"/>
        <w:rPr>
          <w:rFonts w:ascii="Times New Roman" w:hAnsi="Times New Roman"/>
          <w:b/>
          <w:sz w:val="24"/>
          <w:szCs w:val="24"/>
        </w:rPr>
      </w:pPr>
      <w:r w:rsidRPr="000873C7">
        <w:rPr>
          <w:rFonts w:ascii="Times New Roman" w:hAnsi="Times New Roman"/>
          <w:b/>
          <w:sz w:val="24"/>
          <w:szCs w:val="24"/>
        </w:rPr>
        <w:t xml:space="preserve">2. </w:t>
      </w:r>
      <w:r w:rsidR="00693E0B" w:rsidRPr="000873C7">
        <w:rPr>
          <w:rFonts w:ascii="Times New Roman" w:hAnsi="Times New Roman"/>
          <w:b/>
          <w:sz w:val="24"/>
          <w:szCs w:val="24"/>
        </w:rPr>
        <w:t xml:space="preserve">EMBARGOS DE DECLARAÇAO </w:t>
      </w:r>
    </w:p>
    <w:p w:rsidR="00264B19" w:rsidRPr="000873C7" w:rsidRDefault="00264B19" w:rsidP="00165BFD">
      <w:pPr>
        <w:spacing w:line="360" w:lineRule="auto"/>
        <w:jc w:val="both"/>
        <w:rPr>
          <w:rFonts w:ascii="Times New Roman" w:hAnsi="Times New Roman"/>
          <w:b/>
          <w:sz w:val="24"/>
          <w:szCs w:val="24"/>
        </w:rPr>
      </w:pPr>
    </w:p>
    <w:p w:rsidR="004B44E5" w:rsidRPr="000873C7" w:rsidRDefault="004B44E5"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Como é sabido, embora ainda restem algumas discussões a respeito do assunto, certo é que o legislador processual tipificou os embargos de declaração como uma das espécies de recurso.</w:t>
      </w:r>
      <w:r w:rsidR="00CC0B82" w:rsidRPr="000873C7">
        <w:rPr>
          <w:rFonts w:ascii="Times New Roman" w:hAnsi="Times New Roman"/>
          <w:sz w:val="24"/>
          <w:szCs w:val="24"/>
        </w:rPr>
        <w:t xml:space="preserve"> Nesse sentido, esclarece Teresa Arruda Alvim </w:t>
      </w:r>
      <w:proofErr w:type="spellStart"/>
      <w:r w:rsidR="00CC0B82" w:rsidRPr="000873C7">
        <w:rPr>
          <w:rFonts w:ascii="Times New Roman" w:hAnsi="Times New Roman"/>
          <w:sz w:val="24"/>
          <w:szCs w:val="24"/>
        </w:rPr>
        <w:t>Wambier</w:t>
      </w:r>
      <w:proofErr w:type="spellEnd"/>
      <w:r w:rsidR="00CC0B82" w:rsidRPr="000873C7">
        <w:rPr>
          <w:rFonts w:ascii="Times New Roman" w:hAnsi="Times New Roman"/>
          <w:sz w:val="24"/>
          <w:szCs w:val="24"/>
        </w:rPr>
        <w:t xml:space="preserve"> que </w:t>
      </w:r>
      <w:r w:rsidR="00CC0B82" w:rsidRPr="000873C7">
        <w:rPr>
          <w:rFonts w:ascii="Times New Roman" w:hAnsi="Times New Roman"/>
          <w:i/>
          <w:sz w:val="24"/>
          <w:szCs w:val="24"/>
        </w:rPr>
        <w:t>“os embargos de declaração são um recurso no direito brasileiro”</w:t>
      </w:r>
      <w:r w:rsidR="00CC0B82" w:rsidRPr="000873C7">
        <w:rPr>
          <w:rStyle w:val="Refdenotaderodap"/>
          <w:rFonts w:ascii="Times New Roman" w:hAnsi="Times New Roman"/>
          <w:i/>
          <w:sz w:val="24"/>
          <w:szCs w:val="24"/>
        </w:rPr>
        <w:footnoteReference w:id="11"/>
      </w:r>
      <w:r w:rsidR="00CC0B82" w:rsidRPr="000873C7">
        <w:rPr>
          <w:rFonts w:ascii="Times New Roman" w:hAnsi="Times New Roman"/>
          <w:sz w:val="24"/>
          <w:szCs w:val="24"/>
        </w:rPr>
        <w:t>.</w:t>
      </w:r>
    </w:p>
    <w:p w:rsidR="004B44E5" w:rsidRPr="000873C7" w:rsidRDefault="004B44E5"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Ocorre </w:t>
      </w:r>
      <w:r w:rsidR="007F2474" w:rsidRPr="000873C7">
        <w:rPr>
          <w:rFonts w:ascii="Times New Roman" w:hAnsi="Times New Roman"/>
          <w:sz w:val="24"/>
          <w:szCs w:val="24"/>
        </w:rPr>
        <w:t xml:space="preserve">entretanto </w:t>
      </w:r>
      <w:r w:rsidRPr="000873C7">
        <w:rPr>
          <w:rFonts w:ascii="Times New Roman" w:hAnsi="Times New Roman"/>
          <w:sz w:val="24"/>
          <w:szCs w:val="24"/>
        </w:rPr>
        <w:t xml:space="preserve">que, diferentemente dos demais recursos, que têm por objetivo propiciar o reexame e eventual reforma das decisões judiciais, os embargos de declaração foram criados com o objetivo de </w:t>
      </w:r>
      <w:r w:rsidR="00AE19CA" w:rsidRPr="000873C7">
        <w:rPr>
          <w:rFonts w:ascii="Times New Roman" w:hAnsi="Times New Roman"/>
          <w:sz w:val="24"/>
          <w:szCs w:val="24"/>
        </w:rPr>
        <w:t>assegurar</w:t>
      </w:r>
      <w:r w:rsidRPr="000873C7">
        <w:rPr>
          <w:rFonts w:ascii="Times New Roman" w:hAnsi="Times New Roman"/>
          <w:sz w:val="24"/>
          <w:szCs w:val="24"/>
        </w:rPr>
        <w:t xml:space="preserve"> a clareza e precisão dos pronunciamentos decisórios, garantindo-se a sua integração, complementação, esclarecimento e, com isso, sanando-se eventuais vícios decorrentes de omissão, obscuridade ou contradição.</w:t>
      </w:r>
    </w:p>
    <w:p w:rsidR="00C569BA" w:rsidRPr="000873C7" w:rsidRDefault="00C569BA"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A respeito do assunto:</w:t>
      </w:r>
    </w:p>
    <w:p w:rsidR="00B97944" w:rsidRPr="000873C7" w:rsidRDefault="00B97944" w:rsidP="00165BFD">
      <w:pPr>
        <w:spacing w:line="240" w:lineRule="auto"/>
        <w:ind w:left="2340"/>
        <w:jc w:val="both"/>
        <w:rPr>
          <w:rFonts w:ascii="Times New Roman" w:hAnsi="Times New Roman"/>
          <w:sz w:val="20"/>
          <w:szCs w:val="20"/>
        </w:rPr>
      </w:pPr>
      <w:r w:rsidRPr="000873C7">
        <w:rPr>
          <w:rFonts w:ascii="Times New Roman" w:hAnsi="Times New Roman"/>
          <w:sz w:val="20"/>
          <w:szCs w:val="20"/>
        </w:rPr>
        <w:lastRenderedPageBreak/>
        <w:t>“O instrumento de que a parte se vale para pedir ao magistrado prolator de uma dada sentença que a esclareça, em seus pontos obscuros, ou a complete, quando omissa, ou, finalmente, que lhe repare ou elimine eventuais contradições que porventura contenha. Os embargos de declaração oferecem o exemplo mais rigoroso e completo de recurso apenas com efeito de retratação, sem qualquer devolução a algum órgão jurisdicional superior. Ele é interposto sempre perante o magistrado prolator da decisão impugnada, para ser por ele próprio julgado.”</w:t>
      </w:r>
      <w:r w:rsidR="00AE19CA" w:rsidRPr="000873C7">
        <w:rPr>
          <w:rFonts w:ascii="Times New Roman" w:hAnsi="Times New Roman"/>
          <w:sz w:val="20"/>
          <w:szCs w:val="20"/>
        </w:rPr>
        <w:t xml:space="preserve"> (</w:t>
      </w:r>
      <w:r w:rsidRPr="000873C7">
        <w:rPr>
          <w:rFonts w:ascii="Times New Roman" w:hAnsi="Times New Roman"/>
          <w:sz w:val="20"/>
          <w:szCs w:val="20"/>
        </w:rPr>
        <w:t>SILVA, Ovídio Baptista da. Curso de Processo Civil. Editora Forense, 7ª edição. Rio de Janeiro, 2005, v.1.</w:t>
      </w:r>
      <w:r w:rsidR="00AE19CA" w:rsidRPr="000873C7">
        <w:rPr>
          <w:rFonts w:ascii="Times New Roman" w:hAnsi="Times New Roman"/>
          <w:sz w:val="20"/>
          <w:szCs w:val="20"/>
        </w:rPr>
        <w:t>)</w:t>
      </w:r>
    </w:p>
    <w:p w:rsidR="00B97944" w:rsidRPr="000873C7" w:rsidRDefault="00AE19CA" w:rsidP="00165BFD">
      <w:pPr>
        <w:spacing w:line="240" w:lineRule="auto"/>
        <w:ind w:left="2340"/>
        <w:jc w:val="both"/>
        <w:rPr>
          <w:rFonts w:ascii="Times New Roman" w:hAnsi="Times New Roman"/>
          <w:sz w:val="24"/>
          <w:szCs w:val="24"/>
        </w:rPr>
      </w:pPr>
      <w:r w:rsidRPr="000873C7">
        <w:rPr>
          <w:rFonts w:ascii="Times New Roman" w:hAnsi="Times New Roman"/>
          <w:sz w:val="24"/>
          <w:szCs w:val="24"/>
        </w:rPr>
        <w:t xml:space="preserve"> </w:t>
      </w:r>
    </w:p>
    <w:p w:rsidR="00E85248" w:rsidRPr="000873C7" w:rsidRDefault="00E85248"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A natureza jurídica dos embargos mereceu, nesse ponto, tratamento semelhante no Novo C</w:t>
      </w:r>
      <w:r w:rsidR="000873C7">
        <w:rPr>
          <w:rFonts w:ascii="Times New Roman" w:hAnsi="Times New Roman"/>
          <w:sz w:val="24"/>
          <w:szCs w:val="24"/>
        </w:rPr>
        <w:t>ódigo de Processo Civil</w:t>
      </w:r>
      <w:r w:rsidRPr="000873C7">
        <w:rPr>
          <w:rFonts w:ascii="Times New Roman" w:hAnsi="Times New Roman"/>
          <w:sz w:val="24"/>
          <w:szCs w:val="24"/>
        </w:rPr>
        <w:t xml:space="preserve">, que mais uma vez o elenca no rol dos recursos </w:t>
      </w:r>
      <w:r w:rsidR="000873C7">
        <w:rPr>
          <w:rFonts w:ascii="Times New Roman" w:hAnsi="Times New Roman"/>
          <w:sz w:val="24"/>
          <w:szCs w:val="24"/>
        </w:rPr>
        <w:t xml:space="preserve">(artigo 994, IV) </w:t>
      </w:r>
      <w:r w:rsidRPr="000873C7">
        <w:rPr>
          <w:rFonts w:ascii="Times New Roman" w:hAnsi="Times New Roman"/>
          <w:sz w:val="24"/>
          <w:szCs w:val="24"/>
        </w:rPr>
        <w:t xml:space="preserve">e, portanto, respeita as discussões já travadas e o entendimento consagrado </w:t>
      </w:r>
      <w:r w:rsidR="00AE19CA" w:rsidRPr="000873C7">
        <w:rPr>
          <w:rFonts w:ascii="Times New Roman" w:hAnsi="Times New Roman"/>
          <w:sz w:val="24"/>
          <w:szCs w:val="24"/>
        </w:rPr>
        <w:t xml:space="preserve">pela doutrina e jurisprudência, ainda que ponderadas lições e distinções finalísticas como a apresentada acima pelo doutrinador Candido Rangel </w:t>
      </w:r>
      <w:proofErr w:type="spellStart"/>
      <w:r w:rsidR="00AE19CA" w:rsidRPr="000873C7">
        <w:rPr>
          <w:rFonts w:ascii="Times New Roman" w:hAnsi="Times New Roman"/>
          <w:sz w:val="24"/>
          <w:szCs w:val="24"/>
        </w:rPr>
        <w:t>Dinamarco</w:t>
      </w:r>
      <w:proofErr w:type="spellEnd"/>
      <w:r w:rsidR="00AE19CA" w:rsidRPr="000873C7">
        <w:rPr>
          <w:rFonts w:ascii="Times New Roman" w:hAnsi="Times New Roman"/>
          <w:sz w:val="24"/>
          <w:szCs w:val="24"/>
        </w:rPr>
        <w:t>.</w:t>
      </w:r>
    </w:p>
    <w:p w:rsidR="002F55F8" w:rsidRPr="000873C7" w:rsidRDefault="002F55F8" w:rsidP="00165BFD">
      <w:pPr>
        <w:spacing w:line="360" w:lineRule="auto"/>
        <w:jc w:val="both"/>
        <w:rPr>
          <w:rFonts w:ascii="Times New Roman" w:hAnsi="Times New Roman"/>
          <w:b/>
          <w:sz w:val="24"/>
          <w:szCs w:val="24"/>
        </w:rPr>
      </w:pPr>
    </w:p>
    <w:p w:rsidR="00C569BA" w:rsidRPr="000873C7" w:rsidRDefault="00264B19" w:rsidP="00165BFD">
      <w:pPr>
        <w:spacing w:line="360" w:lineRule="auto"/>
        <w:jc w:val="both"/>
        <w:rPr>
          <w:rFonts w:ascii="Times New Roman" w:hAnsi="Times New Roman"/>
          <w:b/>
          <w:sz w:val="24"/>
          <w:szCs w:val="24"/>
        </w:rPr>
      </w:pPr>
      <w:r w:rsidRPr="000873C7">
        <w:rPr>
          <w:rFonts w:ascii="Times New Roman" w:hAnsi="Times New Roman"/>
          <w:b/>
          <w:sz w:val="24"/>
          <w:szCs w:val="24"/>
        </w:rPr>
        <w:t xml:space="preserve">2.1. </w:t>
      </w:r>
      <w:r w:rsidR="00694C14" w:rsidRPr="000873C7">
        <w:rPr>
          <w:rFonts w:ascii="Times New Roman" w:hAnsi="Times New Roman"/>
          <w:b/>
          <w:sz w:val="24"/>
          <w:szCs w:val="24"/>
        </w:rPr>
        <w:t>CABIMENTO</w:t>
      </w:r>
    </w:p>
    <w:p w:rsidR="002F55F8" w:rsidRPr="000873C7" w:rsidRDefault="002F55F8" w:rsidP="00165BFD">
      <w:pPr>
        <w:spacing w:line="360" w:lineRule="auto"/>
        <w:jc w:val="both"/>
        <w:rPr>
          <w:rFonts w:ascii="Times New Roman" w:hAnsi="Times New Roman"/>
          <w:b/>
          <w:sz w:val="24"/>
          <w:szCs w:val="24"/>
        </w:rPr>
      </w:pPr>
    </w:p>
    <w:p w:rsidR="00694C14" w:rsidRPr="000873C7" w:rsidRDefault="00694C14"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Tendo por base o disposto nos artigos 162 e 163 do Código de Processo Civil, prevê o artigo 535 que os atos judiciais que comportam embargos de declaração são a sentença ou o acórdão.</w:t>
      </w:r>
    </w:p>
    <w:p w:rsidR="00694C14" w:rsidRPr="000873C7" w:rsidRDefault="00694C14"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Com relação ao despacho, </w:t>
      </w:r>
      <w:r w:rsidR="00DE049E" w:rsidRPr="000873C7">
        <w:rPr>
          <w:rFonts w:ascii="Times New Roman" w:hAnsi="Times New Roman"/>
          <w:sz w:val="24"/>
          <w:szCs w:val="24"/>
        </w:rPr>
        <w:t>considerando as suas características, natural que não se pense em qualquer tipo de recurso, sobretudo considerando a inexistência de conteúdo decisório e sua finalidade de mera organização e impulso processual. Além disso, como já amplamente discutido, sobrevindo prejuízo do despacho, ainda que em tese, é de se caracterizar o ato como decisão interlocutória e, para aqueles com alguma resistência à tese</w:t>
      </w:r>
      <w:r w:rsidR="00263B9A" w:rsidRPr="000873C7">
        <w:rPr>
          <w:rFonts w:ascii="Times New Roman" w:hAnsi="Times New Roman"/>
          <w:sz w:val="24"/>
          <w:szCs w:val="24"/>
        </w:rPr>
        <w:t>, bastaria a manifestação simples das partes para tornar controvertida a questão e ensejar a correção do eventual vício ou a análise e efetiva decisão judicial a respeito da matéria, abrindo-se caminho, a partir daí, para a utilização dos recursos previstos na legislação.</w:t>
      </w:r>
    </w:p>
    <w:p w:rsidR="005363FB" w:rsidRPr="000873C7" w:rsidRDefault="005363FB"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Aliás, o artigo </w:t>
      </w:r>
      <w:r w:rsidR="00D26B8D" w:rsidRPr="000873C7">
        <w:rPr>
          <w:rFonts w:ascii="Times New Roman" w:hAnsi="Times New Roman"/>
          <w:sz w:val="24"/>
          <w:szCs w:val="24"/>
        </w:rPr>
        <w:t>504</w:t>
      </w:r>
      <w:r w:rsidRPr="000873C7">
        <w:rPr>
          <w:rFonts w:ascii="Times New Roman" w:hAnsi="Times New Roman"/>
          <w:sz w:val="24"/>
          <w:szCs w:val="24"/>
        </w:rPr>
        <w:t xml:space="preserve"> expressamente estabeleceu que o despacho</w:t>
      </w:r>
      <w:r w:rsidR="00D26B8D" w:rsidRPr="000873C7">
        <w:rPr>
          <w:rFonts w:ascii="Times New Roman" w:hAnsi="Times New Roman"/>
          <w:sz w:val="24"/>
          <w:szCs w:val="24"/>
        </w:rPr>
        <w:t xml:space="preserve"> de mero expediente</w:t>
      </w:r>
      <w:r w:rsidRPr="000873C7">
        <w:rPr>
          <w:rFonts w:ascii="Times New Roman" w:hAnsi="Times New Roman"/>
          <w:sz w:val="24"/>
          <w:szCs w:val="24"/>
        </w:rPr>
        <w:t xml:space="preserve"> é irrecorrível, sendo certo que a mesma disposição é repetida no </w:t>
      </w:r>
      <w:r w:rsidR="000873C7">
        <w:rPr>
          <w:rFonts w:ascii="Times New Roman" w:hAnsi="Times New Roman"/>
          <w:sz w:val="24"/>
          <w:szCs w:val="24"/>
        </w:rPr>
        <w:t xml:space="preserve">Novo </w:t>
      </w:r>
      <w:r w:rsidRPr="000873C7">
        <w:rPr>
          <w:rFonts w:ascii="Times New Roman" w:hAnsi="Times New Roman"/>
          <w:sz w:val="24"/>
          <w:szCs w:val="24"/>
        </w:rPr>
        <w:t xml:space="preserve">Código de Processo Civil (artigo </w:t>
      </w:r>
      <w:r w:rsidR="000873C7">
        <w:rPr>
          <w:rFonts w:ascii="Times New Roman" w:hAnsi="Times New Roman"/>
          <w:sz w:val="24"/>
          <w:szCs w:val="24"/>
        </w:rPr>
        <w:t>1001</w:t>
      </w:r>
      <w:r w:rsidR="00FF3ED4" w:rsidRPr="000873C7">
        <w:rPr>
          <w:rStyle w:val="Refdenotaderodap"/>
          <w:rFonts w:ascii="Times New Roman" w:hAnsi="Times New Roman"/>
          <w:sz w:val="24"/>
          <w:szCs w:val="24"/>
        </w:rPr>
        <w:footnoteReference w:id="12"/>
      </w:r>
      <w:r w:rsidRPr="000873C7">
        <w:rPr>
          <w:rFonts w:ascii="Times New Roman" w:hAnsi="Times New Roman"/>
          <w:sz w:val="24"/>
          <w:szCs w:val="24"/>
        </w:rPr>
        <w:t>).</w:t>
      </w:r>
    </w:p>
    <w:p w:rsidR="005363FB" w:rsidRPr="000873C7" w:rsidRDefault="005363FB"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lastRenderedPageBreak/>
        <w:t xml:space="preserve">Entretanto, inexiste qualquer justificativa ou fundamento para impedir a utilização dos embargos para as decisões interlocutórias. Com efeito, para além do conteúdo decisório inerente ao referido pronunciamento judicial, nos últimos anos as decisões interlocutórias ganharam ainda maior importância, especialmente quando, proferidas em sede de antecipação de tutela, acabam por apreciar inclusive o mérito da causa e implicar, em inúmeras vezes, </w:t>
      </w:r>
      <w:r w:rsidR="00AE19CA" w:rsidRPr="000873C7">
        <w:rPr>
          <w:rFonts w:ascii="Times New Roman" w:hAnsi="Times New Roman"/>
          <w:sz w:val="24"/>
          <w:szCs w:val="24"/>
        </w:rPr>
        <w:t xml:space="preserve">em </w:t>
      </w:r>
      <w:r w:rsidRPr="000873C7">
        <w:rPr>
          <w:rFonts w:ascii="Times New Roman" w:hAnsi="Times New Roman"/>
          <w:sz w:val="24"/>
          <w:szCs w:val="24"/>
        </w:rPr>
        <w:t>medidas executivas imediatas.</w:t>
      </w:r>
    </w:p>
    <w:p w:rsidR="005363FB" w:rsidRPr="000873C7" w:rsidRDefault="005363FB"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Como todo e qualquer pronunciamento judicial</w:t>
      </w:r>
      <w:r w:rsidR="0049618C" w:rsidRPr="000873C7">
        <w:rPr>
          <w:rFonts w:ascii="Times New Roman" w:hAnsi="Times New Roman"/>
          <w:sz w:val="24"/>
          <w:szCs w:val="24"/>
        </w:rPr>
        <w:t xml:space="preserve"> com conteúdo decisório, as interlocutórias exigem adequada motivação, o que pressupõe clareza e precisão por parte do julgador e podem se apresentar, em outra via, com obscuridade, contradição ou omissão.</w:t>
      </w:r>
    </w:p>
    <w:p w:rsidR="0049618C" w:rsidRPr="000873C7" w:rsidRDefault="00BE1ADB"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Por esse motivo, o Novo CPC adequou a redação acerca do cabimen</w:t>
      </w:r>
      <w:r w:rsidR="00AE19CA" w:rsidRPr="000873C7">
        <w:rPr>
          <w:rFonts w:ascii="Times New Roman" w:hAnsi="Times New Roman"/>
          <w:sz w:val="24"/>
          <w:szCs w:val="24"/>
        </w:rPr>
        <w:t>to do recurso, dispondo que cabem embargos contra qualquer decisão monocrática ou colegiada.</w:t>
      </w:r>
    </w:p>
    <w:p w:rsidR="00E16879" w:rsidRPr="000873C7" w:rsidRDefault="00E16879"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Com isso, consagrou-se o entendimento já consolidado no sentido de que todo e qualquer pronunciamento judicial decisório, quer seja monocrático ou colegiado, comporta recurso de embargos de declaração.</w:t>
      </w:r>
    </w:p>
    <w:p w:rsidR="00E16879" w:rsidRPr="000873C7" w:rsidRDefault="00E16879"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Evidente que, para além disso, é preciso que se verifiquem as hipóteses específicas de cabimento e que se relacionam com a existência, em tese, de obscuridade, contradição ou omissão no ato judicial.</w:t>
      </w:r>
    </w:p>
    <w:p w:rsidR="00632E20" w:rsidRPr="000873C7" w:rsidRDefault="00E16879"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Para disciplinar a questão o Código de Processo Civil prevê a possibilidade de embargos de declaração</w:t>
      </w:r>
      <w:r w:rsidR="00632E20">
        <w:rPr>
          <w:rFonts w:ascii="Times New Roman" w:hAnsi="Times New Roman"/>
          <w:sz w:val="24"/>
          <w:szCs w:val="24"/>
        </w:rPr>
        <w:t xml:space="preserve"> (artigo 1022)</w:t>
      </w:r>
      <w:r w:rsidRPr="000873C7">
        <w:rPr>
          <w:rFonts w:ascii="Times New Roman" w:hAnsi="Times New Roman"/>
          <w:sz w:val="24"/>
          <w:szCs w:val="24"/>
        </w:rPr>
        <w:t>: para esclarecer obscuridade ou eliminar contradição; suprir omissão de ponto sobre o qual devia pronunciar-se o juiz</w:t>
      </w:r>
      <w:r w:rsidR="00632E20">
        <w:rPr>
          <w:rFonts w:ascii="Times New Roman" w:hAnsi="Times New Roman"/>
          <w:sz w:val="24"/>
          <w:szCs w:val="24"/>
        </w:rPr>
        <w:t xml:space="preserve"> de ofício ou a requerimento</w:t>
      </w:r>
      <w:r w:rsidRPr="000873C7">
        <w:rPr>
          <w:rFonts w:ascii="Times New Roman" w:hAnsi="Times New Roman"/>
          <w:sz w:val="24"/>
          <w:szCs w:val="24"/>
        </w:rPr>
        <w:t>; e/ou corrigir erro material.</w:t>
      </w:r>
      <w:bookmarkStart w:id="1" w:name="art1022i"/>
      <w:bookmarkEnd w:id="1"/>
    </w:p>
    <w:p w:rsidR="00E16879" w:rsidRPr="000873C7" w:rsidRDefault="00E16879"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A novidade proposta, nesse ponto, foi a inclusão da possibilidade de correção de erro material como hipótese específica de embargos de declaração. É preciso lembrar que o atual artigo 463 estabelece que, independentemente de embargos de declaração, pode o juiz alterar a sentença após a sua publicação para lhe corrigir, de ofício ou a requerimento da parte, inexatidões materiais, ou lhe retificar erros de cálculo.</w:t>
      </w:r>
    </w:p>
    <w:p w:rsidR="00E16879" w:rsidRPr="000873C7" w:rsidRDefault="00E16879"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Embora se possa discutir </w:t>
      </w:r>
      <w:r w:rsidR="001E466E" w:rsidRPr="000873C7">
        <w:rPr>
          <w:rFonts w:ascii="Times New Roman" w:hAnsi="Times New Roman"/>
          <w:sz w:val="24"/>
          <w:szCs w:val="24"/>
        </w:rPr>
        <w:t xml:space="preserve">o benefício da proposta em razão da maior simplicidade que, teoricamente, o atual CPC impõe </w:t>
      </w:r>
      <w:r w:rsidR="00632E20">
        <w:rPr>
          <w:rFonts w:ascii="Times New Roman" w:hAnsi="Times New Roman"/>
          <w:sz w:val="24"/>
          <w:szCs w:val="24"/>
        </w:rPr>
        <w:t>à</w:t>
      </w:r>
      <w:r w:rsidR="001E466E" w:rsidRPr="000873C7">
        <w:rPr>
          <w:rFonts w:ascii="Times New Roman" w:hAnsi="Times New Roman"/>
          <w:sz w:val="24"/>
          <w:szCs w:val="24"/>
        </w:rPr>
        <w:t xml:space="preserve"> matéria, indiscutivelmente o </w:t>
      </w:r>
      <w:r w:rsidR="00632E20">
        <w:rPr>
          <w:rFonts w:ascii="Times New Roman" w:hAnsi="Times New Roman"/>
          <w:sz w:val="24"/>
          <w:szCs w:val="24"/>
        </w:rPr>
        <w:t xml:space="preserve">Novo </w:t>
      </w:r>
      <w:r w:rsidR="001E466E" w:rsidRPr="000873C7">
        <w:rPr>
          <w:rFonts w:ascii="Times New Roman" w:hAnsi="Times New Roman"/>
          <w:sz w:val="24"/>
          <w:szCs w:val="24"/>
        </w:rPr>
        <w:t>C</w:t>
      </w:r>
      <w:r w:rsidR="00632E20">
        <w:rPr>
          <w:rFonts w:ascii="Times New Roman" w:hAnsi="Times New Roman"/>
          <w:sz w:val="24"/>
          <w:szCs w:val="24"/>
        </w:rPr>
        <w:t>PC</w:t>
      </w:r>
      <w:r w:rsidR="001E466E" w:rsidRPr="000873C7">
        <w:rPr>
          <w:rFonts w:ascii="Times New Roman" w:hAnsi="Times New Roman"/>
          <w:sz w:val="24"/>
          <w:szCs w:val="24"/>
        </w:rPr>
        <w:t>, nesse ponto, dará maior segurança para as partes, sobretudo em razão da interrupção dos prazos para interposição dos outros eventuais recursos.</w:t>
      </w:r>
    </w:p>
    <w:p w:rsidR="001E466E" w:rsidRPr="000873C7" w:rsidRDefault="001E466E"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lastRenderedPageBreak/>
        <w:t xml:space="preserve">Aliás, a prática forense já indica a </w:t>
      </w:r>
      <w:proofErr w:type="spellStart"/>
      <w:r w:rsidRPr="000873C7">
        <w:rPr>
          <w:rFonts w:ascii="Times New Roman" w:hAnsi="Times New Roman"/>
          <w:sz w:val="24"/>
          <w:szCs w:val="24"/>
        </w:rPr>
        <w:t>freqüente</w:t>
      </w:r>
      <w:proofErr w:type="spellEnd"/>
      <w:r w:rsidRPr="000873C7">
        <w:rPr>
          <w:rFonts w:ascii="Times New Roman" w:hAnsi="Times New Roman"/>
          <w:sz w:val="24"/>
          <w:szCs w:val="24"/>
        </w:rPr>
        <w:t xml:space="preserve"> utilização dos embargos de declaração pelas partes ainda que para simples correção de erro material, especialmente em razão do receio de não conhecimento da questão pelo julgador e eventual caracterização posterior de preclusão na oportunidade da interposição do recurso principal.</w:t>
      </w:r>
    </w:p>
    <w:p w:rsidR="001E466E" w:rsidRPr="000873C7" w:rsidRDefault="001E466E"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O efeito processual dos embargos de declaração e a própria simplicidade de sua apresentação justifica</w:t>
      </w:r>
      <w:r w:rsidR="007F2474" w:rsidRPr="000873C7">
        <w:rPr>
          <w:rFonts w:ascii="Times New Roman" w:hAnsi="Times New Roman"/>
          <w:sz w:val="24"/>
          <w:szCs w:val="24"/>
        </w:rPr>
        <w:t>m</w:t>
      </w:r>
      <w:r w:rsidRPr="000873C7">
        <w:rPr>
          <w:rFonts w:ascii="Times New Roman" w:hAnsi="Times New Roman"/>
          <w:sz w:val="24"/>
          <w:szCs w:val="24"/>
        </w:rPr>
        <w:t xml:space="preserve"> a utilização dos embargos e, portanto, a inclusão de maneira expressa do erro material como uma das hipóteses de cabimento dos embargos de declaração no código projetado. </w:t>
      </w:r>
    </w:p>
    <w:p w:rsidR="001E466E" w:rsidRPr="000873C7" w:rsidRDefault="001E466E"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Apenas para que se registre, considera-se obscuro o pronunciamento judicial que carece de clareza e que, portanto, dificult</w:t>
      </w:r>
      <w:r w:rsidR="007F2474" w:rsidRPr="000873C7">
        <w:rPr>
          <w:rFonts w:ascii="Times New Roman" w:hAnsi="Times New Roman"/>
          <w:sz w:val="24"/>
          <w:szCs w:val="24"/>
        </w:rPr>
        <w:t>e</w:t>
      </w:r>
      <w:r w:rsidRPr="000873C7">
        <w:rPr>
          <w:rFonts w:ascii="Times New Roman" w:hAnsi="Times New Roman"/>
          <w:sz w:val="24"/>
          <w:szCs w:val="24"/>
        </w:rPr>
        <w:t xml:space="preserve"> a própria inteligência do ato e, com isso, o convencimento das partes e a eventual interposição de recurso. Considerando a necessidade de motivação das decisões judiciais prevista no artigo 93, IX, da Constituição Federal, indispensável que as referidas decisões se apresentem de maneira clara, coerente e precisa.</w:t>
      </w:r>
    </w:p>
    <w:p w:rsidR="001E466E" w:rsidRPr="000873C7" w:rsidRDefault="001E466E"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Contradição, por sua vez, é a existência de proposições inconciliáveis integrando o próprio pronunciamento judicial. É a mais clara incoerência </w:t>
      </w:r>
      <w:r w:rsidR="007A0B3E" w:rsidRPr="000873C7">
        <w:rPr>
          <w:rFonts w:ascii="Times New Roman" w:hAnsi="Times New Roman"/>
          <w:sz w:val="24"/>
          <w:szCs w:val="24"/>
        </w:rPr>
        <w:t>com que se pode apresentar a decisão, que, nesse ponto, não se apresenta como uma simples obscuridade, mas como a aposição de fundamentos, argumentos ou decisões  contrárias entre si e presentes no próprio ato. Em outras palavras, é possível que o ato decisório seja absolutamente claro e preciso, padecendo, contudo, do vício da contradição em razão da apresentação, por exemp</w:t>
      </w:r>
      <w:r w:rsidR="007F2474" w:rsidRPr="000873C7">
        <w:rPr>
          <w:rFonts w:ascii="Times New Roman" w:hAnsi="Times New Roman"/>
          <w:sz w:val="24"/>
          <w:szCs w:val="24"/>
        </w:rPr>
        <w:t xml:space="preserve">lo, de conclusão completamente </w:t>
      </w:r>
      <w:r w:rsidR="007A0B3E" w:rsidRPr="000873C7">
        <w:rPr>
          <w:rFonts w:ascii="Times New Roman" w:hAnsi="Times New Roman"/>
          <w:sz w:val="24"/>
          <w:szCs w:val="24"/>
        </w:rPr>
        <w:t xml:space="preserve">contrária logicamente aos fundamentos utilizados ou, ainda, apresentando argumentos inconciliáveis e </w:t>
      </w:r>
      <w:r w:rsidR="007F2474" w:rsidRPr="000873C7">
        <w:rPr>
          <w:rFonts w:ascii="Times New Roman" w:hAnsi="Times New Roman"/>
          <w:sz w:val="24"/>
          <w:szCs w:val="24"/>
        </w:rPr>
        <w:t>opostos</w:t>
      </w:r>
      <w:r w:rsidR="007A0B3E" w:rsidRPr="000873C7">
        <w:rPr>
          <w:rFonts w:ascii="Times New Roman" w:hAnsi="Times New Roman"/>
          <w:sz w:val="24"/>
          <w:szCs w:val="24"/>
        </w:rPr>
        <w:t xml:space="preserve"> que acabam por fragilizar e tornar talvez insustentáve</w:t>
      </w:r>
      <w:r w:rsidR="007F2474" w:rsidRPr="000873C7">
        <w:rPr>
          <w:rFonts w:ascii="Times New Roman" w:hAnsi="Times New Roman"/>
          <w:sz w:val="24"/>
          <w:szCs w:val="24"/>
        </w:rPr>
        <w:t>is</w:t>
      </w:r>
      <w:r w:rsidR="007A0B3E" w:rsidRPr="000873C7">
        <w:rPr>
          <w:rFonts w:ascii="Times New Roman" w:hAnsi="Times New Roman"/>
          <w:sz w:val="24"/>
          <w:szCs w:val="24"/>
        </w:rPr>
        <w:t xml:space="preserve"> as conclusões. </w:t>
      </w:r>
    </w:p>
    <w:p w:rsidR="007A0B3E" w:rsidRPr="000873C7" w:rsidRDefault="007A0B3E"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Por fim, omissão é a inexistência de pronunciamento judicial a respeito de ponto sobre o qual deveria o juiz ou tribunal expressamente se pronunciar. A não apreciação de todos os pedidos formulados representa clara situação de omissão por parte do julgador. Entretanto, nem sempre se mostra clara a omissão, sobretudo quando envolve a abordagem de matérias não relacionadas diretamente aos pedidos mas que, em verdade, serviriam de base argumentativa (fática ou legal) sustentada pelas partes.</w:t>
      </w:r>
    </w:p>
    <w:p w:rsidR="007A0B3E" w:rsidRPr="000873C7" w:rsidRDefault="007A0B3E"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Nesse ponto, para que se caracterize a omissão é preciso que fique clara a pertinência da questão invocada, que pode se relacionar a apreciação de fatos, provas ou mesmo de teses jurídicas. Referida pertinência pressupõe a necessidade de análise da questão em razão da </w:t>
      </w:r>
      <w:r w:rsidRPr="000873C7">
        <w:rPr>
          <w:rFonts w:ascii="Times New Roman" w:hAnsi="Times New Roman"/>
          <w:sz w:val="24"/>
          <w:szCs w:val="24"/>
        </w:rPr>
        <w:lastRenderedPageBreak/>
        <w:t xml:space="preserve">possibilidade de interferência direta na decisão judicial. É preciso equilibrar </w:t>
      </w:r>
      <w:r w:rsidR="00F1262E" w:rsidRPr="000873C7">
        <w:rPr>
          <w:rFonts w:ascii="Times New Roman" w:hAnsi="Times New Roman"/>
          <w:sz w:val="24"/>
          <w:szCs w:val="24"/>
        </w:rPr>
        <w:t>os valores que se apresentam diante do caso concreto para que se possa concluir, de maneira segura, se o juiz ou tribunal deveria, verdadeiramente, apreciar a questão invocada ou se, por outro lado, os argumentos se apresentam apenas para protelar o andamento do feito ou para trazer aos autos inovações indesejadas, inoportunas e impertinentes.</w:t>
      </w:r>
    </w:p>
    <w:p w:rsidR="00FF3ED4" w:rsidRPr="000873C7" w:rsidRDefault="00FF3ED4"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Nos ensinamentos de Marcus Vinicius Rios Gonçalves:</w:t>
      </w:r>
    </w:p>
    <w:p w:rsidR="00FF3ED4" w:rsidRPr="00632E20" w:rsidRDefault="00FF3ED4" w:rsidP="00A3174F">
      <w:pPr>
        <w:spacing w:line="240" w:lineRule="auto"/>
        <w:ind w:left="2340"/>
        <w:jc w:val="both"/>
        <w:rPr>
          <w:rFonts w:ascii="Times New Roman" w:hAnsi="Times New Roman"/>
          <w:sz w:val="20"/>
          <w:szCs w:val="20"/>
        </w:rPr>
      </w:pPr>
      <w:r w:rsidRPr="00632E20">
        <w:rPr>
          <w:rFonts w:ascii="Times New Roman" w:hAnsi="Times New Roman"/>
          <w:sz w:val="20"/>
          <w:szCs w:val="20"/>
        </w:rPr>
        <w:t>“a) Obscuridade: é a falta de clareza do ato. As decisões judiciais devem ser compreendidas por seus destinatários. Por isso, devem ser redigidas em linguagem clara, que expresse de forma inteligível o pensamento do autor.[...]</w:t>
      </w:r>
    </w:p>
    <w:p w:rsidR="00FF3ED4" w:rsidRPr="00632E20" w:rsidRDefault="00FF3ED4" w:rsidP="00A3174F">
      <w:pPr>
        <w:spacing w:line="240" w:lineRule="auto"/>
        <w:ind w:left="2340"/>
        <w:jc w:val="both"/>
        <w:rPr>
          <w:rFonts w:ascii="Times New Roman" w:hAnsi="Times New Roman"/>
          <w:sz w:val="20"/>
          <w:szCs w:val="20"/>
        </w:rPr>
      </w:pPr>
      <w:r w:rsidRPr="00632E20">
        <w:rPr>
          <w:rFonts w:ascii="Times New Roman" w:hAnsi="Times New Roman"/>
          <w:sz w:val="20"/>
          <w:szCs w:val="20"/>
        </w:rPr>
        <w:t>b) Contradição: é a falta de coerência da decisão, que deve ser lógica. Por contradição se entende a afirmação contrária a algo que se disse anteriormente. A decisão contraditória é aquela que contém partes que conflitam entre si, ou afirmações que se rechaçam ou anulam. São contraditórias as sentenças em que o dispositivo não mantém coerência lógica com a fundamentação, ou tem duas ou mais partes inconciliáveis, ou que se excluam. [...]</w:t>
      </w:r>
    </w:p>
    <w:p w:rsidR="00FF3ED4" w:rsidRPr="00632E20" w:rsidRDefault="00FF3ED4" w:rsidP="00A3174F">
      <w:pPr>
        <w:spacing w:line="240" w:lineRule="auto"/>
        <w:ind w:left="2340"/>
        <w:jc w:val="both"/>
        <w:rPr>
          <w:rFonts w:ascii="Times New Roman" w:hAnsi="Times New Roman"/>
          <w:sz w:val="20"/>
          <w:szCs w:val="20"/>
        </w:rPr>
      </w:pPr>
      <w:r w:rsidRPr="00632E20">
        <w:rPr>
          <w:rFonts w:ascii="Times New Roman" w:hAnsi="Times New Roman"/>
          <w:sz w:val="20"/>
          <w:szCs w:val="20"/>
        </w:rPr>
        <w:t xml:space="preserve">c) Omissão: será omissa a decisão se houve alguma lacuna, uma falta, algo relevante que deveria ter sido apreciado pelo juiz e não foi. E a sentença, se tiver deixado de apreciar algum ponto relevante, seja referente aos pedidos, seja aos fundamentos da pretensão </w:t>
      </w:r>
      <w:r w:rsidR="00A3174F" w:rsidRPr="00632E20">
        <w:rPr>
          <w:rFonts w:ascii="Times New Roman" w:hAnsi="Times New Roman"/>
          <w:sz w:val="20"/>
          <w:szCs w:val="20"/>
        </w:rPr>
        <w:t>ou defesa. Sempre, pois, que deixar de mencionar algo que devia ser examinado.”</w:t>
      </w:r>
    </w:p>
    <w:p w:rsidR="00F1262E" w:rsidRDefault="00F1262E"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Os tribunais, a respeito do assunto, vêm constantemente se posicionando no sentido de que não se pode exigir o pronunciamento acerca de todos os argumentos jurídicos apresentados pelas partes quando os já analisados são suficientes e pertinentes para o deslinde da causa</w:t>
      </w:r>
      <w:r w:rsidR="00A3174F" w:rsidRPr="000873C7">
        <w:rPr>
          <w:rStyle w:val="Refdenotaderodap"/>
          <w:rFonts w:ascii="Times New Roman" w:hAnsi="Times New Roman"/>
          <w:sz w:val="24"/>
          <w:szCs w:val="24"/>
        </w:rPr>
        <w:footnoteReference w:id="13"/>
      </w:r>
      <w:r w:rsidR="00A3174F" w:rsidRPr="000873C7">
        <w:rPr>
          <w:rFonts w:ascii="Times New Roman" w:hAnsi="Times New Roman"/>
          <w:sz w:val="24"/>
          <w:szCs w:val="24"/>
        </w:rPr>
        <w:t xml:space="preserve">. </w:t>
      </w:r>
      <w:r w:rsidRPr="000873C7">
        <w:rPr>
          <w:rFonts w:ascii="Times New Roman" w:hAnsi="Times New Roman"/>
          <w:sz w:val="24"/>
          <w:szCs w:val="24"/>
        </w:rPr>
        <w:t>Respeitados os excessos e restrições das partes e dos julgadores, o cabimento dos embargos exigem realmente a demonstração da omissão sobre ponto de relevância e que, por isso, deve ser apreciado pelo julgador, ainda que seja para aclarar posicionamentos jurídicos que, uma vez presentes, podem ensejar a interposição de outros recursos.</w:t>
      </w:r>
      <w:r w:rsidR="00632E20">
        <w:rPr>
          <w:rFonts w:ascii="Times New Roman" w:hAnsi="Times New Roman"/>
          <w:sz w:val="24"/>
          <w:szCs w:val="24"/>
        </w:rPr>
        <w:t xml:space="preserve"> Também por isso se fez constar no Novo CPC que se considera omissa a decisão que deixe de se manifestar sobre tese firmada em julgamento de casos repetitivos ou em incidente de assunção de competência aplicável ao caso sob julgamento (artigo 1022, parágrafo único, inciso I); e que inc</w:t>
      </w:r>
      <w:r w:rsidR="009C43A3">
        <w:rPr>
          <w:rFonts w:ascii="Times New Roman" w:hAnsi="Times New Roman"/>
          <w:sz w:val="24"/>
          <w:szCs w:val="24"/>
        </w:rPr>
        <w:t xml:space="preserve">orra em </w:t>
      </w:r>
      <w:r w:rsidR="009C43A3">
        <w:rPr>
          <w:rFonts w:ascii="Times New Roman" w:hAnsi="Times New Roman"/>
          <w:sz w:val="24"/>
          <w:szCs w:val="24"/>
        </w:rPr>
        <w:lastRenderedPageBreak/>
        <w:t>qualquer das condutas consideradas como ausência de fundamentação da sentença</w:t>
      </w:r>
      <w:r w:rsidR="00632E20">
        <w:rPr>
          <w:rFonts w:ascii="Times New Roman" w:hAnsi="Times New Roman"/>
          <w:sz w:val="24"/>
          <w:szCs w:val="24"/>
        </w:rPr>
        <w:t xml:space="preserve"> no artigo 489, §1º (artigo 1022, parágrafo único, inciso I).</w:t>
      </w:r>
    </w:p>
    <w:p w:rsidR="00F1262E" w:rsidRPr="000873C7" w:rsidRDefault="009C43A3" w:rsidP="00165BFD">
      <w:pPr>
        <w:spacing w:line="360" w:lineRule="auto"/>
        <w:ind w:firstLine="720"/>
        <w:jc w:val="both"/>
        <w:rPr>
          <w:rFonts w:ascii="Times New Roman" w:hAnsi="Times New Roman"/>
          <w:sz w:val="24"/>
          <w:szCs w:val="24"/>
        </w:rPr>
      </w:pPr>
      <w:bookmarkStart w:id="2" w:name="art1022p"/>
      <w:bookmarkStart w:id="3" w:name="art1022pii"/>
      <w:bookmarkEnd w:id="2"/>
      <w:bookmarkEnd w:id="3"/>
      <w:r>
        <w:rPr>
          <w:rFonts w:ascii="Times New Roman" w:hAnsi="Times New Roman"/>
          <w:sz w:val="24"/>
          <w:szCs w:val="24"/>
        </w:rPr>
        <w:t xml:space="preserve"> </w:t>
      </w:r>
      <w:r w:rsidR="00F1262E" w:rsidRPr="000873C7">
        <w:rPr>
          <w:rFonts w:ascii="Times New Roman" w:hAnsi="Times New Roman"/>
          <w:sz w:val="24"/>
          <w:szCs w:val="24"/>
        </w:rPr>
        <w:t>Quando se trabalha com a questão e a dificuldade decorrente do chamado prequestionamento, todas as hipóteses de cabimento dos embargos de declaração são úteis e frequentemente utilizadas, mas sem dúvida alguma a omissão é a que mais comporta discussões e que, no presente trabalho, será objeto de maior enfoque.</w:t>
      </w:r>
    </w:p>
    <w:p w:rsidR="00E16879" w:rsidRPr="000873C7" w:rsidRDefault="00E16879" w:rsidP="00165BFD">
      <w:pPr>
        <w:spacing w:line="360" w:lineRule="auto"/>
        <w:jc w:val="both"/>
        <w:rPr>
          <w:rFonts w:ascii="Times New Roman" w:hAnsi="Times New Roman"/>
          <w:sz w:val="24"/>
          <w:szCs w:val="24"/>
        </w:rPr>
      </w:pPr>
    </w:p>
    <w:p w:rsidR="005927AC" w:rsidRPr="000873C7" w:rsidRDefault="00264B19" w:rsidP="00165BFD">
      <w:pPr>
        <w:spacing w:line="360" w:lineRule="auto"/>
        <w:jc w:val="both"/>
        <w:rPr>
          <w:rFonts w:ascii="Times New Roman" w:hAnsi="Times New Roman"/>
          <w:b/>
          <w:sz w:val="24"/>
          <w:szCs w:val="24"/>
        </w:rPr>
      </w:pPr>
      <w:r w:rsidRPr="000873C7">
        <w:rPr>
          <w:rFonts w:ascii="Times New Roman" w:hAnsi="Times New Roman"/>
          <w:b/>
          <w:sz w:val="24"/>
          <w:szCs w:val="24"/>
        </w:rPr>
        <w:t xml:space="preserve">2.2. </w:t>
      </w:r>
      <w:r w:rsidR="005927AC" w:rsidRPr="000873C7">
        <w:rPr>
          <w:rFonts w:ascii="Times New Roman" w:hAnsi="Times New Roman"/>
          <w:b/>
          <w:sz w:val="24"/>
          <w:szCs w:val="24"/>
        </w:rPr>
        <w:t>EMBARGOS DE DECLARAÇÃO E EFEITO MODIFICATIVO</w:t>
      </w:r>
    </w:p>
    <w:p w:rsidR="00847FD2" w:rsidRPr="000873C7" w:rsidRDefault="00847FD2" w:rsidP="00165BFD">
      <w:pPr>
        <w:spacing w:line="360" w:lineRule="auto"/>
        <w:jc w:val="both"/>
        <w:rPr>
          <w:rFonts w:ascii="Times New Roman" w:hAnsi="Times New Roman"/>
          <w:b/>
          <w:sz w:val="24"/>
          <w:szCs w:val="24"/>
        </w:rPr>
      </w:pPr>
    </w:p>
    <w:p w:rsidR="005927AC" w:rsidRPr="000873C7" w:rsidRDefault="005927AC" w:rsidP="00165BFD">
      <w:pPr>
        <w:tabs>
          <w:tab w:val="left" w:pos="720"/>
        </w:tabs>
        <w:spacing w:line="360" w:lineRule="auto"/>
        <w:ind w:firstLine="720"/>
        <w:jc w:val="both"/>
        <w:rPr>
          <w:rFonts w:ascii="Times New Roman" w:hAnsi="Times New Roman"/>
          <w:sz w:val="24"/>
          <w:szCs w:val="24"/>
        </w:rPr>
      </w:pPr>
      <w:r w:rsidRPr="000873C7">
        <w:rPr>
          <w:rFonts w:ascii="Times New Roman" w:hAnsi="Times New Roman"/>
          <w:sz w:val="24"/>
          <w:szCs w:val="24"/>
        </w:rPr>
        <w:t>Como é sabido</w:t>
      </w:r>
      <w:r w:rsidR="009F7155" w:rsidRPr="000873C7">
        <w:rPr>
          <w:rFonts w:ascii="Times New Roman" w:hAnsi="Times New Roman"/>
          <w:sz w:val="24"/>
          <w:szCs w:val="24"/>
        </w:rPr>
        <w:t>, os embargos de declaração objetivam a integração, clareza e precisão do pronunciamento decisório, o que inclusive levou e ainda leva a discussões a respeito da sua natureza jurídica e caracterização como recurso.</w:t>
      </w:r>
    </w:p>
    <w:p w:rsidR="009F7155" w:rsidRPr="000873C7" w:rsidRDefault="009F7155" w:rsidP="00165BFD">
      <w:pPr>
        <w:tabs>
          <w:tab w:val="left" w:pos="720"/>
        </w:tabs>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Com efeito, </w:t>
      </w:r>
      <w:r w:rsidR="007F2474" w:rsidRPr="000873C7">
        <w:rPr>
          <w:rFonts w:ascii="Times New Roman" w:hAnsi="Times New Roman"/>
          <w:sz w:val="24"/>
          <w:szCs w:val="24"/>
        </w:rPr>
        <w:t xml:space="preserve">como já dito, </w:t>
      </w:r>
      <w:r w:rsidRPr="000873C7">
        <w:rPr>
          <w:rFonts w:ascii="Times New Roman" w:hAnsi="Times New Roman"/>
          <w:sz w:val="24"/>
          <w:szCs w:val="24"/>
        </w:rPr>
        <w:t>é da essência dos recursos a busca pelo reexame do julgado, de forma integral ou parcial, por outro órgão julgador, com o objetivo primordial de alcançar a reforma do próprio ato. Nos embargos, ao contrário, não se fala em reexame, não se leva a questão ao conhecimento de outro órgão julgador e não se pretende, ao menos em regra, a reforma do ato judicial, daí porque ambas as partes têm interesse e podem apresentar e o próprio julgador o aprecia.</w:t>
      </w:r>
    </w:p>
    <w:p w:rsidR="009F57C6" w:rsidRPr="000873C7" w:rsidRDefault="009F57C6" w:rsidP="009F57C6">
      <w:pPr>
        <w:tabs>
          <w:tab w:val="left" w:pos="720"/>
        </w:tabs>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Teresa Arruda Alvim </w:t>
      </w:r>
      <w:proofErr w:type="spellStart"/>
      <w:r w:rsidRPr="000873C7">
        <w:rPr>
          <w:rFonts w:ascii="Times New Roman" w:hAnsi="Times New Roman"/>
          <w:sz w:val="24"/>
          <w:szCs w:val="24"/>
        </w:rPr>
        <w:t>Wambier</w:t>
      </w:r>
      <w:proofErr w:type="spellEnd"/>
      <w:r w:rsidRPr="000873C7">
        <w:rPr>
          <w:rFonts w:ascii="Times New Roman" w:hAnsi="Times New Roman"/>
          <w:sz w:val="24"/>
          <w:szCs w:val="24"/>
        </w:rPr>
        <w:t xml:space="preserve"> </w:t>
      </w:r>
      <w:proofErr w:type="spellStart"/>
      <w:r w:rsidRPr="000873C7">
        <w:rPr>
          <w:rFonts w:ascii="Times New Roman" w:hAnsi="Times New Roman"/>
          <w:sz w:val="24"/>
          <w:szCs w:val="24"/>
        </w:rPr>
        <w:t>aﬁrma</w:t>
      </w:r>
      <w:proofErr w:type="spellEnd"/>
      <w:r w:rsidRPr="000873C7">
        <w:rPr>
          <w:rFonts w:ascii="Times New Roman" w:hAnsi="Times New Roman"/>
          <w:sz w:val="24"/>
          <w:szCs w:val="24"/>
        </w:rPr>
        <w:t xml:space="preserve"> que os embargos de declaração “tem efeito devolutivo restrito à matéria impugnada, que se consubstancia no vício apontado na decisão: obscuridade, contradição e omissão”</w:t>
      </w:r>
      <w:r w:rsidRPr="000873C7">
        <w:rPr>
          <w:rStyle w:val="Refdenotaderodap"/>
          <w:rFonts w:ascii="Times New Roman" w:hAnsi="Times New Roman"/>
          <w:sz w:val="24"/>
          <w:szCs w:val="24"/>
        </w:rPr>
        <w:footnoteReference w:id="14"/>
      </w:r>
      <w:r w:rsidRPr="000873C7">
        <w:rPr>
          <w:rFonts w:ascii="Times New Roman" w:hAnsi="Times New Roman"/>
          <w:sz w:val="24"/>
          <w:szCs w:val="24"/>
        </w:rPr>
        <w:t xml:space="preserve">. No mesmo sentido, </w:t>
      </w:r>
      <w:proofErr w:type="spellStart"/>
      <w:r w:rsidRPr="000873C7">
        <w:rPr>
          <w:rFonts w:ascii="Times New Roman" w:hAnsi="Times New Roman"/>
          <w:sz w:val="24"/>
          <w:szCs w:val="24"/>
        </w:rPr>
        <w:t>Araken</w:t>
      </w:r>
      <w:proofErr w:type="spellEnd"/>
      <w:r w:rsidRPr="000873C7">
        <w:rPr>
          <w:rFonts w:ascii="Times New Roman" w:hAnsi="Times New Roman"/>
          <w:sz w:val="24"/>
          <w:szCs w:val="24"/>
        </w:rPr>
        <w:t xml:space="preserve"> de Assis leciona que “o efeito devolutivo dos embargos de declaração implica a remessa direta e automática da matéria controvertida ao órgão judiciário que emitiu o provimento”</w:t>
      </w:r>
      <w:r w:rsidRPr="000873C7">
        <w:rPr>
          <w:rStyle w:val="Refdenotaderodap"/>
          <w:rFonts w:ascii="Times New Roman" w:hAnsi="Times New Roman"/>
          <w:sz w:val="24"/>
          <w:szCs w:val="24"/>
        </w:rPr>
        <w:footnoteReference w:id="15"/>
      </w:r>
      <w:r w:rsidRPr="000873C7">
        <w:rPr>
          <w:rFonts w:ascii="Times New Roman" w:hAnsi="Times New Roman"/>
          <w:sz w:val="24"/>
          <w:szCs w:val="24"/>
        </w:rPr>
        <w:t xml:space="preserve">. </w:t>
      </w:r>
    </w:p>
    <w:p w:rsidR="009F7155" w:rsidRPr="000873C7" w:rsidRDefault="009F7155" w:rsidP="00A3174F">
      <w:pPr>
        <w:tabs>
          <w:tab w:val="left" w:pos="720"/>
        </w:tabs>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Contudo, indiscutivelmente existem situações em que, constatada a obscuridade, contradição ou omissão, o conhecimento dos embargos de declaração levará a modificação do próprio pronunciamento judicial. Ao referido fenômeno passou a doutrina a denominar de embargos de declaração com efeito modificativo. Nesse sentido: </w:t>
      </w:r>
    </w:p>
    <w:p w:rsidR="00A3174F" w:rsidRPr="009C43A3" w:rsidRDefault="00A3174F" w:rsidP="00A3174F">
      <w:pPr>
        <w:tabs>
          <w:tab w:val="left" w:pos="720"/>
        </w:tabs>
        <w:spacing w:line="240" w:lineRule="auto"/>
        <w:ind w:left="2340"/>
        <w:jc w:val="both"/>
        <w:rPr>
          <w:rFonts w:ascii="Times New Roman" w:hAnsi="Times New Roman"/>
          <w:sz w:val="20"/>
          <w:szCs w:val="20"/>
        </w:rPr>
      </w:pPr>
      <w:r w:rsidRPr="009C43A3">
        <w:rPr>
          <w:rFonts w:ascii="Times New Roman" w:hAnsi="Times New Roman"/>
          <w:sz w:val="20"/>
          <w:szCs w:val="20"/>
        </w:rPr>
        <w:lastRenderedPageBreak/>
        <w:t xml:space="preserve">“Os </w:t>
      </w:r>
      <w:proofErr w:type="spellStart"/>
      <w:r w:rsidRPr="009C43A3">
        <w:rPr>
          <w:rFonts w:ascii="Times New Roman" w:hAnsi="Times New Roman"/>
          <w:sz w:val="20"/>
          <w:szCs w:val="20"/>
        </w:rPr>
        <w:t>EDcl</w:t>
      </w:r>
      <w:proofErr w:type="spellEnd"/>
      <w:r w:rsidRPr="009C43A3">
        <w:rPr>
          <w:rFonts w:ascii="Times New Roman" w:hAnsi="Times New Roman"/>
          <w:sz w:val="20"/>
          <w:szCs w:val="20"/>
        </w:rPr>
        <w:t xml:space="preserve"> podem ter, excepcionalmente, caráter infringente quando utilizados para: a) correção de erro material manifesto; b) suprimento de omissão; c) extirpação de contradição. A </w:t>
      </w:r>
      <w:proofErr w:type="spellStart"/>
      <w:r w:rsidRPr="009C43A3">
        <w:rPr>
          <w:rFonts w:ascii="Times New Roman" w:hAnsi="Times New Roman"/>
          <w:sz w:val="20"/>
          <w:szCs w:val="20"/>
        </w:rPr>
        <w:t>infringênia</w:t>
      </w:r>
      <w:proofErr w:type="spellEnd"/>
      <w:r w:rsidRPr="009C43A3">
        <w:rPr>
          <w:rFonts w:ascii="Times New Roman" w:hAnsi="Times New Roman"/>
          <w:sz w:val="20"/>
          <w:szCs w:val="20"/>
        </w:rPr>
        <w:t xml:space="preserve"> do julgado pode ser apenas a </w:t>
      </w:r>
      <w:proofErr w:type="spellStart"/>
      <w:r w:rsidRPr="009C43A3">
        <w:rPr>
          <w:rFonts w:ascii="Times New Roman" w:hAnsi="Times New Roman"/>
          <w:sz w:val="20"/>
          <w:szCs w:val="20"/>
        </w:rPr>
        <w:t>conseqüência</w:t>
      </w:r>
      <w:proofErr w:type="spellEnd"/>
      <w:r w:rsidRPr="009C43A3">
        <w:rPr>
          <w:rFonts w:ascii="Times New Roman" w:hAnsi="Times New Roman"/>
          <w:sz w:val="20"/>
          <w:szCs w:val="20"/>
        </w:rPr>
        <w:t xml:space="preserve"> do provimento dos </w:t>
      </w:r>
      <w:proofErr w:type="spellStart"/>
      <w:r w:rsidRPr="009C43A3">
        <w:rPr>
          <w:rFonts w:ascii="Times New Roman" w:hAnsi="Times New Roman"/>
          <w:sz w:val="20"/>
          <w:szCs w:val="20"/>
        </w:rPr>
        <w:t>EDcl</w:t>
      </w:r>
      <w:proofErr w:type="spellEnd"/>
      <w:r w:rsidRPr="009C43A3">
        <w:rPr>
          <w:rFonts w:ascii="Times New Roman" w:hAnsi="Times New Roman"/>
          <w:sz w:val="20"/>
          <w:szCs w:val="20"/>
        </w:rPr>
        <w:t>.”</w:t>
      </w:r>
      <w:r w:rsidRPr="009C43A3">
        <w:rPr>
          <w:rStyle w:val="Refdenotaderodap"/>
          <w:rFonts w:ascii="Times New Roman" w:hAnsi="Times New Roman"/>
          <w:sz w:val="20"/>
          <w:szCs w:val="20"/>
        </w:rPr>
        <w:footnoteReference w:id="16"/>
      </w:r>
    </w:p>
    <w:p w:rsidR="00A541D7" w:rsidRPr="000873C7" w:rsidRDefault="009F7155" w:rsidP="00165BF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Inúmeras são as situações em que, de fato, ao analisar os embargos e constatar a presença de uma das hipóteses ensejadoras da interposição, vê-se o julgador obrigado a modificar as próprias conclusões do ato decisório, o que se mostra especialmente natural e </w:t>
      </w:r>
      <w:proofErr w:type="spellStart"/>
      <w:r w:rsidRPr="000873C7">
        <w:rPr>
          <w:rFonts w:ascii="Times New Roman" w:hAnsi="Times New Roman"/>
          <w:sz w:val="24"/>
          <w:szCs w:val="24"/>
        </w:rPr>
        <w:t>freqüente</w:t>
      </w:r>
      <w:proofErr w:type="spellEnd"/>
      <w:r w:rsidRPr="000873C7">
        <w:rPr>
          <w:rFonts w:ascii="Times New Roman" w:hAnsi="Times New Roman"/>
          <w:sz w:val="24"/>
          <w:szCs w:val="24"/>
        </w:rPr>
        <w:t xml:space="preserve"> nos casos de contradição e omissão. Ao suprir omissão decorrente da não apreciação de pedido, por exemplo, naturalmente que haverá modificação da decisão, no mínimo para que a ela seja acrescida a</w:t>
      </w:r>
      <w:r w:rsidR="00A541D7" w:rsidRPr="000873C7">
        <w:rPr>
          <w:rFonts w:ascii="Times New Roman" w:hAnsi="Times New Roman"/>
          <w:sz w:val="24"/>
          <w:szCs w:val="24"/>
        </w:rPr>
        <w:t xml:space="preserve"> análise faltante. Da mesma forma, ao perceber que os fundamentos são logicamente contraditórios às conclusões, invariavelmente haverá necessidade de adequação dos fundamentos ou modificação das conclusões.</w:t>
      </w:r>
    </w:p>
    <w:p w:rsidR="00165BFD" w:rsidRPr="000873C7" w:rsidRDefault="00A541D7" w:rsidP="009C43A3">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Embora devam ser vistas como exceções, a jurisprudência vem demonstrando que a modificação dos julgados por embargos de declaração é algo relativamente </w:t>
      </w:r>
      <w:proofErr w:type="spellStart"/>
      <w:r w:rsidRPr="000873C7">
        <w:rPr>
          <w:rFonts w:ascii="Times New Roman" w:hAnsi="Times New Roman"/>
          <w:sz w:val="24"/>
          <w:szCs w:val="24"/>
        </w:rPr>
        <w:t>freqüente</w:t>
      </w:r>
      <w:proofErr w:type="spellEnd"/>
      <w:r w:rsidRPr="000873C7">
        <w:rPr>
          <w:rFonts w:ascii="Times New Roman" w:hAnsi="Times New Roman"/>
          <w:sz w:val="24"/>
          <w:szCs w:val="24"/>
        </w:rPr>
        <w:t xml:space="preserve"> e merece a atenção de todos.</w:t>
      </w:r>
    </w:p>
    <w:p w:rsidR="00165BFD" w:rsidRPr="009C43A3" w:rsidRDefault="00165BFD" w:rsidP="00165BFD">
      <w:pPr>
        <w:spacing w:after="0" w:line="240" w:lineRule="auto"/>
        <w:ind w:left="2342"/>
        <w:jc w:val="both"/>
        <w:rPr>
          <w:rFonts w:ascii="Times New Roman" w:hAnsi="Times New Roman"/>
          <w:sz w:val="20"/>
          <w:szCs w:val="20"/>
        </w:rPr>
      </w:pPr>
      <w:r w:rsidRPr="009C43A3">
        <w:rPr>
          <w:rFonts w:ascii="Times New Roman" w:hAnsi="Times New Roman"/>
          <w:sz w:val="20"/>
          <w:szCs w:val="20"/>
        </w:rPr>
        <w:t>EMBARGOS DE DECLARAÇÃO NOS EMBARGOS DE DECLARAÇÃO NO AGRAVO REGIMENTAL NO RECURSO ESPECIAL. OMISSÃO. OCORRÊNCIA. EMBARGOS ACOLHIDOS COM EFEITOS MODIFICATIVOS. AGRAVO REGIMENTAL PARCIALMENTE PROVIDO. 1. Diante da existência de pedidos alternativos na apelação, evidenciado o interesse da embargante no prosseguimento do seu julgamento, reconhecendo-se, por conseguinte, a existência de omissão no acórdão do regimental, integrado pelo dos embargos declaratórios. 2. Embargos de declaração acolhidos, com efeitos modificativos, para dar parcial provimento ao agravo regimental e determinar o retorno dos autos ao Tribunal de Justiça do Rio de Janeiro, a fim de que prossiga no julgamento da apelação, como entender de direito. (</w:t>
      </w:r>
      <w:proofErr w:type="spellStart"/>
      <w:r w:rsidRPr="009C43A3">
        <w:rPr>
          <w:rFonts w:ascii="Times New Roman" w:hAnsi="Times New Roman"/>
          <w:sz w:val="20"/>
          <w:szCs w:val="20"/>
        </w:rPr>
        <w:t>EDcl</w:t>
      </w:r>
      <w:proofErr w:type="spellEnd"/>
      <w:r w:rsidRPr="009C43A3">
        <w:rPr>
          <w:rFonts w:ascii="Times New Roman" w:hAnsi="Times New Roman"/>
          <w:sz w:val="20"/>
          <w:szCs w:val="20"/>
        </w:rPr>
        <w:t xml:space="preserve"> nos </w:t>
      </w:r>
      <w:proofErr w:type="spellStart"/>
      <w:r w:rsidRPr="009C43A3">
        <w:rPr>
          <w:rFonts w:ascii="Times New Roman" w:hAnsi="Times New Roman"/>
          <w:sz w:val="20"/>
          <w:szCs w:val="20"/>
        </w:rPr>
        <w:t>EDcl</w:t>
      </w:r>
      <w:proofErr w:type="spellEnd"/>
      <w:r w:rsidRPr="009C43A3">
        <w:rPr>
          <w:rFonts w:ascii="Times New Roman" w:hAnsi="Times New Roman"/>
          <w:sz w:val="20"/>
          <w:szCs w:val="20"/>
        </w:rPr>
        <w:t xml:space="preserve"> no </w:t>
      </w:r>
      <w:proofErr w:type="spellStart"/>
      <w:r w:rsidRPr="009C43A3">
        <w:rPr>
          <w:rFonts w:ascii="Times New Roman" w:hAnsi="Times New Roman"/>
          <w:sz w:val="20"/>
          <w:szCs w:val="20"/>
        </w:rPr>
        <w:t>AgRg</w:t>
      </w:r>
      <w:proofErr w:type="spellEnd"/>
      <w:r w:rsidRPr="009C43A3">
        <w:rPr>
          <w:rFonts w:ascii="Times New Roman" w:hAnsi="Times New Roman"/>
          <w:sz w:val="20"/>
          <w:szCs w:val="20"/>
        </w:rPr>
        <w:t xml:space="preserve"> no </w:t>
      </w:r>
      <w:proofErr w:type="spellStart"/>
      <w:r w:rsidRPr="009C43A3">
        <w:rPr>
          <w:rFonts w:ascii="Times New Roman" w:hAnsi="Times New Roman"/>
          <w:sz w:val="20"/>
          <w:szCs w:val="20"/>
        </w:rPr>
        <w:t>REsp</w:t>
      </w:r>
      <w:proofErr w:type="spellEnd"/>
      <w:r w:rsidRPr="009C43A3">
        <w:rPr>
          <w:rFonts w:ascii="Times New Roman" w:hAnsi="Times New Roman"/>
          <w:sz w:val="20"/>
          <w:szCs w:val="20"/>
        </w:rPr>
        <w:t xml:space="preserve"> 1134906 / RJ EMBARGOS DE DECLARAÇÃO NOS EMBARGOS DE DECLARAÇÃO NO AGRAVO REGIMENTAL NO RECURSO ESPECIAL 2009/0158830-9 Ministro SIDNEI BENETI </w:t>
      </w:r>
      <w:proofErr w:type="spellStart"/>
      <w:r w:rsidRPr="009C43A3">
        <w:rPr>
          <w:rFonts w:ascii="Times New Roman" w:hAnsi="Times New Roman"/>
          <w:sz w:val="20"/>
          <w:szCs w:val="20"/>
        </w:rPr>
        <w:t>DJe</w:t>
      </w:r>
      <w:proofErr w:type="spellEnd"/>
      <w:r w:rsidRPr="009C43A3">
        <w:rPr>
          <w:rFonts w:ascii="Times New Roman" w:hAnsi="Times New Roman"/>
          <w:sz w:val="20"/>
          <w:szCs w:val="20"/>
        </w:rPr>
        <w:t xml:space="preserve"> 26/10/2012)</w:t>
      </w:r>
    </w:p>
    <w:p w:rsidR="00165BFD" w:rsidRPr="000873C7" w:rsidRDefault="00165BFD" w:rsidP="00165BFD">
      <w:pPr>
        <w:spacing w:after="0" w:line="240" w:lineRule="auto"/>
        <w:jc w:val="both"/>
        <w:rPr>
          <w:rFonts w:ascii="Times New Roman" w:hAnsi="Times New Roman"/>
          <w:sz w:val="24"/>
          <w:szCs w:val="24"/>
        </w:rPr>
      </w:pPr>
    </w:p>
    <w:p w:rsidR="00F45B86" w:rsidRDefault="00A541D7"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Por esse motivo, o </w:t>
      </w:r>
      <w:r w:rsidR="009C43A3">
        <w:rPr>
          <w:rFonts w:ascii="Times New Roman" w:hAnsi="Times New Roman"/>
          <w:sz w:val="24"/>
          <w:szCs w:val="24"/>
        </w:rPr>
        <w:t xml:space="preserve">Novo </w:t>
      </w:r>
      <w:r w:rsidRPr="000873C7">
        <w:rPr>
          <w:rFonts w:ascii="Times New Roman" w:hAnsi="Times New Roman"/>
          <w:sz w:val="24"/>
          <w:szCs w:val="24"/>
        </w:rPr>
        <w:t>Código de Processo Civil Projetado prevê, de maneira expressa que</w:t>
      </w:r>
      <w:r w:rsidR="00F45B86">
        <w:rPr>
          <w:rFonts w:ascii="Times New Roman" w:hAnsi="Times New Roman"/>
          <w:sz w:val="24"/>
          <w:szCs w:val="24"/>
        </w:rPr>
        <w:t xml:space="preserve"> o juiz intimará o embargado para, querendo, “manifestar-se, no prazo de 5 (cinco) dias, sobre os embargos opostos, caso seu eventual acolhimento implique a modificação da decisão embargada” (artigo 1.023, §2º).</w:t>
      </w:r>
    </w:p>
    <w:p w:rsidR="005927AC" w:rsidRPr="000873C7" w:rsidRDefault="00A541D7"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A redação proposta indica que, para além da previsão dos embargos com caráter modificativo, outros pontos e princípios precisão ser observados.</w:t>
      </w:r>
    </w:p>
    <w:p w:rsidR="00F45B86" w:rsidRDefault="00A541D7"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Em primeiro lugar, é preciso que fique claro que não se pretende alterar o sistema hoje vigente e dar ao julgador o poder de rever as suas próprias decisões, a qualquer tempo e sob </w:t>
      </w:r>
      <w:r w:rsidRPr="000873C7">
        <w:rPr>
          <w:rFonts w:ascii="Times New Roman" w:hAnsi="Times New Roman"/>
          <w:sz w:val="24"/>
          <w:szCs w:val="24"/>
        </w:rPr>
        <w:lastRenderedPageBreak/>
        <w:t>quaisquer fundamentos, e alterar seus próprios pronunciamentos, o  que geraria insegurança jurídica e eventual quebra do duplo grau de jurisdição e talvez até da duração razoável do processo, dada a necessidade d</w:t>
      </w:r>
      <w:r w:rsidR="00603F66" w:rsidRPr="000873C7">
        <w:rPr>
          <w:rFonts w:ascii="Times New Roman" w:hAnsi="Times New Roman"/>
          <w:sz w:val="24"/>
          <w:szCs w:val="24"/>
        </w:rPr>
        <w:t>e novas intimações e reabertura</w:t>
      </w:r>
      <w:r w:rsidRPr="000873C7">
        <w:rPr>
          <w:rFonts w:ascii="Times New Roman" w:hAnsi="Times New Roman"/>
          <w:sz w:val="24"/>
          <w:szCs w:val="24"/>
        </w:rPr>
        <w:t xml:space="preserve"> de prazos que a questão geraria. </w:t>
      </w:r>
    </w:p>
    <w:p w:rsidR="0087230C" w:rsidRPr="000873C7" w:rsidRDefault="00A541D7"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Além disso, </w:t>
      </w:r>
      <w:r w:rsidR="0087230C" w:rsidRPr="000873C7">
        <w:rPr>
          <w:rFonts w:ascii="Times New Roman" w:hAnsi="Times New Roman"/>
          <w:sz w:val="24"/>
          <w:szCs w:val="24"/>
        </w:rPr>
        <w:t xml:space="preserve">não se pode pensar em modificação do ato judicial decisório em razão dos embargos de uma das partes sem que a parte contrária tenha tido oportunidade de se manifestar em contraditório, o que representaria a chamada decisão surpresa e que deve ser repelida. Por essa razão, o </w:t>
      </w:r>
      <w:r w:rsidR="00F45B86">
        <w:rPr>
          <w:rFonts w:ascii="Times New Roman" w:hAnsi="Times New Roman"/>
          <w:sz w:val="24"/>
          <w:szCs w:val="24"/>
        </w:rPr>
        <w:t>Novo CPC</w:t>
      </w:r>
      <w:r w:rsidR="0087230C" w:rsidRPr="000873C7">
        <w:rPr>
          <w:rFonts w:ascii="Times New Roman" w:hAnsi="Times New Roman"/>
          <w:sz w:val="24"/>
          <w:szCs w:val="24"/>
        </w:rPr>
        <w:t xml:space="preserve"> fez constar que o efeito modificativo depende da oitiva da parte contrária, que disporá de cinco dias para manifestação. Evidente que, em respeito ao princípio do contraditório, não se trata de obrigação, mas de oportunidade conferida à parte para manifestação, o que exige a sua intimação para o ato, sob pena de nulidade.</w:t>
      </w:r>
    </w:p>
    <w:p w:rsidR="0087230C" w:rsidRPr="000873C7" w:rsidRDefault="0087230C"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A </w:t>
      </w:r>
      <w:r w:rsidR="00A3174F" w:rsidRPr="000873C7">
        <w:rPr>
          <w:rFonts w:ascii="Times New Roman" w:hAnsi="Times New Roman"/>
          <w:sz w:val="24"/>
          <w:szCs w:val="24"/>
        </w:rPr>
        <w:t xml:space="preserve">jurisprudência </w:t>
      </w:r>
      <w:r w:rsidRPr="000873C7">
        <w:rPr>
          <w:rFonts w:ascii="Times New Roman" w:hAnsi="Times New Roman"/>
          <w:sz w:val="24"/>
          <w:szCs w:val="24"/>
        </w:rPr>
        <w:t>mais especializada</w:t>
      </w:r>
      <w:r w:rsidR="00F45B86">
        <w:rPr>
          <w:rStyle w:val="Refdenotaderodap"/>
          <w:rFonts w:ascii="Times New Roman" w:hAnsi="Times New Roman"/>
          <w:sz w:val="24"/>
          <w:szCs w:val="24"/>
        </w:rPr>
        <w:footnoteReference w:id="17"/>
      </w:r>
      <w:r w:rsidRPr="000873C7">
        <w:rPr>
          <w:rFonts w:ascii="Times New Roman" w:hAnsi="Times New Roman"/>
          <w:sz w:val="24"/>
          <w:szCs w:val="24"/>
        </w:rPr>
        <w:t xml:space="preserve"> já sustentava a necessidade de contraditório para as hipóteses práticas de embargos com efeito modificativo, de modo que </w:t>
      </w:r>
      <w:r w:rsidR="00F45B86">
        <w:rPr>
          <w:rFonts w:ascii="Times New Roman" w:hAnsi="Times New Roman"/>
          <w:sz w:val="24"/>
          <w:szCs w:val="24"/>
        </w:rPr>
        <w:t>a nova legislação</w:t>
      </w:r>
      <w:r w:rsidRPr="000873C7">
        <w:rPr>
          <w:rFonts w:ascii="Times New Roman" w:hAnsi="Times New Roman"/>
          <w:sz w:val="24"/>
          <w:szCs w:val="24"/>
        </w:rPr>
        <w:t xml:space="preserve"> apenas retrata e torna patente aquilo que já se entendia como o mais adequado.</w:t>
      </w:r>
    </w:p>
    <w:p w:rsidR="007F614B" w:rsidRPr="000873C7" w:rsidRDefault="0087230C"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Mesmo assim, alguma dificuldade ainda persistirá, uma vez que a oitiva da parte contrária poderá ser interpretada como adiantamento do resultado final, uma vez que, em regra, continuará sendo desnecessário o contraditório nos embargos. Quando, então, será pertinente intimar a parte contrária para manifestação? </w:t>
      </w:r>
      <w:r w:rsidR="007F614B" w:rsidRPr="000873C7">
        <w:rPr>
          <w:rFonts w:ascii="Times New Roman" w:hAnsi="Times New Roman"/>
          <w:sz w:val="24"/>
          <w:szCs w:val="24"/>
        </w:rPr>
        <w:t xml:space="preserve">Quando não for caso de inadmissão? Quando não for caso de claro </w:t>
      </w:r>
      <w:proofErr w:type="spellStart"/>
      <w:r w:rsidR="007F614B" w:rsidRPr="000873C7">
        <w:rPr>
          <w:rFonts w:ascii="Times New Roman" w:hAnsi="Times New Roman"/>
          <w:sz w:val="24"/>
          <w:szCs w:val="24"/>
        </w:rPr>
        <w:t>improvimento</w:t>
      </w:r>
      <w:proofErr w:type="spellEnd"/>
      <w:r w:rsidR="007F614B" w:rsidRPr="000873C7">
        <w:rPr>
          <w:rFonts w:ascii="Times New Roman" w:hAnsi="Times New Roman"/>
          <w:sz w:val="24"/>
          <w:szCs w:val="24"/>
        </w:rPr>
        <w:t xml:space="preserve">? </w:t>
      </w:r>
      <w:r w:rsidRPr="000873C7">
        <w:rPr>
          <w:rFonts w:ascii="Times New Roman" w:hAnsi="Times New Roman"/>
          <w:sz w:val="24"/>
          <w:szCs w:val="24"/>
        </w:rPr>
        <w:t>Quando os fundamentos e pedidos dos embargos puderem levar, ainda que em tese, a modificação do julgado? Embora e</w:t>
      </w:r>
      <w:r w:rsidR="007F614B" w:rsidRPr="000873C7">
        <w:rPr>
          <w:rFonts w:ascii="Times New Roman" w:hAnsi="Times New Roman"/>
          <w:sz w:val="24"/>
          <w:szCs w:val="24"/>
        </w:rPr>
        <w:t>ssa última posição possa ser vista talvez como melhor critério a ser utilizado pelo julgador</w:t>
      </w:r>
      <w:r w:rsidR="00F45B86">
        <w:rPr>
          <w:rFonts w:ascii="Times New Roman" w:hAnsi="Times New Roman"/>
          <w:sz w:val="24"/>
          <w:szCs w:val="24"/>
        </w:rPr>
        <w:t>, inclusive em razão da disposição legal</w:t>
      </w:r>
      <w:r w:rsidR="007F614B" w:rsidRPr="000873C7">
        <w:rPr>
          <w:rFonts w:ascii="Times New Roman" w:hAnsi="Times New Roman"/>
          <w:sz w:val="24"/>
          <w:szCs w:val="24"/>
        </w:rPr>
        <w:t xml:space="preserve">, é certo que são inúmeros os casos em que se pretende a modificação, de modo que a sua adoção </w:t>
      </w:r>
      <w:r w:rsidR="00F45B86">
        <w:rPr>
          <w:rFonts w:ascii="Times New Roman" w:hAnsi="Times New Roman"/>
          <w:sz w:val="24"/>
          <w:szCs w:val="24"/>
        </w:rPr>
        <w:t>pode levar</w:t>
      </w:r>
      <w:r w:rsidR="007F614B" w:rsidRPr="000873C7">
        <w:rPr>
          <w:rFonts w:ascii="Times New Roman" w:hAnsi="Times New Roman"/>
          <w:sz w:val="24"/>
          <w:szCs w:val="24"/>
        </w:rPr>
        <w:t>, na prática, a concretização irrestrita do contraditório nos embargos, o que pode prejudicar o próprio instituto.</w:t>
      </w:r>
    </w:p>
    <w:p w:rsidR="007F614B" w:rsidRPr="000873C7" w:rsidRDefault="007F614B"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lastRenderedPageBreak/>
        <w:t>A questão, como se nota, ainda comportará uma série de discussões e interpretações, mas é</w:t>
      </w:r>
      <w:r w:rsidR="00F45B86">
        <w:rPr>
          <w:rFonts w:ascii="Times New Roman" w:hAnsi="Times New Roman"/>
          <w:sz w:val="24"/>
          <w:szCs w:val="24"/>
        </w:rPr>
        <w:t xml:space="preserve"> preciso louvar a iniciativa da legislação </w:t>
      </w:r>
      <w:r w:rsidRPr="000873C7">
        <w:rPr>
          <w:rFonts w:ascii="Times New Roman" w:hAnsi="Times New Roman"/>
          <w:sz w:val="24"/>
          <w:szCs w:val="24"/>
        </w:rPr>
        <w:t>na tentativa de disciplinar a questão e trazer à luz aquilo que já é prática constante dos juízes e tribunais.</w:t>
      </w:r>
    </w:p>
    <w:p w:rsidR="00D26B8D" w:rsidRPr="000873C7" w:rsidRDefault="00D26B8D" w:rsidP="00165BFD">
      <w:pPr>
        <w:spacing w:line="360" w:lineRule="auto"/>
        <w:jc w:val="both"/>
        <w:rPr>
          <w:rFonts w:ascii="Times New Roman" w:hAnsi="Times New Roman"/>
          <w:sz w:val="24"/>
          <w:szCs w:val="24"/>
        </w:rPr>
      </w:pPr>
    </w:p>
    <w:p w:rsidR="007F614B" w:rsidRPr="000873C7" w:rsidRDefault="00264B19" w:rsidP="00165BFD">
      <w:pPr>
        <w:spacing w:line="360" w:lineRule="auto"/>
        <w:jc w:val="both"/>
        <w:rPr>
          <w:rFonts w:ascii="Times New Roman" w:hAnsi="Times New Roman"/>
          <w:b/>
          <w:sz w:val="24"/>
          <w:szCs w:val="24"/>
        </w:rPr>
      </w:pPr>
      <w:r w:rsidRPr="000873C7">
        <w:rPr>
          <w:rFonts w:ascii="Times New Roman" w:hAnsi="Times New Roman"/>
          <w:b/>
          <w:sz w:val="24"/>
          <w:szCs w:val="24"/>
        </w:rPr>
        <w:t xml:space="preserve">2.3. </w:t>
      </w:r>
      <w:r w:rsidR="001C38DB" w:rsidRPr="000873C7">
        <w:rPr>
          <w:rFonts w:ascii="Times New Roman" w:hAnsi="Times New Roman"/>
          <w:b/>
          <w:sz w:val="24"/>
          <w:szCs w:val="24"/>
        </w:rPr>
        <w:t>DO PRAZO E PROCEDIMENTO</w:t>
      </w:r>
    </w:p>
    <w:p w:rsidR="00847FD2" w:rsidRPr="000873C7" w:rsidRDefault="00847FD2" w:rsidP="00165BFD">
      <w:pPr>
        <w:spacing w:line="360" w:lineRule="auto"/>
        <w:jc w:val="both"/>
        <w:rPr>
          <w:rFonts w:ascii="Times New Roman" w:hAnsi="Times New Roman"/>
          <w:b/>
          <w:sz w:val="24"/>
          <w:szCs w:val="24"/>
        </w:rPr>
      </w:pPr>
    </w:p>
    <w:p w:rsidR="00B40308" w:rsidRPr="000873C7" w:rsidRDefault="001C38DB"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À semelhança do que já dispõe o artigo 536 do Código de Processo Civil, o Código Projetado mantém o prazo de 05 (cinco) dias para oposição dos embargos e, da mesma forma, estabelece que a referida oposição se dará </w:t>
      </w:r>
      <w:r w:rsidR="00B40308" w:rsidRPr="000873C7">
        <w:rPr>
          <w:rFonts w:ascii="Times New Roman" w:hAnsi="Times New Roman"/>
          <w:sz w:val="24"/>
          <w:szCs w:val="24"/>
        </w:rPr>
        <w:t>por petição dirigida a</w:t>
      </w:r>
      <w:r w:rsidR="00F45B86">
        <w:rPr>
          <w:rFonts w:ascii="Times New Roman" w:hAnsi="Times New Roman"/>
          <w:sz w:val="24"/>
          <w:szCs w:val="24"/>
        </w:rPr>
        <w:t>o juiz</w:t>
      </w:r>
      <w:r w:rsidR="00B40308" w:rsidRPr="000873C7">
        <w:rPr>
          <w:rFonts w:ascii="Times New Roman" w:hAnsi="Times New Roman"/>
          <w:sz w:val="24"/>
          <w:szCs w:val="24"/>
        </w:rPr>
        <w:t xml:space="preserve">, com indicação do ponto obscuro, contraditório ou omisso, não se sujeitando a preparo. Quanto ao processamento e julgamento, o </w:t>
      </w:r>
      <w:r w:rsidR="00F45B86">
        <w:rPr>
          <w:rFonts w:ascii="Times New Roman" w:hAnsi="Times New Roman"/>
          <w:sz w:val="24"/>
          <w:szCs w:val="24"/>
        </w:rPr>
        <w:t xml:space="preserve">Novo </w:t>
      </w:r>
      <w:r w:rsidR="00B40308" w:rsidRPr="000873C7">
        <w:rPr>
          <w:rFonts w:ascii="Times New Roman" w:hAnsi="Times New Roman"/>
          <w:sz w:val="24"/>
          <w:szCs w:val="24"/>
        </w:rPr>
        <w:t>Código se assemelha ao atual, o</w:t>
      </w:r>
      <w:r w:rsidR="00603F66" w:rsidRPr="000873C7">
        <w:rPr>
          <w:rFonts w:ascii="Times New Roman" w:hAnsi="Times New Roman"/>
          <w:sz w:val="24"/>
          <w:szCs w:val="24"/>
        </w:rPr>
        <w:t xml:space="preserve"> que</w:t>
      </w:r>
      <w:r w:rsidR="00B40308" w:rsidRPr="000873C7">
        <w:rPr>
          <w:rFonts w:ascii="Times New Roman" w:hAnsi="Times New Roman"/>
          <w:sz w:val="24"/>
          <w:szCs w:val="24"/>
        </w:rPr>
        <w:t xml:space="preserve"> importa em julgamento em cinco dias pelo juiz e na sessão </w:t>
      </w:r>
      <w:r w:rsidR="00001B32" w:rsidRPr="000873C7">
        <w:rPr>
          <w:rFonts w:ascii="Times New Roman" w:hAnsi="Times New Roman"/>
          <w:sz w:val="24"/>
          <w:szCs w:val="24"/>
        </w:rPr>
        <w:t>subsequente</w:t>
      </w:r>
      <w:r w:rsidR="00B40308" w:rsidRPr="000873C7">
        <w:rPr>
          <w:rFonts w:ascii="Times New Roman" w:hAnsi="Times New Roman"/>
          <w:sz w:val="24"/>
          <w:szCs w:val="24"/>
        </w:rPr>
        <w:t xml:space="preserve"> pelos tribunais.</w:t>
      </w:r>
    </w:p>
    <w:p w:rsidR="00B40308" w:rsidRPr="000873C7" w:rsidRDefault="00B40308"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Como novidade, prevê o Código Projetado a necessidade de contraditório em cinco dias para as hipóteses de embargos com efeito modificativo, como já discorrido acima, e, ainda, a necessidade de inclusão em pauta para o caso de não julgamento dos embargos na sessão </w:t>
      </w:r>
      <w:r w:rsidR="00001B32" w:rsidRPr="000873C7">
        <w:rPr>
          <w:rFonts w:ascii="Times New Roman" w:hAnsi="Times New Roman"/>
          <w:sz w:val="24"/>
          <w:szCs w:val="24"/>
        </w:rPr>
        <w:t>subsequente</w:t>
      </w:r>
      <w:r w:rsidRPr="000873C7">
        <w:rPr>
          <w:rFonts w:ascii="Times New Roman" w:hAnsi="Times New Roman"/>
          <w:sz w:val="24"/>
          <w:szCs w:val="24"/>
        </w:rPr>
        <w:t>, quando dirigido ao tribunal.</w:t>
      </w:r>
    </w:p>
    <w:p w:rsidR="00DE71B0" w:rsidRPr="000873C7" w:rsidRDefault="00B40308"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Por fim, consta do </w:t>
      </w:r>
      <w:r w:rsidR="00F45B86">
        <w:rPr>
          <w:rFonts w:ascii="Times New Roman" w:hAnsi="Times New Roman"/>
          <w:sz w:val="24"/>
          <w:szCs w:val="24"/>
        </w:rPr>
        <w:t xml:space="preserve">Novo </w:t>
      </w:r>
      <w:r w:rsidRPr="000873C7">
        <w:rPr>
          <w:rFonts w:ascii="Times New Roman" w:hAnsi="Times New Roman"/>
          <w:sz w:val="24"/>
          <w:szCs w:val="24"/>
        </w:rPr>
        <w:t>Código, também, a possibilidade de decisão dos embargos somente pelo relator para as hipóteses decorrentes de embargos oriundos de decisões do próprio relator, em caráter monocrático</w:t>
      </w:r>
      <w:r w:rsidR="00F45B86">
        <w:rPr>
          <w:rFonts w:ascii="Times New Roman" w:hAnsi="Times New Roman"/>
          <w:sz w:val="24"/>
          <w:szCs w:val="24"/>
        </w:rPr>
        <w:t xml:space="preserve"> (artigo 1024, §2º)</w:t>
      </w:r>
      <w:r w:rsidR="00DE71B0" w:rsidRPr="000873C7">
        <w:rPr>
          <w:rFonts w:ascii="Times New Roman" w:hAnsi="Times New Roman"/>
          <w:sz w:val="24"/>
          <w:szCs w:val="24"/>
        </w:rPr>
        <w:t xml:space="preserve">, o que </w:t>
      </w:r>
      <w:r w:rsidR="00DF5DAB" w:rsidRPr="000873C7">
        <w:rPr>
          <w:rFonts w:ascii="Times New Roman" w:hAnsi="Times New Roman"/>
          <w:sz w:val="24"/>
          <w:szCs w:val="24"/>
        </w:rPr>
        <w:t>talvez resolva parte dos problemas decorrentes da não regulamentação atual. Com efeito, diversos são os julgados</w:t>
      </w:r>
      <w:r w:rsidR="00146716">
        <w:rPr>
          <w:rStyle w:val="Refdenotaderodap"/>
          <w:rFonts w:ascii="Times New Roman" w:hAnsi="Times New Roman"/>
          <w:sz w:val="24"/>
          <w:szCs w:val="24"/>
        </w:rPr>
        <w:footnoteReference w:id="18"/>
      </w:r>
      <w:r w:rsidR="00DF5DAB" w:rsidRPr="000873C7">
        <w:rPr>
          <w:rFonts w:ascii="Times New Roman" w:hAnsi="Times New Roman"/>
          <w:sz w:val="24"/>
          <w:szCs w:val="24"/>
        </w:rPr>
        <w:t xml:space="preserve"> </w:t>
      </w:r>
      <w:r w:rsidR="00DF5DAB" w:rsidRPr="000873C7">
        <w:rPr>
          <w:rFonts w:ascii="Times New Roman" w:hAnsi="Times New Roman"/>
          <w:sz w:val="24"/>
          <w:szCs w:val="24"/>
        </w:rPr>
        <w:lastRenderedPageBreak/>
        <w:t xml:space="preserve">que, em nome do princípio da fungibilidade, acabam por receber os embargos de declaração como agravo interno, atribuindo ao órgão colegiado o conhecimento da questão, o que talvez não reflita os objetivos do embargante e do próprio instituto. </w:t>
      </w:r>
    </w:p>
    <w:p w:rsidR="00DF5DAB" w:rsidRPr="000873C7" w:rsidRDefault="00DF5DAB" w:rsidP="00DF5DAB">
      <w:pPr>
        <w:spacing w:after="0" w:line="240" w:lineRule="auto"/>
        <w:ind w:left="2340"/>
        <w:jc w:val="both"/>
        <w:rPr>
          <w:rFonts w:ascii="Times New Roman" w:hAnsi="Times New Roman"/>
          <w:sz w:val="24"/>
          <w:szCs w:val="24"/>
        </w:rPr>
      </w:pPr>
    </w:p>
    <w:p w:rsidR="00DF5DAB" w:rsidRPr="000873C7" w:rsidRDefault="00DF5DAB" w:rsidP="00DF5DAB">
      <w:pPr>
        <w:spacing w:after="0" w:line="240" w:lineRule="auto"/>
        <w:ind w:left="2340"/>
        <w:jc w:val="both"/>
        <w:rPr>
          <w:rFonts w:ascii="Times New Roman" w:hAnsi="Times New Roman"/>
          <w:sz w:val="24"/>
          <w:szCs w:val="24"/>
        </w:rPr>
      </w:pPr>
    </w:p>
    <w:p w:rsidR="00DF5DAB" w:rsidRPr="000873C7" w:rsidRDefault="00DF5DAB" w:rsidP="00DF5DAB">
      <w:pPr>
        <w:spacing w:after="0" w:line="240" w:lineRule="auto"/>
        <w:ind w:left="2340"/>
        <w:jc w:val="both"/>
        <w:rPr>
          <w:rFonts w:ascii="Times New Roman" w:hAnsi="Times New Roman"/>
          <w:sz w:val="24"/>
          <w:szCs w:val="24"/>
        </w:rPr>
      </w:pPr>
    </w:p>
    <w:p w:rsidR="00E958B4" w:rsidRPr="000873C7" w:rsidRDefault="00264B19" w:rsidP="00165BFD">
      <w:pPr>
        <w:spacing w:line="360" w:lineRule="auto"/>
        <w:jc w:val="both"/>
        <w:rPr>
          <w:rFonts w:ascii="Times New Roman" w:hAnsi="Times New Roman"/>
          <w:b/>
          <w:sz w:val="24"/>
          <w:szCs w:val="24"/>
        </w:rPr>
      </w:pPr>
      <w:r w:rsidRPr="000873C7">
        <w:rPr>
          <w:rFonts w:ascii="Times New Roman" w:hAnsi="Times New Roman"/>
          <w:b/>
          <w:sz w:val="24"/>
          <w:szCs w:val="24"/>
        </w:rPr>
        <w:t>2.</w:t>
      </w:r>
      <w:r w:rsidR="00847FD2" w:rsidRPr="000873C7">
        <w:rPr>
          <w:rFonts w:ascii="Times New Roman" w:hAnsi="Times New Roman"/>
          <w:b/>
          <w:sz w:val="24"/>
          <w:szCs w:val="24"/>
        </w:rPr>
        <w:t>4</w:t>
      </w:r>
      <w:r w:rsidRPr="000873C7">
        <w:rPr>
          <w:rFonts w:ascii="Times New Roman" w:hAnsi="Times New Roman"/>
          <w:b/>
          <w:sz w:val="24"/>
          <w:szCs w:val="24"/>
        </w:rPr>
        <w:t xml:space="preserve">. </w:t>
      </w:r>
      <w:r w:rsidR="00E958B4" w:rsidRPr="000873C7">
        <w:rPr>
          <w:rFonts w:ascii="Times New Roman" w:hAnsi="Times New Roman"/>
          <w:b/>
          <w:sz w:val="24"/>
          <w:szCs w:val="24"/>
        </w:rPr>
        <w:t>EMBARGOS DE DECLARAÇÃO PROTELATÓRIOS</w:t>
      </w:r>
    </w:p>
    <w:p w:rsidR="00264B19" w:rsidRPr="000873C7" w:rsidRDefault="00264B19" w:rsidP="00165BFD">
      <w:pPr>
        <w:spacing w:line="360" w:lineRule="auto"/>
        <w:jc w:val="both"/>
        <w:rPr>
          <w:rFonts w:ascii="Times New Roman" w:hAnsi="Times New Roman"/>
          <w:b/>
          <w:sz w:val="24"/>
          <w:szCs w:val="24"/>
        </w:rPr>
      </w:pPr>
    </w:p>
    <w:p w:rsidR="00E958B4" w:rsidRPr="000873C7" w:rsidRDefault="00E958B4"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Muito já se discutiu a respeito da prática indevida de atos processuais </w:t>
      </w:r>
      <w:r w:rsidR="00E81A52" w:rsidRPr="000873C7">
        <w:rPr>
          <w:rFonts w:ascii="Times New Roman" w:hAnsi="Times New Roman"/>
          <w:sz w:val="24"/>
          <w:szCs w:val="24"/>
        </w:rPr>
        <w:t>com o objetivo de, ao invés de contribuir para a continuidade e encerramento do processo, retardar o andamento e confundir o órgão julgador, em flagrante deslealdade processual.</w:t>
      </w:r>
    </w:p>
    <w:p w:rsidR="00E81A52" w:rsidRPr="000873C7" w:rsidRDefault="00E81A52"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Especificamente com relação aos embargos de declaração, estabelece o artigo 538, parágrafo único, que ao declarar os embargos de declaração manifestamente protelatórios, o juiz ou tribunal condenará o embargante a pagar ao embargado multa de até 1% (um por cento) sobre o valor da causa e, em caso de reiteração dos embargos protelatórios</w:t>
      </w:r>
      <w:r w:rsidR="00F42BB8" w:rsidRPr="000873C7">
        <w:rPr>
          <w:rFonts w:ascii="Times New Roman" w:hAnsi="Times New Roman"/>
          <w:sz w:val="24"/>
          <w:szCs w:val="24"/>
        </w:rPr>
        <w:t>, elevação da multa a até 10% (dez por cento), condicionando a interposição de qualquer outro recurso ao depósito do valor respectivo.</w:t>
      </w:r>
    </w:p>
    <w:p w:rsidR="00F42BB8" w:rsidRPr="000873C7" w:rsidRDefault="00F42BB8"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Procura-se inibir, com isso, a oposição de embargos com o objetivo primordial de aproveitamento da interrupção do prazo para outros recursos e o retardamento indevido do processo, com a prática de atos processuais inadequados e desnecessários</w:t>
      </w:r>
      <w:r w:rsidR="007B3F45" w:rsidRPr="000873C7">
        <w:rPr>
          <w:rStyle w:val="Refdenotaderodap"/>
          <w:rFonts w:ascii="Times New Roman" w:hAnsi="Times New Roman"/>
          <w:sz w:val="24"/>
          <w:szCs w:val="24"/>
        </w:rPr>
        <w:footnoteReference w:id="19"/>
      </w:r>
      <w:r w:rsidRPr="000873C7">
        <w:rPr>
          <w:rFonts w:ascii="Times New Roman" w:hAnsi="Times New Roman"/>
          <w:sz w:val="24"/>
          <w:szCs w:val="24"/>
        </w:rPr>
        <w:t>.</w:t>
      </w:r>
      <w:r w:rsidR="007B3F45" w:rsidRPr="000873C7">
        <w:rPr>
          <w:rFonts w:ascii="Times New Roman" w:hAnsi="Times New Roman"/>
          <w:sz w:val="24"/>
          <w:szCs w:val="24"/>
        </w:rPr>
        <w:t xml:space="preserve"> </w:t>
      </w:r>
    </w:p>
    <w:p w:rsidR="00F42BB8" w:rsidRPr="000873C7" w:rsidRDefault="00F42BB8"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lastRenderedPageBreak/>
        <w:t>Por outro lado, é preciso destacar a dificuldade, diante</w:t>
      </w:r>
      <w:r w:rsidR="00F2632A" w:rsidRPr="000873C7">
        <w:rPr>
          <w:rFonts w:ascii="Times New Roman" w:hAnsi="Times New Roman"/>
          <w:sz w:val="24"/>
          <w:szCs w:val="24"/>
        </w:rPr>
        <w:t xml:space="preserve"> de casos concretos, de identificar os embargos como protelatórios, sobretudo quando são opostos sob o fundamento de que o pronunciamento judicial contém obscuridade ou contradição. Ocorre que, como quem analisa os embargos é o mesmo juiz ou tribunal que proferiu o ato combatido, natural que o prolator entenda que o ato está absolutamente claro, preciso e bem redigido, espec</w:t>
      </w:r>
      <w:r w:rsidR="00CB6BE7" w:rsidRPr="000873C7">
        <w:rPr>
          <w:rFonts w:ascii="Times New Roman" w:hAnsi="Times New Roman"/>
          <w:sz w:val="24"/>
          <w:szCs w:val="24"/>
        </w:rPr>
        <w:t>ialmente porque aquele que se responsabiliza por ele sabe exatamente o que pretende transmitir, escapando-lhe talvez o domínio completo sobre a escrita e apresentação do texto.</w:t>
      </w:r>
    </w:p>
    <w:p w:rsidR="00CB6BE7" w:rsidRPr="000873C7" w:rsidRDefault="00CB6BE7"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Questão de grande dificuldade é constante da parte final do dispositivo e que indica a necessidade de pagamento da multa como condição para interposição de outro recurso e, portanto, como mais um requisito de admissibilidade. Referida obrigação decorre da declaração dos embargos como protelatórios ou somente da reiteração dos embargos declaratórios?</w:t>
      </w:r>
    </w:p>
    <w:p w:rsidR="00CB6BE7" w:rsidRPr="000873C7" w:rsidRDefault="00CB6BE7"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Embora ainda se discuta a respeito da melhor interpretação, parece mais adequado o entendimento no sentido de que a referida condição somente se apresenta para a hipótese de reiter</w:t>
      </w:r>
      <w:r w:rsidR="00146716">
        <w:rPr>
          <w:rFonts w:ascii="Times New Roman" w:hAnsi="Times New Roman"/>
          <w:sz w:val="24"/>
          <w:szCs w:val="24"/>
        </w:rPr>
        <w:t>ação dos embargos protelatórios, como tem se posicionado o</w:t>
      </w:r>
      <w:r w:rsidR="007B3F45" w:rsidRPr="000873C7">
        <w:rPr>
          <w:rFonts w:ascii="Times New Roman" w:hAnsi="Times New Roman"/>
          <w:sz w:val="24"/>
          <w:szCs w:val="24"/>
        </w:rPr>
        <w:t xml:space="preserve"> Superior Tribunal de Justiça</w:t>
      </w:r>
      <w:r w:rsidR="00146716">
        <w:rPr>
          <w:rStyle w:val="Refdenotaderodap"/>
          <w:rFonts w:ascii="Times New Roman" w:hAnsi="Times New Roman"/>
          <w:sz w:val="24"/>
          <w:szCs w:val="24"/>
        </w:rPr>
        <w:footnoteReference w:id="20"/>
      </w:r>
      <w:r w:rsidR="00146716">
        <w:rPr>
          <w:rFonts w:ascii="Times New Roman" w:hAnsi="Times New Roman"/>
          <w:sz w:val="24"/>
          <w:szCs w:val="24"/>
        </w:rPr>
        <w:t>.</w:t>
      </w:r>
    </w:p>
    <w:p w:rsidR="00CB6BE7" w:rsidRDefault="001B0098"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A disciplina no </w:t>
      </w:r>
      <w:r w:rsidR="00146716">
        <w:rPr>
          <w:rFonts w:ascii="Times New Roman" w:hAnsi="Times New Roman"/>
          <w:sz w:val="24"/>
          <w:szCs w:val="24"/>
        </w:rPr>
        <w:t xml:space="preserve">Novo </w:t>
      </w:r>
      <w:r w:rsidRPr="000873C7">
        <w:rPr>
          <w:rFonts w:ascii="Times New Roman" w:hAnsi="Times New Roman"/>
          <w:sz w:val="24"/>
          <w:szCs w:val="24"/>
        </w:rPr>
        <w:t xml:space="preserve">Código de Processo Civil se apresenta com pequenas modificações. Nessa linha, prevê o projeto a condenação do embargante a pagar ao embargado multa não excedente a </w:t>
      </w:r>
      <w:r w:rsidR="00146716">
        <w:rPr>
          <w:rFonts w:ascii="Times New Roman" w:hAnsi="Times New Roman"/>
          <w:sz w:val="24"/>
          <w:szCs w:val="24"/>
        </w:rPr>
        <w:t>2 (dois)</w:t>
      </w:r>
      <w:r w:rsidRPr="000873C7">
        <w:rPr>
          <w:rFonts w:ascii="Times New Roman" w:hAnsi="Times New Roman"/>
          <w:sz w:val="24"/>
          <w:szCs w:val="24"/>
        </w:rPr>
        <w:t xml:space="preserve"> por cento sobre o valor da causa.</w:t>
      </w:r>
      <w:r w:rsidR="00146716">
        <w:rPr>
          <w:rFonts w:ascii="Times New Roman" w:hAnsi="Times New Roman"/>
          <w:sz w:val="24"/>
          <w:szCs w:val="24"/>
        </w:rPr>
        <w:t xml:space="preserve"> Ademais, se fez </w:t>
      </w:r>
      <w:r w:rsidR="00146716">
        <w:rPr>
          <w:rFonts w:ascii="Times New Roman" w:hAnsi="Times New Roman"/>
          <w:sz w:val="24"/>
          <w:szCs w:val="24"/>
        </w:rPr>
        <w:lastRenderedPageBreak/>
        <w:t>constar que, na reiteração de embargos considerados protelatórios, a multa será elevada a até 10 (dez) por centro sobre o valor atualizado da causa, condicionando-se a interposição de qualquer outro recurso ao depósito prévio do valor da multa (artigo 1026).</w:t>
      </w:r>
    </w:p>
    <w:p w:rsidR="001B0098" w:rsidRPr="000873C7" w:rsidRDefault="001B0098" w:rsidP="00D26B8D">
      <w:pPr>
        <w:spacing w:line="360" w:lineRule="auto"/>
        <w:ind w:firstLine="720"/>
        <w:jc w:val="both"/>
        <w:rPr>
          <w:rFonts w:ascii="Times New Roman" w:hAnsi="Times New Roman"/>
          <w:sz w:val="24"/>
          <w:szCs w:val="24"/>
        </w:rPr>
      </w:pPr>
      <w:bookmarkStart w:id="4" w:name="art1026§3"/>
      <w:bookmarkEnd w:id="4"/>
      <w:r w:rsidRPr="000873C7">
        <w:rPr>
          <w:rFonts w:ascii="Times New Roman" w:hAnsi="Times New Roman"/>
          <w:sz w:val="24"/>
          <w:szCs w:val="24"/>
        </w:rPr>
        <w:t>Com isso, restou claro que o beneficiário da multa é a parte contrária e a possibilidade de se fixar a multa, independentemente de reiteração, em percentual que pode ser consideravelmente alto, a depender do valor da causa.</w:t>
      </w:r>
    </w:p>
    <w:p w:rsidR="001B0098" w:rsidRPr="000873C7" w:rsidRDefault="001B0098" w:rsidP="00146716">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Aliás, pretende o projeto proibir, por completo, a reiteração de embargos protelatórios, </w:t>
      </w:r>
      <w:r w:rsidR="00146716">
        <w:rPr>
          <w:rFonts w:ascii="Times New Roman" w:hAnsi="Times New Roman"/>
          <w:sz w:val="24"/>
          <w:szCs w:val="24"/>
        </w:rPr>
        <w:t>tanto assim que faz constar que “não serão admitidos novos embargos de declaração se os 2 (dois) anteriores houverem sido considerados protelatórios” (artigo 1026, §4º).</w:t>
      </w:r>
      <w:r w:rsidRPr="000873C7">
        <w:rPr>
          <w:rFonts w:ascii="Times New Roman" w:hAnsi="Times New Roman"/>
          <w:sz w:val="24"/>
          <w:szCs w:val="24"/>
        </w:rPr>
        <w:t xml:space="preserve"> Com a redação </w:t>
      </w:r>
      <w:r w:rsidR="00146716">
        <w:rPr>
          <w:rFonts w:ascii="Times New Roman" w:hAnsi="Times New Roman"/>
          <w:sz w:val="24"/>
          <w:szCs w:val="24"/>
        </w:rPr>
        <w:t>mencionada</w:t>
      </w:r>
      <w:r w:rsidRPr="000873C7">
        <w:rPr>
          <w:rFonts w:ascii="Times New Roman" w:hAnsi="Times New Roman"/>
          <w:sz w:val="24"/>
          <w:szCs w:val="24"/>
        </w:rPr>
        <w:t>, pretende-se excluir a possibilidade e, portanto</w:t>
      </w:r>
      <w:r w:rsidR="00146716">
        <w:rPr>
          <w:rFonts w:ascii="Times New Roman" w:hAnsi="Times New Roman"/>
          <w:sz w:val="24"/>
          <w:szCs w:val="24"/>
        </w:rPr>
        <w:t>,</w:t>
      </w:r>
      <w:r w:rsidRPr="000873C7">
        <w:rPr>
          <w:rFonts w:ascii="Times New Roman" w:hAnsi="Times New Roman"/>
          <w:sz w:val="24"/>
          <w:szCs w:val="24"/>
        </w:rPr>
        <w:t xml:space="preserve"> o próprio cabimento, do recurso de embargos de declaração.</w:t>
      </w:r>
    </w:p>
    <w:p w:rsidR="001B0098" w:rsidRPr="000873C7" w:rsidRDefault="001B0098"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Embora seja perfeitamente possível entender os objetivos</w:t>
      </w:r>
      <w:r w:rsidR="000B0C95" w:rsidRPr="000873C7">
        <w:rPr>
          <w:rFonts w:ascii="Times New Roman" w:hAnsi="Times New Roman"/>
          <w:sz w:val="24"/>
          <w:szCs w:val="24"/>
        </w:rPr>
        <w:t xml:space="preserve"> da proposta, voltadas ao melhor e mais rápido andamento do processo, a disposição é bastante discutível, uma vez que, na prática, pode inclusive representar negativa a prestação jurisdicional. Com efeito, na hipótese d</w:t>
      </w:r>
      <w:r w:rsidR="007529ED" w:rsidRPr="000873C7">
        <w:rPr>
          <w:rFonts w:ascii="Times New Roman" w:hAnsi="Times New Roman"/>
          <w:sz w:val="24"/>
          <w:szCs w:val="24"/>
        </w:rPr>
        <w:t>a real existência de omissão e entendimento do julgador prolator entender inexistir qualquer vício e, pior ainda, que está caracterizado o intuito protelatório, estará o embargante impedido legalmente de provocar a integração do julgado e os outros recursos, se cabíveis, talvez se restringirão ao reconhecimento de nulidade da decisão, sobretudo em virtude da impossibilidade de supressão de instância. Não se pode negar, além disso, a possibilidade da própria decisão que condena o embargante a multa em razão do caráter protelatório conter vício de obscuridade, contradição, omissão ou mesmo erro material, hipóteses que certamente</w:t>
      </w:r>
      <w:r w:rsidR="00262373" w:rsidRPr="000873C7">
        <w:rPr>
          <w:rFonts w:ascii="Times New Roman" w:hAnsi="Times New Roman"/>
          <w:sz w:val="24"/>
          <w:szCs w:val="24"/>
        </w:rPr>
        <w:t xml:space="preserve"> exigiriam o esclarecimento ou complementação que somente novos embargos seriam capazes de alcançar.</w:t>
      </w:r>
    </w:p>
    <w:p w:rsidR="00262373" w:rsidRPr="000873C7" w:rsidRDefault="00262373"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De qualquer modo, está claro o objetivo da proposta no sentido de ver reduzida a utilização do recurso que, infelizmente, tem sido utilizado em algumas situações como caminho quase natural e automático para a interposição de outros recursos posteriores, o que desvirtua o próprio instituto. </w:t>
      </w:r>
    </w:p>
    <w:p w:rsidR="006B1188" w:rsidRDefault="006B1188"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A questão representará reflexos diretos no entendimento a respeito do prequestionamento e dos embargos destinados a trazer aos autos o mencionado requisito, tema central do presente estudo e que será abordado no próximo item.</w:t>
      </w:r>
    </w:p>
    <w:p w:rsidR="00146716" w:rsidRDefault="00146716" w:rsidP="00165BFD">
      <w:pPr>
        <w:spacing w:line="360" w:lineRule="auto"/>
        <w:jc w:val="both"/>
        <w:rPr>
          <w:rFonts w:ascii="Times New Roman" w:hAnsi="Times New Roman"/>
          <w:b/>
          <w:sz w:val="24"/>
          <w:szCs w:val="24"/>
        </w:rPr>
      </w:pPr>
      <w:bookmarkStart w:id="5" w:name="art1026"/>
      <w:bookmarkStart w:id="6" w:name="art1026§4"/>
      <w:bookmarkEnd w:id="5"/>
      <w:bookmarkEnd w:id="6"/>
    </w:p>
    <w:p w:rsidR="006B1188" w:rsidRPr="000873C7" w:rsidRDefault="00264B19" w:rsidP="00165BFD">
      <w:pPr>
        <w:spacing w:line="360" w:lineRule="auto"/>
        <w:jc w:val="both"/>
        <w:rPr>
          <w:rFonts w:ascii="Times New Roman" w:hAnsi="Times New Roman"/>
          <w:b/>
          <w:sz w:val="24"/>
          <w:szCs w:val="24"/>
        </w:rPr>
      </w:pPr>
      <w:r w:rsidRPr="000873C7">
        <w:rPr>
          <w:rFonts w:ascii="Times New Roman" w:hAnsi="Times New Roman"/>
          <w:b/>
          <w:sz w:val="24"/>
          <w:szCs w:val="24"/>
        </w:rPr>
        <w:lastRenderedPageBreak/>
        <w:t xml:space="preserve">3. </w:t>
      </w:r>
      <w:r w:rsidR="006B1188" w:rsidRPr="000873C7">
        <w:rPr>
          <w:rFonts w:ascii="Times New Roman" w:hAnsi="Times New Roman"/>
          <w:b/>
          <w:sz w:val="24"/>
          <w:szCs w:val="24"/>
        </w:rPr>
        <w:t>EMBARGOS PREQUESTIONADORES</w:t>
      </w:r>
    </w:p>
    <w:p w:rsidR="00847FD2" w:rsidRPr="000873C7" w:rsidRDefault="00847FD2" w:rsidP="00165BFD">
      <w:pPr>
        <w:spacing w:line="360" w:lineRule="auto"/>
        <w:jc w:val="both"/>
        <w:rPr>
          <w:rFonts w:ascii="Times New Roman" w:hAnsi="Times New Roman"/>
          <w:b/>
          <w:sz w:val="24"/>
          <w:szCs w:val="24"/>
        </w:rPr>
      </w:pPr>
    </w:p>
    <w:p w:rsidR="006B1188" w:rsidRPr="000873C7" w:rsidRDefault="006B1188"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Nos itens anteriores foram revistos alguns conceitos e discussões em torno do chamado prequestionamento e do recurso de embargos de declaração.</w:t>
      </w:r>
    </w:p>
    <w:p w:rsidR="006B1188" w:rsidRPr="000873C7" w:rsidRDefault="006B1188"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Quanto ao prequestionamento, mesmo considerando as diversas discussões e posicionamentos a respeito da origem, fundamento e conceituação, indiscutível a necessidade de demonstração e observância da questão para que, preenchidos os demais requisitos legais, sejam os recursos excepcionais admitidos.</w:t>
      </w:r>
    </w:p>
    <w:p w:rsidR="006B1188" w:rsidRPr="000873C7" w:rsidRDefault="006B1188"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Parece correto e bastante coerente, portanto, o entendimento no sentido de que o chamado prequestionamento é tão somente uma decorrência da própria natureza e dos requisitos próprios do Recurso Especial e do Recurso Extraordinário</w:t>
      </w:r>
      <w:r w:rsidR="00E94245" w:rsidRPr="000873C7">
        <w:rPr>
          <w:rFonts w:ascii="Times New Roman" w:hAnsi="Times New Roman"/>
          <w:sz w:val="24"/>
          <w:szCs w:val="24"/>
        </w:rPr>
        <w:t>, por previsão Constitucional.</w:t>
      </w:r>
    </w:p>
    <w:p w:rsidR="00E94245" w:rsidRPr="000873C7" w:rsidRDefault="00E94245"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Realmente, não se pode negar que a Constituição Federal, de forma expressa, estabelece que os recursos mencionados envolvem questões decididas. É preciso, por conseguinte, que os fundamentos ensejadores do recurso tenham sido objeto de decisão pelo órgão de origem</w:t>
      </w:r>
      <w:r w:rsidR="001F3E40" w:rsidRPr="000873C7">
        <w:rPr>
          <w:rFonts w:ascii="Times New Roman" w:hAnsi="Times New Roman"/>
          <w:sz w:val="24"/>
          <w:szCs w:val="24"/>
        </w:rPr>
        <w:t>.</w:t>
      </w:r>
    </w:p>
    <w:p w:rsidR="003F6CC2" w:rsidRPr="000873C7" w:rsidRDefault="001F3E40"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Nesse contexto, a Constituição Federal não permite ao Superior Tribunal de Justiça e ao Supremo Tribunal Federal que conheçam de Recurso Especial e Extraordinário, respectivamente, sem que as questões apresentadas pelo recorrente como fundamentos recursais tenham sido decididas anteriormente. Trata-se, portanto, </w:t>
      </w:r>
      <w:r w:rsidR="003F6CC2" w:rsidRPr="000873C7">
        <w:rPr>
          <w:rFonts w:ascii="Times New Roman" w:hAnsi="Times New Roman"/>
          <w:sz w:val="24"/>
          <w:szCs w:val="24"/>
        </w:rPr>
        <w:t>de</w:t>
      </w:r>
      <w:r w:rsidRPr="000873C7">
        <w:rPr>
          <w:rFonts w:ascii="Times New Roman" w:hAnsi="Times New Roman"/>
          <w:sz w:val="24"/>
          <w:szCs w:val="24"/>
        </w:rPr>
        <w:t xml:space="preserve"> exigência da Constituição Federal</w:t>
      </w:r>
      <w:r w:rsidR="003F6CC2" w:rsidRPr="000873C7">
        <w:rPr>
          <w:rFonts w:ascii="Times New Roman" w:hAnsi="Times New Roman"/>
          <w:sz w:val="24"/>
          <w:szCs w:val="24"/>
        </w:rPr>
        <w:t xml:space="preserve"> e decorrência da própria natureza do recurso e dos Tribunais, no sentido de que apenas será possível verificar eventual violação das normas de caráter federal ou constitucional, por exemplo, se as referidas normas tiverem sido objeto de análise no acórdão recorrido, com o que estar-se-á caracterizada a questão decidida.</w:t>
      </w:r>
    </w:p>
    <w:p w:rsidR="003F6CC2" w:rsidRPr="000873C7" w:rsidRDefault="004A785B"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As exigências acima justificam a </w:t>
      </w:r>
      <w:proofErr w:type="spellStart"/>
      <w:r w:rsidRPr="000873C7">
        <w:rPr>
          <w:rFonts w:ascii="Times New Roman" w:hAnsi="Times New Roman"/>
          <w:sz w:val="24"/>
          <w:szCs w:val="24"/>
        </w:rPr>
        <w:t>freqüente</w:t>
      </w:r>
      <w:proofErr w:type="spellEnd"/>
      <w:r w:rsidRPr="000873C7">
        <w:rPr>
          <w:rFonts w:ascii="Times New Roman" w:hAnsi="Times New Roman"/>
          <w:sz w:val="24"/>
          <w:szCs w:val="24"/>
        </w:rPr>
        <w:t xml:space="preserve"> utilização, nos últimos anos, do recurso de embargos de declaração para que o acórdão efetivamente decida questões ensejadoras de posteriores recursos excepcionais ou as torne mais claras e precisas.</w:t>
      </w:r>
    </w:p>
    <w:p w:rsidR="004A785B" w:rsidRPr="000873C7" w:rsidRDefault="004A785B"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Não se trata, nesse ponto, de modalidade própria de recurso ou de espécie ou regime especial de embargos de declaração, mas pura e simples utilização do instituto, dentro das </w:t>
      </w:r>
      <w:r w:rsidRPr="000873C7">
        <w:rPr>
          <w:rFonts w:ascii="Times New Roman" w:hAnsi="Times New Roman"/>
          <w:sz w:val="24"/>
          <w:szCs w:val="24"/>
        </w:rPr>
        <w:lastRenderedPageBreak/>
        <w:t>hipóteses de cabimento que a legislação já apresenta, para tornar mais clara ou viável o caminho e posterior admissibilidade do Recurso Especial ou Extraordinário.</w:t>
      </w:r>
    </w:p>
    <w:p w:rsidR="004A785B" w:rsidRPr="000873C7" w:rsidRDefault="004A785B"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Daí</w:t>
      </w:r>
      <w:r w:rsidR="00C404B8" w:rsidRPr="000873C7">
        <w:rPr>
          <w:rFonts w:ascii="Times New Roman" w:hAnsi="Times New Roman"/>
          <w:sz w:val="24"/>
          <w:szCs w:val="24"/>
        </w:rPr>
        <w:t xml:space="preserve"> porque </w:t>
      </w:r>
      <w:r w:rsidR="00A52E78" w:rsidRPr="000873C7">
        <w:rPr>
          <w:rFonts w:ascii="Times New Roman" w:hAnsi="Times New Roman"/>
          <w:sz w:val="24"/>
          <w:szCs w:val="24"/>
        </w:rPr>
        <w:t>só ser possível</w:t>
      </w:r>
      <w:r w:rsidR="00C404B8" w:rsidRPr="000873C7">
        <w:rPr>
          <w:rFonts w:ascii="Times New Roman" w:hAnsi="Times New Roman"/>
          <w:sz w:val="24"/>
          <w:szCs w:val="24"/>
        </w:rPr>
        <w:t xml:space="preserve"> falar</w:t>
      </w:r>
      <w:r w:rsidR="00A52E78" w:rsidRPr="000873C7">
        <w:rPr>
          <w:rFonts w:ascii="Times New Roman" w:hAnsi="Times New Roman"/>
          <w:sz w:val="24"/>
          <w:szCs w:val="24"/>
        </w:rPr>
        <w:t>-se</w:t>
      </w:r>
      <w:r w:rsidR="00C404B8" w:rsidRPr="000873C7">
        <w:rPr>
          <w:rFonts w:ascii="Times New Roman" w:hAnsi="Times New Roman"/>
          <w:sz w:val="24"/>
          <w:szCs w:val="24"/>
        </w:rPr>
        <w:t xml:space="preserve"> </w:t>
      </w:r>
      <w:r w:rsidR="00A52E78" w:rsidRPr="000873C7">
        <w:rPr>
          <w:rFonts w:ascii="Times New Roman" w:hAnsi="Times New Roman"/>
          <w:sz w:val="24"/>
          <w:szCs w:val="24"/>
        </w:rPr>
        <w:t xml:space="preserve">em embargos de declaração </w:t>
      </w:r>
      <w:proofErr w:type="spellStart"/>
      <w:r w:rsidR="00A52E78" w:rsidRPr="000873C7">
        <w:rPr>
          <w:rFonts w:ascii="Times New Roman" w:hAnsi="Times New Roman"/>
          <w:sz w:val="24"/>
          <w:szCs w:val="24"/>
        </w:rPr>
        <w:t>prequestionadores</w:t>
      </w:r>
      <w:proofErr w:type="spellEnd"/>
      <w:r w:rsidR="00A52E78" w:rsidRPr="000873C7">
        <w:rPr>
          <w:rFonts w:ascii="Times New Roman" w:hAnsi="Times New Roman"/>
          <w:sz w:val="24"/>
          <w:szCs w:val="24"/>
        </w:rPr>
        <w:t xml:space="preserve"> quando o acórdão recorrido contiver vícios de obscuridade, contradição, omissão ou erro material</w:t>
      </w:r>
      <w:r w:rsidR="007B3F45" w:rsidRPr="000873C7">
        <w:rPr>
          <w:rStyle w:val="Refdenotaderodap"/>
          <w:rFonts w:ascii="Times New Roman" w:hAnsi="Times New Roman"/>
          <w:sz w:val="24"/>
          <w:szCs w:val="24"/>
        </w:rPr>
        <w:footnoteReference w:id="21"/>
      </w:r>
      <w:r w:rsidR="00A52E78" w:rsidRPr="000873C7">
        <w:rPr>
          <w:rFonts w:ascii="Times New Roman" w:hAnsi="Times New Roman"/>
          <w:sz w:val="24"/>
          <w:szCs w:val="24"/>
        </w:rPr>
        <w:t>.</w:t>
      </w:r>
    </w:p>
    <w:p w:rsidR="004E0290" w:rsidRPr="000873C7" w:rsidRDefault="004E0290"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Com isso, tem-se os embargos exatamente iguais a todos os demais e que, ao integrar ou aclarar o pronunciamento jurisdicional, acaba também por evidenciar o prequestionamento das possíveis matérias, uma vez que todas as questões pertinentes serão decididas e permitirão a apreciação pelos Tribunais Superiores, nos exatos termos da Constituição Federal.</w:t>
      </w:r>
    </w:p>
    <w:p w:rsidR="004E0290" w:rsidRPr="000873C7" w:rsidRDefault="004E0290"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Não se trata de qualquer inovação, mas única e exclusivamente da provocação a adequada apreciação e inclusão no acórdão de todas as questões fundamentais para a solução.</w:t>
      </w:r>
    </w:p>
    <w:p w:rsidR="004E0290" w:rsidRPr="000873C7" w:rsidRDefault="004E0290"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O </w:t>
      </w:r>
      <w:r w:rsidR="00857905" w:rsidRPr="000873C7">
        <w:rPr>
          <w:rFonts w:ascii="Times New Roman" w:hAnsi="Times New Roman"/>
          <w:sz w:val="24"/>
          <w:szCs w:val="24"/>
        </w:rPr>
        <w:t>excesso de rigor por parte dos T</w:t>
      </w:r>
      <w:r w:rsidRPr="000873C7">
        <w:rPr>
          <w:rFonts w:ascii="Times New Roman" w:hAnsi="Times New Roman"/>
          <w:sz w:val="24"/>
          <w:szCs w:val="24"/>
        </w:rPr>
        <w:t>ribunais na análise da questão</w:t>
      </w:r>
      <w:r w:rsidR="00857905" w:rsidRPr="000873C7">
        <w:rPr>
          <w:rFonts w:ascii="Times New Roman" w:hAnsi="Times New Roman"/>
          <w:sz w:val="24"/>
          <w:szCs w:val="24"/>
        </w:rPr>
        <w:t xml:space="preserve"> fez com que, nos últimos anos, tenham sido os embargos utilizados em larga escala e como caminho praticamente natural para posterior interposição de Recurso Especial e/ou Extraordinário.</w:t>
      </w:r>
    </w:p>
    <w:p w:rsidR="00857905" w:rsidRPr="000873C7" w:rsidRDefault="00857905"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A utilização indevida e muitas vezes desnecessári</w:t>
      </w:r>
      <w:r w:rsidR="00411275" w:rsidRPr="000873C7">
        <w:rPr>
          <w:rFonts w:ascii="Times New Roman" w:hAnsi="Times New Roman"/>
          <w:sz w:val="24"/>
          <w:szCs w:val="24"/>
        </w:rPr>
        <w:t>a</w:t>
      </w:r>
      <w:r w:rsidRPr="000873C7">
        <w:rPr>
          <w:rFonts w:ascii="Times New Roman" w:hAnsi="Times New Roman"/>
          <w:sz w:val="24"/>
          <w:szCs w:val="24"/>
        </w:rPr>
        <w:t xml:space="preserve"> ou impertinente das partes, de um lado, e o excesso de rigor dos Tribunais na constante restrição à admissibilidade dos recursos excepcionais, fez com que se prejudicasse, de certo modo, tanto os embargos, como também o papel dos Tribunais, tornando absolutamente </w:t>
      </w:r>
      <w:proofErr w:type="spellStart"/>
      <w:r w:rsidRPr="000873C7">
        <w:rPr>
          <w:rFonts w:ascii="Times New Roman" w:hAnsi="Times New Roman"/>
          <w:sz w:val="24"/>
          <w:szCs w:val="24"/>
        </w:rPr>
        <w:t>freqüentes</w:t>
      </w:r>
      <w:proofErr w:type="spellEnd"/>
      <w:r w:rsidRPr="000873C7">
        <w:rPr>
          <w:rFonts w:ascii="Times New Roman" w:hAnsi="Times New Roman"/>
          <w:sz w:val="24"/>
          <w:szCs w:val="24"/>
        </w:rPr>
        <w:t xml:space="preserve"> decisões de não provimento dos embargos, condenação a multa pela caracterização do intuito protelatório e justificativas no sentido de que os Tribunais e julgadores não estão </w:t>
      </w:r>
      <w:r w:rsidR="00A80D5C" w:rsidRPr="000873C7">
        <w:rPr>
          <w:rFonts w:ascii="Times New Roman" w:hAnsi="Times New Roman"/>
          <w:sz w:val="24"/>
          <w:szCs w:val="24"/>
        </w:rPr>
        <w:t>obrigados a apreciar todas as questões e fundamentos apresentados pelas partes.</w:t>
      </w:r>
    </w:p>
    <w:p w:rsidR="00A80D5C" w:rsidRPr="000873C7" w:rsidRDefault="00A80D5C"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Nesse sentido:</w:t>
      </w:r>
    </w:p>
    <w:p w:rsidR="00847FD2" w:rsidRPr="00AD2CFE" w:rsidRDefault="00847FD2" w:rsidP="00847FD2">
      <w:pPr>
        <w:spacing w:line="240" w:lineRule="auto"/>
        <w:ind w:left="2340"/>
        <w:jc w:val="both"/>
        <w:rPr>
          <w:rFonts w:ascii="Times New Roman" w:hAnsi="Times New Roman"/>
          <w:sz w:val="20"/>
          <w:szCs w:val="20"/>
        </w:rPr>
      </w:pPr>
      <w:r w:rsidRPr="00AD2CFE">
        <w:rPr>
          <w:rFonts w:ascii="Times New Roman" w:hAnsi="Times New Roman"/>
          <w:sz w:val="20"/>
          <w:szCs w:val="20"/>
        </w:rPr>
        <w:t xml:space="preserve">“[...]. Negativa de prestação jurisdicional não configurada. Livre apreciação da prova. Fundamentação suficiente. Ação de investigação judicial eleitoral. Captação ilícita de sufrágio. Participação indireta. Prova robusta. 1. Não se verifica violação ao art. 275, I e II, do Código Eleitoral se o acórdão recorrido examina todas as questões postas à sua análise e se os embargos veiculam a mera pretensão de rediscussão dos fundamentos da decisão. [...]. 2. O julgador não está obrigado a </w:t>
      </w:r>
      <w:r w:rsidRPr="00AD2CFE">
        <w:rPr>
          <w:rFonts w:ascii="Times New Roman" w:hAnsi="Times New Roman"/>
          <w:sz w:val="20"/>
          <w:szCs w:val="20"/>
        </w:rPr>
        <w:lastRenderedPageBreak/>
        <w:t>emitir pronunciamento acerca de todas as provas produzidas nos autos, tampouco acerca de todos os argumentos lançados pelas partes. Permite-se que o julgador dê prevalência às provas e aos fundamentos que sejam suficientes à formação de sua convicção, desde que motivadamente. [...].”</w:t>
      </w:r>
      <w:hyperlink r:id="rId9" w:tgtFrame="_blank" w:history="1">
        <w:r w:rsidRPr="00AD2CFE">
          <w:rPr>
            <w:rStyle w:val="Hyperlink"/>
            <w:rFonts w:ascii="Times New Roman" w:hAnsi="Times New Roman"/>
            <w:color w:val="auto"/>
            <w:sz w:val="20"/>
            <w:szCs w:val="20"/>
            <w:u w:val="none"/>
          </w:rPr>
          <w:t xml:space="preserve">(Ac. de 16.12.2010 no </w:t>
        </w:r>
        <w:proofErr w:type="spellStart"/>
        <w:r w:rsidRPr="00AD2CFE">
          <w:rPr>
            <w:rStyle w:val="Hyperlink"/>
            <w:rFonts w:ascii="Times New Roman" w:hAnsi="Times New Roman"/>
            <w:color w:val="auto"/>
            <w:sz w:val="20"/>
            <w:szCs w:val="20"/>
            <w:u w:val="none"/>
          </w:rPr>
          <w:t>AgR-AI</w:t>
        </w:r>
        <w:proofErr w:type="spellEnd"/>
        <w:r w:rsidRPr="00AD2CFE">
          <w:rPr>
            <w:rStyle w:val="Hyperlink"/>
            <w:rFonts w:ascii="Times New Roman" w:hAnsi="Times New Roman"/>
            <w:color w:val="auto"/>
            <w:sz w:val="20"/>
            <w:szCs w:val="20"/>
            <w:u w:val="none"/>
          </w:rPr>
          <w:t xml:space="preserve"> nº 123547, rel. Min. Aldir Passarinho Junior.)</w:t>
        </w:r>
      </w:hyperlink>
    </w:p>
    <w:p w:rsidR="00847FD2" w:rsidRPr="000873C7" w:rsidRDefault="00847FD2" w:rsidP="00D26B8D">
      <w:pPr>
        <w:spacing w:line="360" w:lineRule="auto"/>
        <w:ind w:firstLine="720"/>
        <w:jc w:val="both"/>
        <w:rPr>
          <w:rFonts w:ascii="Times New Roman" w:hAnsi="Times New Roman"/>
          <w:sz w:val="24"/>
          <w:szCs w:val="24"/>
        </w:rPr>
      </w:pPr>
    </w:p>
    <w:p w:rsidR="00432B62" w:rsidRPr="000873C7" w:rsidRDefault="00432B62"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A dificuldade acima apontada fez com que surgissem discussões e divergências de entendimento a respeito da matéria, com reflexos na doutrina e jurisprudência. Com efeito, uma corrente interpretativa entende que bastaria a oposição dos embargos com o levantamento das questões objeto do futuro recurso excepcional para a caracterização do prequestionamento, razão pela qual, uma vez apresentados os embargos e ainda que julgados improcedentes, caberia ao interessado interpor diretamente o recurso especial e/ou extraordinário.</w:t>
      </w:r>
    </w:p>
    <w:p w:rsidR="00432B62" w:rsidRPr="000873C7" w:rsidRDefault="00432B62"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A segunda corrente interpretativa sustenta que, não sendo conhecidos os embargos e suprido o vício, caberia ao interessado apresentar novos embargos de declaração e, persistindo o vício, interpor Recurso Especial sob o fundamento de violação do artigo 535 do Código de Processo Civil e pedido de reconhecimento de nulidade e negativa de prestação jurisdicional, de modo a fazer retornar os autos ao tribunal a quo para que efetivamente seja proferido novo acórdão com a análise integral das questões fundamentais e pertinentes para a decisão.</w:t>
      </w:r>
    </w:p>
    <w:p w:rsidR="00411275" w:rsidRPr="000873C7" w:rsidRDefault="00610CB9"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As mencionadas interpretações estão presentes de forma clara e divergente nos Tribunais Superiores, </w:t>
      </w:r>
      <w:r w:rsidR="00411275" w:rsidRPr="000873C7">
        <w:rPr>
          <w:rFonts w:ascii="Times New Roman" w:hAnsi="Times New Roman"/>
          <w:sz w:val="24"/>
          <w:szCs w:val="24"/>
        </w:rPr>
        <w:t>como se destaca do julgado abaixo transcrito:</w:t>
      </w:r>
    </w:p>
    <w:p w:rsidR="00411275" w:rsidRPr="00AD2CFE" w:rsidRDefault="00411275" w:rsidP="00D26B8D">
      <w:pPr>
        <w:spacing w:line="240" w:lineRule="auto"/>
        <w:ind w:left="2340"/>
        <w:jc w:val="both"/>
        <w:rPr>
          <w:rFonts w:ascii="Times New Roman" w:hAnsi="Times New Roman"/>
          <w:sz w:val="20"/>
          <w:szCs w:val="20"/>
        </w:rPr>
      </w:pPr>
      <w:r w:rsidRPr="00AD2CFE">
        <w:rPr>
          <w:rFonts w:ascii="Times New Roman" w:hAnsi="Times New Roman"/>
          <w:sz w:val="20"/>
          <w:szCs w:val="20"/>
        </w:rPr>
        <w:t>“O Supremo Tribunal Federal e o Superior Tribunal de Justiça fixaram critérios diferentes para a identificação do prequestionamento: para o primeiro, basta a oposição de embargos de declaração para caracterizar o prequestionamento em relação ao recurso extraordinário (Súmula nº 356); para o segundo, o prequestionamento só é reconhecido se o tribunal a quo tiver enfrentado a questão articulada no recurso especial (Súmula 211).” (</w:t>
      </w:r>
      <w:proofErr w:type="spellStart"/>
      <w:r w:rsidRPr="00AD2CFE">
        <w:rPr>
          <w:rFonts w:ascii="Times New Roman" w:hAnsi="Times New Roman"/>
          <w:sz w:val="20"/>
          <w:szCs w:val="20"/>
        </w:rPr>
        <w:t>EREsp</w:t>
      </w:r>
      <w:proofErr w:type="spellEnd"/>
      <w:r w:rsidRPr="00AD2CFE">
        <w:rPr>
          <w:rFonts w:ascii="Times New Roman" w:hAnsi="Times New Roman"/>
          <w:sz w:val="20"/>
          <w:szCs w:val="20"/>
        </w:rPr>
        <w:t xml:space="preserve"> 505.183/RS)</w:t>
      </w:r>
    </w:p>
    <w:p w:rsidR="001F3E40" w:rsidRPr="000873C7" w:rsidRDefault="00FD27B4"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Como se nota, p</w:t>
      </w:r>
      <w:r w:rsidR="00411275" w:rsidRPr="000873C7">
        <w:rPr>
          <w:rFonts w:ascii="Times New Roman" w:hAnsi="Times New Roman"/>
          <w:sz w:val="24"/>
          <w:szCs w:val="24"/>
        </w:rPr>
        <w:t>osicionou-se o Superior Tribunal de Justiça no sentido de que a admissibilidade do Recurso Especial exige que o tribunal a quo tenha enfrentado a questão articulada no recurso, razão pela qual não basta a simples oposição de embargos de declaração, mas a efetiva análise da questão, que deve constar do acórdão</w:t>
      </w:r>
      <w:r w:rsidR="00C637C5" w:rsidRPr="000873C7">
        <w:rPr>
          <w:rStyle w:val="Refdenotaderodap"/>
          <w:rFonts w:ascii="Times New Roman" w:hAnsi="Times New Roman"/>
          <w:sz w:val="24"/>
          <w:szCs w:val="24"/>
        </w:rPr>
        <w:footnoteReference w:id="22"/>
      </w:r>
      <w:r w:rsidR="00411275" w:rsidRPr="000873C7">
        <w:rPr>
          <w:rFonts w:ascii="Times New Roman" w:hAnsi="Times New Roman"/>
          <w:sz w:val="24"/>
          <w:szCs w:val="24"/>
        </w:rPr>
        <w:t>.</w:t>
      </w:r>
    </w:p>
    <w:p w:rsidR="00411275" w:rsidRPr="000873C7" w:rsidRDefault="00411275"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lastRenderedPageBreak/>
        <w:t xml:space="preserve">Por outro lado, diante da dificuldade da questão, </w:t>
      </w:r>
      <w:r w:rsidR="00FD27B4" w:rsidRPr="000873C7">
        <w:rPr>
          <w:rFonts w:ascii="Times New Roman" w:hAnsi="Times New Roman"/>
          <w:sz w:val="24"/>
          <w:szCs w:val="24"/>
        </w:rPr>
        <w:t xml:space="preserve">passou a </w:t>
      </w:r>
      <w:r w:rsidRPr="000873C7">
        <w:rPr>
          <w:rFonts w:ascii="Times New Roman" w:hAnsi="Times New Roman"/>
          <w:sz w:val="24"/>
          <w:szCs w:val="24"/>
        </w:rPr>
        <w:t>entende</w:t>
      </w:r>
      <w:r w:rsidR="00FD27B4" w:rsidRPr="000873C7">
        <w:rPr>
          <w:rFonts w:ascii="Times New Roman" w:hAnsi="Times New Roman"/>
          <w:sz w:val="24"/>
          <w:szCs w:val="24"/>
        </w:rPr>
        <w:t>r</w:t>
      </w:r>
      <w:r w:rsidRPr="000873C7">
        <w:rPr>
          <w:rFonts w:ascii="Times New Roman" w:hAnsi="Times New Roman"/>
          <w:sz w:val="24"/>
          <w:szCs w:val="24"/>
        </w:rPr>
        <w:t xml:space="preserve"> o Supremo Tribunal Federal</w:t>
      </w:r>
      <w:r w:rsidR="00432B62" w:rsidRPr="000873C7">
        <w:rPr>
          <w:rFonts w:ascii="Times New Roman" w:hAnsi="Times New Roman"/>
          <w:sz w:val="24"/>
          <w:szCs w:val="24"/>
        </w:rPr>
        <w:t xml:space="preserve"> que basta a oposição dos embargos para caracterizar o prequestionamento, uma vez que estará demonstrado que o recorrente praticou todos os atos que lhe competia para trazer aos autos a questão objeto do recurso, razão pela qual não pode ser prejudicada pela não manifestação clara e adequada por parte do tribunal a quo.</w:t>
      </w:r>
    </w:p>
    <w:p w:rsidR="00432B62" w:rsidRPr="000873C7" w:rsidRDefault="00FD27B4"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Qualquer que seja o entendimento, entretanto, não se pode ignorar a necessidade da questão objeto do recurso ter sido decidida pelo tribunal a quo. Nessa linha, a admissão posterior pelo STJ ou STF, nos termos das interpretações acima colacionadas, só parece possível e adequado se o acórdão contiver a questão, ainda que de forma talvez não tão clara ou precisa.</w:t>
      </w:r>
    </w:p>
    <w:p w:rsidR="007529ED" w:rsidRPr="000873C7" w:rsidRDefault="00722F94"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O </w:t>
      </w:r>
      <w:r w:rsidR="00AD2CFE">
        <w:rPr>
          <w:rFonts w:ascii="Times New Roman" w:hAnsi="Times New Roman"/>
          <w:sz w:val="24"/>
          <w:szCs w:val="24"/>
        </w:rPr>
        <w:t>Novo Código de Processo Civil</w:t>
      </w:r>
      <w:r w:rsidRPr="000873C7">
        <w:rPr>
          <w:rFonts w:ascii="Times New Roman" w:hAnsi="Times New Roman"/>
          <w:sz w:val="24"/>
          <w:szCs w:val="24"/>
        </w:rPr>
        <w:t xml:space="preserve">, atento à polêmica e divergência acima especificada e com o objetivo de assegurar maior possibilidade de admissão dos recursos, apresenta o texto do artigo </w:t>
      </w:r>
      <w:r w:rsidR="00AD2CFE">
        <w:rPr>
          <w:rFonts w:ascii="Times New Roman" w:hAnsi="Times New Roman"/>
          <w:sz w:val="24"/>
          <w:szCs w:val="24"/>
        </w:rPr>
        <w:t>1.025</w:t>
      </w:r>
      <w:r w:rsidRPr="000873C7">
        <w:rPr>
          <w:rFonts w:ascii="Times New Roman" w:hAnsi="Times New Roman"/>
          <w:sz w:val="24"/>
          <w:szCs w:val="24"/>
        </w:rPr>
        <w:t>, nos seguintes termos:</w:t>
      </w:r>
    </w:p>
    <w:p w:rsidR="00847FD2" w:rsidRPr="00AD2CFE" w:rsidRDefault="00722F94" w:rsidP="00AD2CFE">
      <w:pPr>
        <w:spacing w:line="240" w:lineRule="auto"/>
        <w:ind w:left="2340"/>
        <w:jc w:val="both"/>
        <w:rPr>
          <w:rFonts w:ascii="Times New Roman" w:hAnsi="Times New Roman"/>
          <w:sz w:val="20"/>
          <w:szCs w:val="20"/>
        </w:rPr>
      </w:pPr>
      <w:r w:rsidRPr="00AD2CFE">
        <w:rPr>
          <w:rFonts w:ascii="Times New Roman" w:hAnsi="Times New Roman"/>
          <w:sz w:val="20"/>
          <w:szCs w:val="20"/>
        </w:rPr>
        <w:t>“</w:t>
      </w:r>
      <w:bookmarkStart w:id="7" w:name="art1025"/>
      <w:bookmarkEnd w:id="7"/>
      <w:r w:rsidR="00AD2CFE" w:rsidRPr="00AD2CFE">
        <w:rPr>
          <w:rFonts w:ascii="Times New Roman" w:hAnsi="Times New Roman"/>
          <w:sz w:val="20"/>
          <w:szCs w:val="20"/>
        </w:rPr>
        <w:t>Consideram-se incluídos no acórdão os elementos que o embargante suscitou, para fins de pré-questionamento, ainda que os embargos de declaração sejam inadmitidos ou rejeitados, caso o tribunal superior considere existentes erro, omissão, contradição ou obscuridade.”</w:t>
      </w:r>
    </w:p>
    <w:p w:rsidR="00722F94" w:rsidRPr="000873C7" w:rsidRDefault="00722F94"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Inicialmente, é preciso destacar o claro objetivo do</w:t>
      </w:r>
      <w:r w:rsidR="00AD2CFE">
        <w:rPr>
          <w:rFonts w:ascii="Times New Roman" w:hAnsi="Times New Roman"/>
          <w:sz w:val="24"/>
          <w:szCs w:val="24"/>
        </w:rPr>
        <w:t xml:space="preserve"> </w:t>
      </w:r>
      <w:r w:rsidRPr="000873C7">
        <w:rPr>
          <w:rFonts w:ascii="Times New Roman" w:hAnsi="Times New Roman"/>
          <w:sz w:val="24"/>
          <w:szCs w:val="24"/>
        </w:rPr>
        <w:t>Novo Código de Processo Civil, por diversos dispositivos, de valorizar e destacar o principio do aproveitamento dos atos processuais e, no que tange aos recursos, aumentar as possibilidades de admissão e análise do mérito, com o que está sendo respeitado o valor instrumental do processo.</w:t>
      </w:r>
    </w:p>
    <w:p w:rsidR="00A720B9" w:rsidRPr="000873C7" w:rsidRDefault="00860F43"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Indiscutivelmente, aproximando-se do posicionamento hoje adotado pelo Supremo Tribunal Federal, pretende</w:t>
      </w:r>
      <w:r w:rsidR="00AD2CFE">
        <w:rPr>
          <w:rFonts w:ascii="Times New Roman" w:hAnsi="Times New Roman"/>
          <w:sz w:val="24"/>
          <w:szCs w:val="24"/>
        </w:rPr>
        <w:t xml:space="preserve">-se </w:t>
      </w:r>
      <w:r w:rsidRPr="000873C7">
        <w:rPr>
          <w:rFonts w:ascii="Times New Roman" w:hAnsi="Times New Roman"/>
          <w:sz w:val="24"/>
          <w:szCs w:val="24"/>
        </w:rPr>
        <w:t>tornar expressa na legislação e, com isso, estender ao Superior Tribunal de Justiça, o entendimento no sentido de que</w:t>
      </w:r>
      <w:r w:rsidR="00A720B9" w:rsidRPr="000873C7">
        <w:rPr>
          <w:rFonts w:ascii="Times New Roman" w:hAnsi="Times New Roman"/>
          <w:sz w:val="24"/>
          <w:szCs w:val="24"/>
        </w:rPr>
        <w:t xml:space="preserve"> “basta a oposição de embargos de </w:t>
      </w:r>
      <w:r w:rsidR="00A720B9" w:rsidRPr="000873C7">
        <w:rPr>
          <w:rFonts w:ascii="Times New Roman" w:hAnsi="Times New Roman"/>
          <w:sz w:val="24"/>
          <w:szCs w:val="24"/>
        </w:rPr>
        <w:lastRenderedPageBreak/>
        <w:t>declaração para caracterizar o prequestionamento em relação ao recurso extraordinário”, o que se extrai da interpretação dada a Súmula nº 356.</w:t>
      </w:r>
    </w:p>
    <w:p w:rsidR="00B011A7" w:rsidRPr="000873C7" w:rsidRDefault="00B011A7"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O conhecimento do histórico envolvendo as interpretações conceituais do chamado prequestionamento e a divergência hoje existente entre o STJ e o STF fazem concluir, sem a necessidade de maiores aprofundamentos, que a redação proposta objetiva assegurar maior admissibilidade aos recursos excepcionais e aproveitamento dos atos processuais, de modo inclusive a tornar desnecessário o reconhecimento de nulidade do acórdão (com o fundamento que hoje é utilizado – violação do artigo 535 do CPC) para posterior análise da questão de fundo.</w:t>
      </w:r>
    </w:p>
    <w:p w:rsidR="00B011A7" w:rsidRPr="000873C7" w:rsidRDefault="00B011A7"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O posicionamento acima, sem sombra de dúvida, faz com que se adote a interpretação hoje consagrada pelo Supremo Tribunal Federal.</w:t>
      </w:r>
    </w:p>
    <w:p w:rsidR="00B011A7" w:rsidRPr="000873C7" w:rsidRDefault="00B011A7"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A finalidade acima apontada e a coerência de posicionamentos entre os referidos Tribunais é algo que verdadeiramente deve ser buscado e valorizado e, nesse ponto, as discussões e reflexões a respeito do assunto merecem regulamentação.</w:t>
      </w:r>
    </w:p>
    <w:p w:rsidR="00B011A7" w:rsidRPr="000873C7" w:rsidRDefault="00B011A7"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Contudo, não se pode admitir que, sob o argumento de busca da instrumentalidade e aproveitamento dos atos processuais, permita-se </w:t>
      </w:r>
      <w:r w:rsidR="00A5417C" w:rsidRPr="000873C7">
        <w:rPr>
          <w:rFonts w:ascii="Times New Roman" w:hAnsi="Times New Roman"/>
          <w:sz w:val="24"/>
          <w:szCs w:val="24"/>
        </w:rPr>
        <w:t xml:space="preserve">a admissão dos recursos especial e extraordinário sem os requisitos exigidos pela própria Constituição Federal. </w:t>
      </w:r>
    </w:p>
    <w:p w:rsidR="00A5417C" w:rsidRPr="000873C7" w:rsidRDefault="00A5417C"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Necessário diferenciar as várias situações que podem se apresentar e se fundar nas disposições constantes da redação propostas.</w:t>
      </w:r>
    </w:p>
    <w:p w:rsidR="00A5417C" w:rsidRPr="000873C7" w:rsidRDefault="00A5417C"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Numa primeira situação, exemplificativa, seria possível constatar que determinado acórdão, ainda que de maneira não tão clara e precisa, contenha elementos capazes de ensejar recurso especial e/ou extraordinário. A parte, preocupada com o prequestionamento, opõe embargos de declaração sob o fundamento de existência de obscuridade ou contradição, visando com isso tornar mais clara a presença no acórdão das questões que se apresentarão exatamente como as razões recursais e acaba se deparando com </w:t>
      </w:r>
      <w:r w:rsidR="00AD2CFE">
        <w:rPr>
          <w:rFonts w:ascii="Times New Roman" w:hAnsi="Times New Roman"/>
          <w:sz w:val="24"/>
          <w:szCs w:val="24"/>
        </w:rPr>
        <w:t>a rejeição</w:t>
      </w:r>
      <w:r w:rsidRPr="000873C7">
        <w:rPr>
          <w:rFonts w:ascii="Times New Roman" w:hAnsi="Times New Roman"/>
          <w:sz w:val="24"/>
          <w:szCs w:val="24"/>
        </w:rPr>
        <w:t xml:space="preserve"> dos embargos. Com a disposição proposta, indiscutivelmente, tanto o STJ como o STF devem admitir o recurso especial e o recurso extraordinário, respectivamente, uma vez cumprido o requisito do prequestionamento, tanto em razão da questão já constar do acórdão, como também porque os embargos farão com que a</w:t>
      </w:r>
      <w:r w:rsidR="00290DCA" w:rsidRPr="000873C7">
        <w:rPr>
          <w:rFonts w:ascii="Times New Roman" w:hAnsi="Times New Roman"/>
          <w:sz w:val="24"/>
          <w:szCs w:val="24"/>
        </w:rPr>
        <w:t xml:space="preserve"> questão se torne mais clara e precisa, presente nos autos.</w:t>
      </w:r>
    </w:p>
    <w:p w:rsidR="00290DCA" w:rsidRPr="000873C7" w:rsidRDefault="00290DCA"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lastRenderedPageBreak/>
        <w:t>Note, entretanto, que no exemplo acima não haveria qualquer inovação, mas pura e simples observância das normas constitucionais e infraconstitucionais ligadas ao caso, uma vez que, por um modo ou outro</w:t>
      </w:r>
      <w:r w:rsidR="00AD2CFE">
        <w:rPr>
          <w:rFonts w:ascii="Times New Roman" w:hAnsi="Times New Roman"/>
          <w:sz w:val="24"/>
          <w:szCs w:val="24"/>
        </w:rPr>
        <w:t>, a questão já teria sido objet</w:t>
      </w:r>
      <w:r w:rsidRPr="000873C7">
        <w:rPr>
          <w:rFonts w:ascii="Times New Roman" w:hAnsi="Times New Roman"/>
          <w:sz w:val="24"/>
          <w:szCs w:val="24"/>
        </w:rPr>
        <w:t>o de decisão e os Tribunais Superiores considerarão desnecessários os embargos de declaração ou, quando muito, aproveitarão dos embargos para, única e exclusivamente, melhor entender ou extrair do acórdão combatido os argumentos e questões que a parte, talvez de maneira mais clara ou precisa, tenha apresentado. Respeita-se, com isso, o melhor entendimento a respeito da conceituação e amplitude do próprio prequestionamento.</w:t>
      </w:r>
    </w:p>
    <w:p w:rsidR="00290DCA" w:rsidRPr="000873C7" w:rsidRDefault="00290DCA"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O </w:t>
      </w:r>
      <w:r w:rsidR="00AD2CFE">
        <w:rPr>
          <w:rFonts w:ascii="Times New Roman" w:hAnsi="Times New Roman"/>
          <w:sz w:val="24"/>
          <w:szCs w:val="24"/>
        </w:rPr>
        <w:t>Novo CPC</w:t>
      </w:r>
      <w:r w:rsidRPr="000873C7">
        <w:rPr>
          <w:rFonts w:ascii="Times New Roman" w:hAnsi="Times New Roman"/>
          <w:sz w:val="24"/>
          <w:szCs w:val="24"/>
        </w:rPr>
        <w:t xml:space="preserve">, na situação acima, contribuirá apenas e talvez para que os Tribunais Superiores uniformizem o entendimento no sentido de que não se mostra necessária a declaração de nulidade do acórdão e a devolução ao Tribunal a quo. Haverá, ao que parece e talvez nos primeiros anos de vigência da nova legislação, apenas redução dos recursos especiais sob o fundamento de negativa de prestação jurisdicional, sob a expectativa de que o STJ ou STF avance para a admissibilidade e mérito do recurso com o maior aprofundamento e aproveitamento dos embargos de declaração. Por outro lado, sem qualquer dúvida, a utilização prévia dos embargos de declaração, algo que já é </w:t>
      </w:r>
      <w:r w:rsidR="00AD2CFE" w:rsidRPr="000873C7">
        <w:rPr>
          <w:rFonts w:ascii="Times New Roman" w:hAnsi="Times New Roman"/>
          <w:sz w:val="24"/>
          <w:szCs w:val="24"/>
        </w:rPr>
        <w:t>frequente</w:t>
      </w:r>
      <w:r w:rsidRPr="000873C7">
        <w:rPr>
          <w:rFonts w:ascii="Times New Roman" w:hAnsi="Times New Roman"/>
          <w:sz w:val="24"/>
          <w:szCs w:val="24"/>
        </w:rPr>
        <w:t>, será ainda maior e praticamente um caminho natural a ser utilizado pelas partes como forma de garantir maior probabilidade de admissão do recurso excepcional.</w:t>
      </w:r>
    </w:p>
    <w:p w:rsidR="00290DCA" w:rsidRPr="000873C7" w:rsidRDefault="00290DCA"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Não parece haver dúvidas de que, considerando os expressos termos da redação proposta e na expectativa de maior segurança jurídica, os advogados se valerão dos embargos de declaração</w:t>
      </w:r>
      <w:r w:rsidR="00A35C64" w:rsidRPr="000873C7">
        <w:rPr>
          <w:rFonts w:ascii="Times New Roman" w:hAnsi="Times New Roman"/>
          <w:sz w:val="24"/>
          <w:szCs w:val="24"/>
        </w:rPr>
        <w:t xml:space="preserve"> toda vez que pretenderem interpor recurso especial e/ou extraordinário, pensando com isso aumentar as possibilidades de entendimento no sentido de que está presente o prequestionamento.</w:t>
      </w:r>
    </w:p>
    <w:p w:rsidR="00A35C64" w:rsidRPr="000873C7" w:rsidRDefault="00A35C64"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Por aí se percebe, com o devido respeito, que a </w:t>
      </w:r>
      <w:r w:rsidR="00AD2CFE">
        <w:rPr>
          <w:rFonts w:ascii="Times New Roman" w:hAnsi="Times New Roman"/>
          <w:sz w:val="24"/>
          <w:szCs w:val="24"/>
        </w:rPr>
        <w:t>legislação</w:t>
      </w:r>
      <w:r w:rsidRPr="000873C7">
        <w:rPr>
          <w:rFonts w:ascii="Times New Roman" w:hAnsi="Times New Roman"/>
          <w:sz w:val="24"/>
          <w:szCs w:val="24"/>
        </w:rPr>
        <w:t xml:space="preserve"> talvez não alcance os objetivos desejados e, pior ainda, acabe por implantar os embargos como um requisito natural (embora não legal) dos recursos excepcionais.</w:t>
      </w:r>
    </w:p>
    <w:p w:rsidR="00A35C64" w:rsidRPr="000873C7" w:rsidRDefault="00A35C64"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Numa segunda situação, também exemplificativa, entende a parte que, em tese, a decisão do tribunal viola norma constitucional ou infraconstitucional, muito embora no acórdão </w:t>
      </w:r>
      <w:r w:rsidR="00E75385" w:rsidRPr="000873C7">
        <w:rPr>
          <w:rFonts w:ascii="Times New Roman" w:hAnsi="Times New Roman"/>
          <w:sz w:val="24"/>
          <w:szCs w:val="24"/>
        </w:rPr>
        <w:t>não conste a questão, especialmente em razão de omissão do Tribunal quanto a apreciação de questão fundamental e que evidenciaria a mencionada violação. Nesse ponto e seguindo exatamente o disposto na legislação, opõe o interessado embargos de declaração, que acaba rejeitado, de modo a persistir a omissão</w:t>
      </w:r>
      <w:r w:rsidR="003329F3" w:rsidRPr="000873C7">
        <w:rPr>
          <w:rFonts w:ascii="Times New Roman" w:hAnsi="Times New Roman"/>
          <w:sz w:val="24"/>
          <w:szCs w:val="24"/>
        </w:rPr>
        <w:t xml:space="preserve"> apontada. Com fundamento na</w:t>
      </w:r>
      <w:r w:rsidR="00AD2CFE">
        <w:rPr>
          <w:rFonts w:ascii="Times New Roman" w:hAnsi="Times New Roman"/>
          <w:sz w:val="24"/>
          <w:szCs w:val="24"/>
        </w:rPr>
        <w:t xml:space="preserve"> nova</w:t>
      </w:r>
      <w:r w:rsidR="003329F3" w:rsidRPr="000873C7">
        <w:rPr>
          <w:rFonts w:ascii="Times New Roman" w:hAnsi="Times New Roman"/>
          <w:sz w:val="24"/>
          <w:szCs w:val="24"/>
        </w:rPr>
        <w:t xml:space="preserve"> </w:t>
      </w:r>
      <w:r w:rsidR="003329F3" w:rsidRPr="000873C7">
        <w:rPr>
          <w:rFonts w:ascii="Times New Roman" w:hAnsi="Times New Roman"/>
          <w:sz w:val="24"/>
          <w:szCs w:val="24"/>
        </w:rPr>
        <w:lastRenderedPageBreak/>
        <w:t xml:space="preserve">redação e após interposição de recurso especial ou </w:t>
      </w:r>
      <w:proofErr w:type="spellStart"/>
      <w:r w:rsidR="003329F3" w:rsidRPr="000873C7">
        <w:rPr>
          <w:rFonts w:ascii="Times New Roman" w:hAnsi="Times New Roman"/>
          <w:sz w:val="24"/>
          <w:szCs w:val="24"/>
        </w:rPr>
        <w:t>extaordinário</w:t>
      </w:r>
      <w:proofErr w:type="spellEnd"/>
      <w:r w:rsidR="003329F3" w:rsidRPr="000873C7">
        <w:rPr>
          <w:rFonts w:ascii="Times New Roman" w:hAnsi="Times New Roman"/>
          <w:sz w:val="24"/>
          <w:szCs w:val="24"/>
        </w:rPr>
        <w:t xml:space="preserve">, entende o STJ ou STF que realmente existem omissões, razão pela qual, com base nos expressos termos da legislação, considera incluído no acórdão os elementos que o embargante </w:t>
      </w:r>
      <w:r w:rsidR="00677FDD">
        <w:rPr>
          <w:rFonts w:ascii="Times New Roman" w:hAnsi="Times New Roman"/>
          <w:sz w:val="24"/>
          <w:szCs w:val="24"/>
        </w:rPr>
        <w:t>suscitou</w:t>
      </w:r>
      <w:r w:rsidR="003329F3" w:rsidRPr="000873C7">
        <w:rPr>
          <w:rFonts w:ascii="Times New Roman" w:hAnsi="Times New Roman"/>
          <w:sz w:val="24"/>
          <w:szCs w:val="24"/>
        </w:rPr>
        <w:t>, o que implica na admissão do recurso.</w:t>
      </w:r>
    </w:p>
    <w:p w:rsidR="003329F3" w:rsidRPr="000873C7" w:rsidRDefault="003329F3"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Ora, na situação acima, que é perfeitamente factível, estar-se-ia violando a própria Constituição Federal, ao permitir, por legislação infraconstitucional, a admissão de recurso especial ou extraordinário mesmo sem que a questão objeto do recurso tenha sido efetivamente decidida pelo tribunal a quo. Em outras palavras, se o entendimento mais adequado a respeito do  prequestionamento é de que o que se exige é pura e simplesmente que a questão tenha sido decidida, dada a natureza do recurso e a disposição expressa da Constituição Federal, não se pode prescindir do referido requisito, sob pena de violação da própria Constituição.</w:t>
      </w:r>
    </w:p>
    <w:p w:rsidR="003329F3" w:rsidRPr="000873C7" w:rsidRDefault="003329F3"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Considerando que o acórdão é ato, ou pronunciamento, específico e inerente ao Poder Judiciário e não basta a suscitação de argumentos ou pedidos, mas sim a efetiva apreciação pelo órgão julgador para que se considere que houve questão decidida, não parece coerente a redação </w:t>
      </w:r>
      <w:r w:rsidR="00677FDD">
        <w:rPr>
          <w:rFonts w:ascii="Times New Roman" w:hAnsi="Times New Roman"/>
          <w:sz w:val="24"/>
          <w:szCs w:val="24"/>
        </w:rPr>
        <w:t xml:space="preserve">do artigo 1025 </w:t>
      </w:r>
      <w:r w:rsidRPr="000873C7">
        <w:rPr>
          <w:rFonts w:ascii="Times New Roman" w:hAnsi="Times New Roman"/>
          <w:sz w:val="24"/>
          <w:szCs w:val="24"/>
        </w:rPr>
        <w:t xml:space="preserve"> no sentido de que considerar-se-ão incluídos no acórdão os elementos que o embargante </w:t>
      </w:r>
      <w:r w:rsidR="00677FDD">
        <w:rPr>
          <w:rFonts w:ascii="Times New Roman" w:hAnsi="Times New Roman"/>
          <w:sz w:val="24"/>
          <w:szCs w:val="24"/>
        </w:rPr>
        <w:t>suscitou</w:t>
      </w:r>
      <w:r w:rsidRPr="000873C7">
        <w:rPr>
          <w:rFonts w:ascii="Times New Roman" w:hAnsi="Times New Roman"/>
          <w:sz w:val="24"/>
          <w:szCs w:val="24"/>
        </w:rPr>
        <w:t>.</w:t>
      </w:r>
    </w:p>
    <w:p w:rsidR="003329F3" w:rsidRPr="000873C7" w:rsidRDefault="003329F3"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Nos casos de obscuridade ou contradição </w:t>
      </w:r>
      <w:r w:rsidR="00CD14C2" w:rsidRPr="000873C7">
        <w:rPr>
          <w:rFonts w:ascii="Times New Roman" w:hAnsi="Times New Roman"/>
          <w:sz w:val="24"/>
          <w:szCs w:val="24"/>
        </w:rPr>
        <w:t>talvez seja</w:t>
      </w:r>
      <w:r w:rsidRPr="000873C7">
        <w:rPr>
          <w:rFonts w:ascii="Times New Roman" w:hAnsi="Times New Roman"/>
          <w:sz w:val="24"/>
          <w:szCs w:val="24"/>
        </w:rPr>
        <w:t xml:space="preserve"> possível pensar-se que a questão fora decidida</w:t>
      </w:r>
      <w:r w:rsidR="00CD14C2" w:rsidRPr="000873C7">
        <w:rPr>
          <w:rFonts w:ascii="Times New Roman" w:hAnsi="Times New Roman"/>
          <w:sz w:val="24"/>
          <w:szCs w:val="24"/>
        </w:rPr>
        <w:t xml:space="preserve"> mas, em razão da falta de clareza ou precisão na redação, os embargos de declaração, mesmo</w:t>
      </w:r>
      <w:r w:rsidR="00677FDD">
        <w:rPr>
          <w:rFonts w:ascii="Times New Roman" w:hAnsi="Times New Roman"/>
          <w:sz w:val="24"/>
          <w:szCs w:val="24"/>
        </w:rPr>
        <w:t xml:space="preserve"> rejeitados</w:t>
      </w:r>
      <w:r w:rsidR="00CD14C2" w:rsidRPr="000873C7">
        <w:rPr>
          <w:rFonts w:ascii="Times New Roman" w:hAnsi="Times New Roman"/>
          <w:sz w:val="24"/>
          <w:szCs w:val="24"/>
        </w:rPr>
        <w:t>, possam contribuir para melhor inteligência do ato e admissibilidade do recurso excepcional. Essa hipótese, entretanto, não representa qualquer novidade ao que hoje já se contempla na legislação e mesmo nos entendimentos jurisprudenciais. Entendendo os tribunais que a questão foi apreciada, ainda que de maneira não expressa, pode e deve ser admitido o recurso, tendo sido ou não apresentados previamente os embargos de declaração.</w:t>
      </w:r>
    </w:p>
    <w:p w:rsidR="00CD14C2" w:rsidRPr="000873C7" w:rsidRDefault="00CD14C2"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De outro lado, ao reconhecer que houve omissão, necessariamente se conclui que falta algo no acórdão e que, portanto, deixou de ser apreciado. Não tendo sido a questão apreciada e considerando que somente do Judiciário emanam os pronunciamentos processuais decisórios, em hipótese alguma é possível sustentar que os elementos constantes dos embargos de declaração tenham o poder de fazer inclusões no acórdão, de modo a suprir o vício e fazer presente o requisito constitucional. Assim, com ou sem embargos, a questão </w:t>
      </w:r>
      <w:r w:rsidRPr="000873C7">
        <w:rPr>
          <w:rFonts w:ascii="Times New Roman" w:hAnsi="Times New Roman"/>
          <w:sz w:val="24"/>
          <w:szCs w:val="24"/>
        </w:rPr>
        <w:lastRenderedPageBreak/>
        <w:t>objeto do recurso deixou de ser decidida, o que impede o STJ e o STF de admitir o recurso, sob pena de clara violação a Constituição Federal.</w:t>
      </w:r>
    </w:p>
    <w:p w:rsidR="00CD14C2" w:rsidRPr="000873C7" w:rsidRDefault="00883334"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Poder-se-ia sustentar que a redação do artigo objeto do estudo deverá ser interpretada à luz da Constituição Federal, o que é evidente e sempre necessário. Todavia</w:t>
      </w:r>
      <w:r w:rsidR="003C26AB" w:rsidRPr="000873C7">
        <w:rPr>
          <w:rFonts w:ascii="Times New Roman" w:hAnsi="Times New Roman"/>
          <w:sz w:val="24"/>
          <w:szCs w:val="24"/>
        </w:rPr>
        <w:t>, a mencionada interpretação levará a simples e inevitável conclusão de que é sempre necessário que a questão tenha sido decidida para que possa ser revista pelos Tribunais Superiores e, nesse ponto e para fins de admissibilidade recursal, ou os embargos de declaração eram dispensáveis ou eram necessários mas não cumpriram a sua finalidade.</w:t>
      </w:r>
    </w:p>
    <w:p w:rsidR="003C26AB" w:rsidRPr="000873C7" w:rsidRDefault="003C26AB"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Sendo realmente indispensáveis para provocar a real apreciação da questão, a sua simples oposição nunca será suficiente para suprir a necessidade de apreciação pelo Judiciário, o que implica em retorno a situação e ao entendimento que hoje se extrai da questão: o acórdão é nulo, deixou de aplicar adequadamente a legislação processual ao negar provimento aos embargos de declaração e, com isso, está caracterizada negativa de prestação jurisdicional, obstáculo que não pode ser ignorado pelos Tribunais Superiores.</w:t>
      </w:r>
    </w:p>
    <w:p w:rsidR="00677FDD" w:rsidRDefault="003C26AB" w:rsidP="00677FDD">
      <w:pPr>
        <w:spacing w:line="360" w:lineRule="auto"/>
        <w:ind w:firstLine="720"/>
        <w:jc w:val="both"/>
        <w:rPr>
          <w:rFonts w:ascii="Times New Roman" w:hAnsi="Times New Roman"/>
          <w:sz w:val="24"/>
          <w:szCs w:val="24"/>
        </w:rPr>
      </w:pPr>
      <w:r w:rsidRPr="000873C7">
        <w:rPr>
          <w:rFonts w:ascii="Times New Roman" w:hAnsi="Times New Roman"/>
          <w:sz w:val="24"/>
          <w:szCs w:val="24"/>
        </w:rPr>
        <w:t>Em</w:t>
      </w:r>
      <w:r w:rsidR="00677FDD">
        <w:rPr>
          <w:rFonts w:ascii="Times New Roman" w:hAnsi="Times New Roman"/>
          <w:sz w:val="24"/>
          <w:szCs w:val="24"/>
        </w:rPr>
        <w:t xml:space="preserve"> que pesem as boas intenções que levaram a aprovação da nova redação</w:t>
      </w:r>
      <w:r w:rsidRPr="000873C7">
        <w:rPr>
          <w:rFonts w:ascii="Times New Roman" w:hAnsi="Times New Roman"/>
          <w:sz w:val="24"/>
          <w:szCs w:val="24"/>
        </w:rPr>
        <w:t>, as considerações acima fazem concluir que o dispositivo padece de aparente inconstitucionalidade, uma vez que as interpretações restritivas à sua aplicação implicará em reconhecimento da própria inutilidade da regra e, de outro lado, qualquer interpretação mais abrangente esbarrará no texto constitucional.</w:t>
      </w:r>
    </w:p>
    <w:p w:rsidR="00677FDD" w:rsidRDefault="00677FDD" w:rsidP="00677FDD">
      <w:pPr>
        <w:spacing w:line="360" w:lineRule="auto"/>
        <w:jc w:val="both"/>
        <w:rPr>
          <w:rFonts w:ascii="Times New Roman" w:hAnsi="Times New Roman"/>
          <w:sz w:val="24"/>
          <w:szCs w:val="24"/>
        </w:rPr>
      </w:pPr>
    </w:p>
    <w:p w:rsidR="00A5417C" w:rsidRPr="000873C7" w:rsidRDefault="003C26AB" w:rsidP="00677FDD">
      <w:pPr>
        <w:spacing w:line="360" w:lineRule="auto"/>
        <w:jc w:val="both"/>
        <w:rPr>
          <w:rFonts w:ascii="Times New Roman" w:hAnsi="Times New Roman"/>
          <w:b/>
          <w:sz w:val="24"/>
          <w:szCs w:val="24"/>
        </w:rPr>
      </w:pPr>
      <w:r w:rsidRPr="000873C7">
        <w:rPr>
          <w:rFonts w:ascii="Times New Roman" w:hAnsi="Times New Roman"/>
          <w:b/>
          <w:sz w:val="24"/>
          <w:szCs w:val="24"/>
        </w:rPr>
        <w:t>CONSIDERAÇÕES FINAIS</w:t>
      </w:r>
    </w:p>
    <w:p w:rsidR="00FE21D6" w:rsidRPr="000873C7" w:rsidRDefault="00FE21D6" w:rsidP="00165BFD">
      <w:pPr>
        <w:spacing w:line="360" w:lineRule="auto"/>
        <w:jc w:val="both"/>
        <w:rPr>
          <w:rFonts w:ascii="Times New Roman" w:hAnsi="Times New Roman"/>
          <w:sz w:val="24"/>
          <w:szCs w:val="24"/>
        </w:rPr>
      </w:pPr>
    </w:p>
    <w:p w:rsidR="00B011A7" w:rsidRPr="000873C7" w:rsidRDefault="004944C3"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O presente trabalho, sem qualquer pretensão de esgotamento do tema ou de busca de unanimidade, tem por objetivo rever os conceitos e interpretações a respeito do prequestionamento, dos embargos de declaração e sua utilização para fins de admissão do recurso especial e do recurso extraordinário, tendo como foco as disposições constantes do Novo Código de Processo Civil.</w:t>
      </w:r>
    </w:p>
    <w:p w:rsidR="00BE2776" w:rsidRPr="000873C7" w:rsidRDefault="00BE2776"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Com o foco acima delimitado e respeitadas as divergências e controvérsias existentes a respeito do assunto, resumidamente, é possível se extrair algumas importante conclusões.</w:t>
      </w:r>
    </w:p>
    <w:p w:rsidR="00BE2776" w:rsidRPr="000873C7" w:rsidRDefault="00BE2776"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lastRenderedPageBreak/>
        <w:t>O chamado prequestionamento deve ser entendido como simples requisito legal exigido pela Constituição Federal e que respeita o papel e as atribuições guardadas ao Superior Tribunal de Justiça e ao Supremo Tribunal Federal. Assim, para que se possa pensar em reexame e uniformização de interpretação das normas constitucionais e infraconstitucionais por parte dos Tribunais Superiores, é preciso que antes as possíveis violações tenha</w:t>
      </w:r>
      <w:r w:rsidR="007C6134" w:rsidRPr="000873C7">
        <w:rPr>
          <w:rFonts w:ascii="Times New Roman" w:hAnsi="Times New Roman"/>
          <w:sz w:val="24"/>
          <w:szCs w:val="24"/>
        </w:rPr>
        <w:t>m</w:t>
      </w:r>
      <w:r w:rsidRPr="000873C7">
        <w:rPr>
          <w:rFonts w:ascii="Times New Roman" w:hAnsi="Times New Roman"/>
          <w:sz w:val="24"/>
          <w:szCs w:val="24"/>
        </w:rPr>
        <w:t xml:space="preserve"> sido objeto de análise e decisão, de modo a se caracterizar como questão decidida. </w:t>
      </w:r>
    </w:p>
    <w:p w:rsidR="00BE2776" w:rsidRPr="000873C7" w:rsidRDefault="00BE2776"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Tendo sido efetivamente decididas, desnecessários que constem de maneira numérica ou mesmo expressas, desde que seja possível extrair do acórdão as questões fundamentais para o resultado final e que se apresentam como fundamentos dos recursos excepcionais.</w:t>
      </w:r>
    </w:p>
    <w:p w:rsidR="00BE2776" w:rsidRPr="000873C7" w:rsidRDefault="00BE2776"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 </w:t>
      </w:r>
      <w:r w:rsidR="007C6134" w:rsidRPr="000873C7">
        <w:rPr>
          <w:rFonts w:ascii="Times New Roman" w:hAnsi="Times New Roman"/>
          <w:sz w:val="24"/>
          <w:szCs w:val="24"/>
        </w:rPr>
        <w:t>O recurso de embargos de declaração representa mecanismo de fundamental importância para que todo e qualquer pronunciamento jurisdicional se apresente de maneira fundamentada e, ainda, com clareza e precisão.</w:t>
      </w:r>
    </w:p>
    <w:p w:rsidR="007C6134" w:rsidRPr="000873C7" w:rsidRDefault="007C6134"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O </w:t>
      </w:r>
      <w:r w:rsidR="00677FDD">
        <w:rPr>
          <w:rFonts w:ascii="Times New Roman" w:hAnsi="Times New Roman"/>
          <w:sz w:val="24"/>
          <w:szCs w:val="24"/>
        </w:rPr>
        <w:t xml:space="preserve">Novo </w:t>
      </w:r>
      <w:r w:rsidRPr="000873C7">
        <w:rPr>
          <w:rFonts w:ascii="Times New Roman" w:hAnsi="Times New Roman"/>
          <w:sz w:val="24"/>
          <w:szCs w:val="24"/>
        </w:rPr>
        <w:t>Código de Processo Civil</w:t>
      </w:r>
      <w:r w:rsidR="00677FDD">
        <w:rPr>
          <w:rFonts w:ascii="Times New Roman" w:hAnsi="Times New Roman"/>
          <w:sz w:val="24"/>
          <w:szCs w:val="24"/>
        </w:rPr>
        <w:t>,</w:t>
      </w:r>
      <w:r w:rsidRPr="000873C7">
        <w:rPr>
          <w:rFonts w:ascii="Times New Roman" w:hAnsi="Times New Roman"/>
          <w:sz w:val="24"/>
          <w:szCs w:val="24"/>
        </w:rPr>
        <w:t xml:space="preserve"> ao disciplinar os embargos de declaração, respeitou as discussões já travadas na doutrina e na jurisprudência e embora não tenha apresentado grandes modificações, contempla alguns detalhes capazes de dar maior segurança para os jurisdicionados e também ao Judiciário.</w:t>
      </w:r>
    </w:p>
    <w:p w:rsidR="007C6134" w:rsidRPr="000873C7" w:rsidRDefault="007C6134"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Tratando-se especificamente da utilização dos embargos de declaração </w:t>
      </w:r>
      <w:proofErr w:type="spellStart"/>
      <w:r w:rsidRPr="000873C7">
        <w:rPr>
          <w:rFonts w:ascii="Times New Roman" w:hAnsi="Times New Roman"/>
          <w:sz w:val="24"/>
          <w:szCs w:val="24"/>
        </w:rPr>
        <w:t>prequestionadores</w:t>
      </w:r>
      <w:proofErr w:type="spellEnd"/>
      <w:r w:rsidRPr="000873C7">
        <w:rPr>
          <w:rFonts w:ascii="Times New Roman" w:hAnsi="Times New Roman"/>
          <w:sz w:val="24"/>
          <w:szCs w:val="24"/>
        </w:rPr>
        <w:t xml:space="preserve">, pretende </w:t>
      </w:r>
      <w:r w:rsidR="00677FDD">
        <w:rPr>
          <w:rFonts w:ascii="Times New Roman" w:hAnsi="Times New Roman"/>
          <w:sz w:val="24"/>
          <w:szCs w:val="24"/>
        </w:rPr>
        <w:t>a nova legislação</w:t>
      </w:r>
      <w:r w:rsidRPr="000873C7">
        <w:rPr>
          <w:rFonts w:ascii="Times New Roman" w:hAnsi="Times New Roman"/>
          <w:sz w:val="24"/>
          <w:szCs w:val="24"/>
        </w:rPr>
        <w:t xml:space="preserve"> trazer grande inovação, com o claro objetivo de uniformizar o entendimento por parte dos Tribunais Superiores e, ainda, garantir maior possibilidade de admissão dos recursos, o que atende aos anseios dos operadores do direito, dado o excesso de rigor por parte dos tribunais e a chamada jurisprudência defensiva.</w:t>
      </w:r>
    </w:p>
    <w:p w:rsidR="007C6134" w:rsidRPr="000873C7" w:rsidRDefault="00677FDD" w:rsidP="00D26B8D">
      <w:pPr>
        <w:spacing w:line="360" w:lineRule="auto"/>
        <w:ind w:firstLine="720"/>
        <w:jc w:val="both"/>
        <w:rPr>
          <w:rFonts w:ascii="Times New Roman" w:hAnsi="Times New Roman"/>
          <w:sz w:val="24"/>
          <w:szCs w:val="24"/>
        </w:rPr>
      </w:pPr>
      <w:r>
        <w:rPr>
          <w:rFonts w:ascii="Times New Roman" w:hAnsi="Times New Roman"/>
          <w:sz w:val="24"/>
          <w:szCs w:val="24"/>
        </w:rPr>
        <w:t>Pretende-se</w:t>
      </w:r>
      <w:r w:rsidR="007C6134" w:rsidRPr="000873C7">
        <w:rPr>
          <w:rFonts w:ascii="Times New Roman" w:hAnsi="Times New Roman"/>
          <w:sz w:val="24"/>
          <w:szCs w:val="24"/>
        </w:rPr>
        <w:t>, ao que parece, atribuir aos fundamentos dos embargos, ainda que não acolhidos pelo órgão prolator, o poder de fa</w:t>
      </w:r>
      <w:r w:rsidR="00F77750" w:rsidRPr="000873C7">
        <w:rPr>
          <w:rFonts w:ascii="Times New Roman" w:hAnsi="Times New Roman"/>
          <w:sz w:val="24"/>
          <w:szCs w:val="24"/>
        </w:rPr>
        <w:t>zer</w:t>
      </w:r>
      <w:r w:rsidR="007C6134" w:rsidRPr="000873C7">
        <w:rPr>
          <w:rFonts w:ascii="Times New Roman" w:hAnsi="Times New Roman"/>
          <w:sz w:val="24"/>
          <w:szCs w:val="24"/>
        </w:rPr>
        <w:t xml:space="preserve"> </w:t>
      </w:r>
      <w:r w:rsidR="00F77750" w:rsidRPr="000873C7">
        <w:rPr>
          <w:rFonts w:ascii="Times New Roman" w:hAnsi="Times New Roman"/>
          <w:sz w:val="24"/>
          <w:szCs w:val="24"/>
        </w:rPr>
        <w:t>incluir e complementar o próprio acórdão, de modo a permitir a</w:t>
      </w:r>
      <w:r>
        <w:rPr>
          <w:rFonts w:ascii="Times New Roman" w:hAnsi="Times New Roman"/>
          <w:sz w:val="24"/>
          <w:szCs w:val="24"/>
        </w:rPr>
        <w:t>o</w:t>
      </w:r>
      <w:r w:rsidR="00F77750" w:rsidRPr="000873C7">
        <w:rPr>
          <w:rFonts w:ascii="Times New Roman" w:hAnsi="Times New Roman"/>
          <w:sz w:val="24"/>
          <w:szCs w:val="24"/>
        </w:rPr>
        <w:t xml:space="preserve">s tribunais considerar </w:t>
      </w:r>
      <w:proofErr w:type="spellStart"/>
      <w:r w:rsidR="00F77750" w:rsidRPr="000873C7">
        <w:rPr>
          <w:rFonts w:ascii="Times New Roman" w:hAnsi="Times New Roman"/>
          <w:sz w:val="24"/>
          <w:szCs w:val="24"/>
        </w:rPr>
        <w:t>prequestionada</w:t>
      </w:r>
      <w:proofErr w:type="spellEnd"/>
      <w:r w:rsidR="00F77750" w:rsidRPr="000873C7">
        <w:rPr>
          <w:rFonts w:ascii="Times New Roman" w:hAnsi="Times New Roman"/>
          <w:sz w:val="24"/>
          <w:szCs w:val="24"/>
        </w:rPr>
        <w:t xml:space="preserve"> a matéria e, portanto, capaz de ser revista.</w:t>
      </w:r>
    </w:p>
    <w:p w:rsidR="00BE2776" w:rsidRPr="000873C7" w:rsidRDefault="00F77750"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Respeitados os entendimentos em sentido contrário, parece que a finalidade almejada, embora louvável, acaba por esbarrar nos próprios dispositivos Constitucionais,</w:t>
      </w:r>
      <w:r w:rsidR="00DD69E2" w:rsidRPr="000873C7">
        <w:rPr>
          <w:rFonts w:ascii="Times New Roman" w:hAnsi="Times New Roman"/>
          <w:sz w:val="24"/>
          <w:szCs w:val="24"/>
        </w:rPr>
        <w:t xml:space="preserve"> por vários motivos.</w:t>
      </w:r>
    </w:p>
    <w:p w:rsidR="00DD69E2" w:rsidRPr="000873C7" w:rsidRDefault="00DD69E2"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lastRenderedPageBreak/>
        <w:t>Não se pode conferir ao jurisdicionado o poder de decidir e não se pode confundir o poder de se manifestar, argumentar e postular com o poder decisório inerente aos membros do Judiciário (no âmbito do processo), de modo que a legislação processual não pode conferir aos fundamentos</w:t>
      </w:r>
      <w:r w:rsidR="00677FDD">
        <w:rPr>
          <w:rFonts w:ascii="Times New Roman" w:hAnsi="Times New Roman"/>
          <w:sz w:val="24"/>
          <w:szCs w:val="24"/>
        </w:rPr>
        <w:t xml:space="preserve"> suscitados pelas</w:t>
      </w:r>
      <w:r w:rsidRPr="000873C7">
        <w:rPr>
          <w:rFonts w:ascii="Times New Roman" w:hAnsi="Times New Roman"/>
          <w:sz w:val="24"/>
          <w:szCs w:val="24"/>
        </w:rPr>
        <w:t xml:space="preserve"> partes o mesmo poder e efeito dos pronunciamentos decisórios dos órgãos jurisdicionais.</w:t>
      </w:r>
    </w:p>
    <w:p w:rsidR="000632D8" w:rsidRPr="000873C7" w:rsidRDefault="000632D8"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O recurso especial e o recurso extraordinário são institutos de caráter excepcional e de importância fundamental para o próprio Estado Democrático de Direito, daí porque suas disposições, hipóteses de cabimento e requisitos parte</w:t>
      </w:r>
      <w:r w:rsidR="00677FDD">
        <w:rPr>
          <w:rFonts w:ascii="Times New Roman" w:hAnsi="Times New Roman"/>
          <w:sz w:val="24"/>
          <w:szCs w:val="24"/>
        </w:rPr>
        <w:t>m</w:t>
      </w:r>
      <w:r w:rsidRPr="000873C7">
        <w:rPr>
          <w:rFonts w:ascii="Times New Roman" w:hAnsi="Times New Roman"/>
          <w:sz w:val="24"/>
          <w:szCs w:val="24"/>
        </w:rPr>
        <w:t xml:space="preserve"> da própria Constituição Federal e são complementadas pela legislação infraconstitucional. Concluindo-se pela necessidade de decisão anterior para admissão e reexame pelo Tribunal Superior, em virtude da expressão constante do texto constitucional, não se pode admitir que a legislação infraconstitucional apresente regramento capaz de tornar desnecessári</w:t>
      </w:r>
      <w:r w:rsidR="00677FDD">
        <w:rPr>
          <w:rFonts w:ascii="Times New Roman" w:hAnsi="Times New Roman"/>
          <w:sz w:val="24"/>
          <w:szCs w:val="24"/>
        </w:rPr>
        <w:t>a</w:t>
      </w:r>
      <w:r w:rsidRPr="000873C7">
        <w:rPr>
          <w:rFonts w:ascii="Times New Roman" w:hAnsi="Times New Roman"/>
          <w:sz w:val="24"/>
          <w:szCs w:val="24"/>
        </w:rPr>
        <w:t xml:space="preserve"> a mencionada prévia apreciação.</w:t>
      </w:r>
    </w:p>
    <w:p w:rsidR="000632D8" w:rsidRPr="000873C7" w:rsidRDefault="000632D8"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A aplicação da redação </w:t>
      </w:r>
      <w:r w:rsidR="00677FDD">
        <w:rPr>
          <w:rFonts w:ascii="Times New Roman" w:hAnsi="Times New Roman"/>
          <w:sz w:val="24"/>
          <w:szCs w:val="24"/>
        </w:rPr>
        <w:t>do artigo 1025 do Novo CPC</w:t>
      </w:r>
      <w:r w:rsidRPr="000873C7">
        <w:rPr>
          <w:rFonts w:ascii="Times New Roman" w:hAnsi="Times New Roman"/>
          <w:sz w:val="24"/>
          <w:szCs w:val="24"/>
        </w:rPr>
        <w:t>, com a consideração de que os fundamentos dos embargos integram o acórdão, sobretudo nos casos de omissão, implica no claro reconhecimento de que o Judiciário não se pronunciou a respeito da questão objeto do recurso especial ou extraordinário, de modo que a aplicação da norma do Código de Processo Civil e a admissão do recurso implica em violação à Constituição Federal e quebra do papel dos Tribunais Superiores.</w:t>
      </w:r>
    </w:p>
    <w:p w:rsidR="000632D8" w:rsidRPr="000873C7" w:rsidRDefault="002A288D"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A norma proposta, portanto, provocará a utilização desenfreada e absolutamente constante dos embargos de declaração por todos aqueles que pretenderem utilizar-se dos recursos excepcionais e, de outro lado, não poderá representar aumento na admissibilidade dos recursos.</w:t>
      </w:r>
    </w:p>
    <w:p w:rsidR="002A288D" w:rsidRPr="000873C7" w:rsidRDefault="002A288D"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Ainda que se pense em interpretação restritiva do dispositivo e com respeito ao disposto na Constituição Federal, a conclusão a que se chega é a de que a norma seria, nesse ponto, desnecessária. Com efeito, se a questão efetivamente deve ser decidida para comportar recurso especial ou extraordinário, os Tribunais Superiores somente poderão adm</w:t>
      </w:r>
      <w:r w:rsidR="00677FDD">
        <w:rPr>
          <w:rFonts w:ascii="Times New Roman" w:hAnsi="Times New Roman"/>
          <w:sz w:val="24"/>
          <w:szCs w:val="24"/>
        </w:rPr>
        <w:t>itir os menciona</w:t>
      </w:r>
      <w:r w:rsidRPr="000873C7">
        <w:rPr>
          <w:rFonts w:ascii="Times New Roman" w:hAnsi="Times New Roman"/>
          <w:sz w:val="24"/>
          <w:szCs w:val="24"/>
        </w:rPr>
        <w:t>dos recursos caso concluam que o tribunal a quo apreciou a questão. Logo, os embargos de declaração ou eram prescindíveis ou eram imprescindíveis e o acórdão contém vício que não pode ser ignorado nem suprido pelos fundamentos das partes.</w:t>
      </w:r>
    </w:p>
    <w:p w:rsidR="002A288D" w:rsidRDefault="002A288D" w:rsidP="00D26B8D">
      <w:pPr>
        <w:spacing w:line="360" w:lineRule="auto"/>
        <w:ind w:firstLine="720"/>
        <w:jc w:val="both"/>
        <w:rPr>
          <w:rFonts w:ascii="Times New Roman" w:hAnsi="Times New Roman"/>
          <w:sz w:val="24"/>
          <w:szCs w:val="24"/>
        </w:rPr>
      </w:pPr>
      <w:r w:rsidRPr="000873C7">
        <w:rPr>
          <w:rFonts w:ascii="Times New Roman" w:hAnsi="Times New Roman"/>
          <w:sz w:val="24"/>
          <w:szCs w:val="24"/>
        </w:rPr>
        <w:t xml:space="preserve">As considerações acima indicam a necessidade de maior e melhor estudo a respeito da questão específica dos embargos de declaração </w:t>
      </w:r>
      <w:proofErr w:type="spellStart"/>
      <w:r w:rsidRPr="000873C7">
        <w:rPr>
          <w:rFonts w:ascii="Times New Roman" w:hAnsi="Times New Roman"/>
          <w:sz w:val="24"/>
          <w:szCs w:val="24"/>
        </w:rPr>
        <w:t>prequestionadores</w:t>
      </w:r>
      <w:proofErr w:type="spellEnd"/>
      <w:r w:rsidRPr="000873C7">
        <w:rPr>
          <w:rFonts w:ascii="Times New Roman" w:hAnsi="Times New Roman"/>
          <w:sz w:val="24"/>
          <w:szCs w:val="24"/>
        </w:rPr>
        <w:t xml:space="preserve"> e das outras muitas que se </w:t>
      </w:r>
      <w:r w:rsidRPr="000873C7">
        <w:rPr>
          <w:rFonts w:ascii="Times New Roman" w:hAnsi="Times New Roman"/>
          <w:sz w:val="24"/>
          <w:szCs w:val="24"/>
        </w:rPr>
        <w:lastRenderedPageBreak/>
        <w:t xml:space="preserve">relacionam ao bom aproveitamento do processo, de modo inclusive a reconhecer a pertinência e importância de algumas das </w:t>
      </w:r>
      <w:r w:rsidR="00677FDD">
        <w:rPr>
          <w:rFonts w:ascii="Times New Roman" w:hAnsi="Times New Roman"/>
          <w:sz w:val="24"/>
          <w:szCs w:val="24"/>
        </w:rPr>
        <w:t>inovações da nova legislação processual</w:t>
      </w:r>
      <w:r w:rsidRPr="000873C7">
        <w:rPr>
          <w:rFonts w:ascii="Times New Roman" w:hAnsi="Times New Roman"/>
          <w:sz w:val="24"/>
          <w:szCs w:val="24"/>
        </w:rPr>
        <w:t xml:space="preserve"> e, de outro lado, as possíveis inconstitucionalidades ou tentativas frustradas e que devem alavancar </w:t>
      </w:r>
      <w:r w:rsidR="00F85D8E" w:rsidRPr="000873C7">
        <w:rPr>
          <w:rFonts w:ascii="Times New Roman" w:hAnsi="Times New Roman"/>
          <w:sz w:val="24"/>
          <w:szCs w:val="24"/>
        </w:rPr>
        <w:t>novas e melhores alternativas para o processo e para a sociedade.</w:t>
      </w:r>
    </w:p>
    <w:p w:rsidR="00677FDD" w:rsidRDefault="00677FDD" w:rsidP="00677FDD">
      <w:pPr>
        <w:spacing w:line="360" w:lineRule="auto"/>
        <w:jc w:val="both"/>
        <w:rPr>
          <w:rFonts w:ascii="Times New Roman" w:hAnsi="Times New Roman"/>
          <w:sz w:val="24"/>
          <w:szCs w:val="24"/>
        </w:rPr>
      </w:pPr>
    </w:p>
    <w:p w:rsidR="00677FDD" w:rsidRPr="00677FDD" w:rsidRDefault="00677FDD" w:rsidP="00677FDD">
      <w:pPr>
        <w:spacing w:line="360" w:lineRule="auto"/>
        <w:jc w:val="both"/>
        <w:rPr>
          <w:rFonts w:ascii="Times New Roman" w:hAnsi="Times New Roman"/>
          <w:b/>
          <w:sz w:val="24"/>
          <w:szCs w:val="24"/>
        </w:rPr>
      </w:pPr>
      <w:r>
        <w:rPr>
          <w:rFonts w:ascii="Times New Roman" w:hAnsi="Times New Roman"/>
          <w:b/>
          <w:sz w:val="24"/>
          <w:szCs w:val="24"/>
        </w:rPr>
        <w:t>REFERÊNCIAS BIBLIOGRÁFICAS</w:t>
      </w:r>
    </w:p>
    <w:p w:rsidR="004944C3" w:rsidRPr="000873C7" w:rsidRDefault="004944C3" w:rsidP="00165BFD">
      <w:pPr>
        <w:spacing w:line="360" w:lineRule="auto"/>
        <w:jc w:val="both"/>
        <w:rPr>
          <w:rFonts w:ascii="Times New Roman" w:hAnsi="Times New Roman"/>
          <w:sz w:val="24"/>
          <w:szCs w:val="24"/>
        </w:rPr>
      </w:pPr>
    </w:p>
    <w:p w:rsidR="00E92ABE" w:rsidRPr="000873C7" w:rsidRDefault="00E92ABE" w:rsidP="00E92ABE">
      <w:pPr>
        <w:jc w:val="both"/>
        <w:rPr>
          <w:rFonts w:ascii="Times New Roman" w:hAnsi="Times New Roman"/>
          <w:sz w:val="24"/>
          <w:szCs w:val="24"/>
        </w:rPr>
      </w:pPr>
      <w:r w:rsidRPr="000873C7">
        <w:rPr>
          <w:rFonts w:ascii="Times New Roman" w:hAnsi="Times New Roman"/>
          <w:sz w:val="24"/>
          <w:szCs w:val="24"/>
        </w:rPr>
        <w:t xml:space="preserve">ALBUQUERQUE, </w:t>
      </w:r>
      <w:proofErr w:type="spellStart"/>
      <w:r w:rsidRPr="000873C7">
        <w:rPr>
          <w:rFonts w:ascii="Times New Roman" w:hAnsi="Times New Roman"/>
          <w:sz w:val="24"/>
          <w:szCs w:val="24"/>
        </w:rPr>
        <w:t>Leonidas</w:t>
      </w:r>
      <w:proofErr w:type="spellEnd"/>
      <w:r w:rsidRPr="000873C7">
        <w:rPr>
          <w:rFonts w:ascii="Times New Roman" w:hAnsi="Times New Roman"/>
          <w:sz w:val="24"/>
          <w:szCs w:val="24"/>
        </w:rPr>
        <w:t xml:space="preserve"> Cabral. </w:t>
      </w:r>
      <w:r w:rsidRPr="000873C7">
        <w:rPr>
          <w:rFonts w:ascii="Times New Roman" w:hAnsi="Times New Roman"/>
          <w:i/>
          <w:iCs/>
          <w:sz w:val="24"/>
          <w:szCs w:val="24"/>
        </w:rPr>
        <w:t xml:space="preserve">Admissibilidade do </w:t>
      </w:r>
      <w:smartTag w:uri="schemas-houaiss/mini" w:element="verbetes">
        <w:r w:rsidRPr="000873C7">
          <w:rPr>
            <w:rFonts w:ascii="Times New Roman" w:hAnsi="Times New Roman"/>
            <w:i/>
            <w:iCs/>
            <w:sz w:val="24"/>
            <w:szCs w:val="24"/>
          </w:rPr>
          <w:t>recurso</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especial</w:t>
        </w:r>
      </w:smartTag>
      <w:r w:rsidRPr="000873C7">
        <w:rPr>
          <w:rFonts w:ascii="Times New Roman" w:hAnsi="Times New Roman"/>
          <w:sz w:val="24"/>
          <w:szCs w:val="24"/>
        </w:rPr>
        <w:t xml:space="preserve">. </w:t>
      </w:r>
      <w:smartTag w:uri="schemas-houaiss/acao" w:element="dm">
        <w:r w:rsidRPr="000873C7">
          <w:rPr>
            <w:rFonts w:ascii="Times New Roman" w:hAnsi="Times New Roman"/>
            <w:sz w:val="24"/>
            <w:szCs w:val="24"/>
          </w:rPr>
          <w:t>Porto</w:t>
        </w:r>
      </w:smartTag>
      <w:r w:rsidRPr="000873C7">
        <w:rPr>
          <w:rFonts w:ascii="Times New Roman" w:hAnsi="Times New Roman"/>
          <w:sz w:val="24"/>
          <w:szCs w:val="24"/>
        </w:rPr>
        <w:t xml:space="preserve"> </w:t>
      </w:r>
      <w:smartTag w:uri="schemas-houaiss/acao" w:element="dm">
        <w:r w:rsidRPr="000873C7">
          <w:rPr>
            <w:rFonts w:ascii="Times New Roman" w:hAnsi="Times New Roman"/>
            <w:sz w:val="24"/>
            <w:szCs w:val="24"/>
          </w:rPr>
          <w:t>Alegre</w:t>
        </w:r>
      </w:smartTag>
      <w:r w:rsidRPr="000873C7">
        <w:rPr>
          <w:rFonts w:ascii="Times New Roman" w:hAnsi="Times New Roman"/>
          <w:sz w:val="24"/>
          <w:szCs w:val="24"/>
        </w:rPr>
        <w:t xml:space="preserve">: Sergio </w:t>
      </w:r>
      <w:proofErr w:type="spellStart"/>
      <w:r w:rsidRPr="000873C7">
        <w:rPr>
          <w:rFonts w:ascii="Times New Roman" w:hAnsi="Times New Roman"/>
          <w:sz w:val="24"/>
          <w:szCs w:val="24"/>
        </w:rPr>
        <w:t>Antonio</w:t>
      </w:r>
      <w:proofErr w:type="spellEnd"/>
      <w:r w:rsidRPr="000873C7">
        <w:rPr>
          <w:rFonts w:ascii="Times New Roman" w:hAnsi="Times New Roman"/>
          <w:sz w:val="24"/>
          <w:szCs w:val="24"/>
        </w:rPr>
        <w:t xml:space="preserve"> Fabris, 1996.</w:t>
      </w:r>
    </w:p>
    <w:p w:rsidR="00BE3FBD" w:rsidRPr="000873C7" w:rsidRDefault="00BE3FBD" w:rsidP="00E92ABE">
      <w:pPr>
        <w:jc w:val="both"/>
        <w:rPr>
          <w:rFonts w:ascii="Times New Roman" w:hAnsi="Times New Roman"/>
          <w:sz w:val="24"/>
          <w:szCs w:val="24"/>
        </w:rPr>
      </w:pPr>
      <w:r w:rsidRPr="000873C7">
        <w:rPr>
          <w:rFonts w:ascii="Times New Roman" w:hAnsi="Times New Roman"/>
          <w:sz w:val="24"/>
          <w:szCs w:val="24"/>
        </w:rPr>
        <w:t xml:space="preserve">ASSIS, </w:t>
      </w:r>
      <w:proofErr w:type="spellStart"/>
      <w:r w:rsidRPr="000873C7">
        <w:rPr>
          <w:rFonts w:ascii="Times New Roman" w:hAnsi="Times New Roman"/>
          <w:sz w:val="24"/>
          <w:szCs w:val="24"/>
        </w:rPr>
        <w:t>Araken</w:t>
      </w:r>
      <w:proofErr w:type="spellEnd"/>
      <w:r w:rsidRPr="000873C7">
        <w:rPr>
          <w:rFonts w:ascii="Times New Roman" w:hAnsi="Times New Roman"/>
          <w:sz w:val="24"/>
          <w:szCs w:val="24"/>
        </w:rPr>
        <w:t xml:space="preserve"> de. </w:t>
      </w:r>
      <w:r w:rsidRPr="000873C7">
        <w:rPr>
          <w:rFonts w:ascii="Times New Roman" w:hAnsi="Times New Roman"/>
          <w:i/>
          <w:sz w:val="24"/>
          <w:szCs w:val="24"/>
        </w:rPr>
        <w:t xml:space="preserve">Manual dos recursos. </w:t>
      </w:r>
      <w:r w:rsidRPr="000873C7">
        <w:rPr>
          <w:rFonts w:ascii="Times New Roman" w:hAnsi="Times New Roman"/>
          <w:sz w:val="24"/>
          <w:szCs w:val="24"/>
        </w:rPr>
        <w:t>São Paulo: RT, 2007.</w:t>
      </w:r>
    </w:p>
    <w:p w:rsidR="00E92ABE" w:rsidRPr="000873C7" w:rsidRDefault="00E92ABE" w:rsidP="00E92ABE">
      <w:pPr>
        <w:jc w:val="both"/>
        <w:rPr>
          <w:rFonts w:ascii="Times New Roman" w:hAnsi="Times New Roman"/>
          <w:sz w:val="24"/>
          <w:szCs w:val="24"/>
        </w:rPr>
      </w:pPr>
      <w:r w:rsidRPr="000873C7">
        <w:rPr>
          <w:rFonts w:ascii="Times New Roman" w:hAnsi="Times New Roman"/>
          <w:sz w:val="24"/>
          <w:szCs w:val="24"/>
        </w:rPr>
        <w:t xml:space="preserve">BOMFIM, Edson </w:t>
      </w:r>
      <w:smartTag w:uri="schemas-houaiss/mini" w:element="verbetes">
        <w:r w:rsidRPr="000873C7">
          <w:rPr>
            <w:rFonts w:ascii="Times New Roman" w:hAnsi="Times New Roman"/>
            <w:sz w:val="24"/>
            <w:szCs w:val="24"/>
          </w:rPr>
          <w:t>Rocha</w:t>
        </w:r>
      </w:smartTag>
      <w:r w:rsidRPr="000873C7">
        <w:rPr>
          <w:rFonts w:ascii="Times New Roman" w:hAnsi="Times New Roman"/>
          <w:sz w:val="24"/>
          <w:szCs w:val="24"/>
        </w:rPr>
        <w:t xml:space="preserve">. </w:t>
      </w:r>
      <w:smartTag w:uri="schemas-houaiss/mini" w:element="verbetes">
        <w:r w:rsidRPr="000873C7">
          <w:rPr>
            <w:rFonts w:ascii="Times New Roman" w:hAnsi="Times New Roman"/>
            <w:i/>
            <w:iCs/>
            <w:sz w:val="24"/>
            <w:szCs w:val="24"/>
          </w:rPr>
          <w:t>Recurso</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especial</w:t>
        </w:r>
      </w:smartTag>
      <w:r w:rsidRPr="000873C7">
        <w:rPr>
          <w:rFonts w:ascii="Times New Roman" w:hAnsi="Times New Roman"/>
          <w:i/>
          <w:iCs/>
          <w:sz w:val="24"/>
          <w:szCs w:val="24"/>
        </w:rPr>
        <w:t xml:space="preserve">: prequestionamento, </w:t>
      </w:r>
      <w:smartTag w:uri="schemas-houaiss/mini" w:element="verbetes">
        <w:r w:rsidRPr="000873C7">
          <w:rPr>
            <w:rFonts w:ascii="Times New Roman" w:hAnsi="Times New Roman"/>
            <w:i/>
            <w:iCs/>
            <w:sz w:val="24"/>
            <w:szCs w:val="24"/>
          </w:rPr>
          <w:t>interpretação</w:t>
        </w:r>
      </w:smartTag>
      <w:r w:rsidRPr="000873C7">
        <w:rPr>
          <w:rFonts w:ascii="Times New Roman" w:hAnsi="Times New Roman"/>
          <w:i/>
          <w:iCs/>
          <w:sz w:val="24"/>
          <w:szCs w:val="24"/>
        </w:rPr>
        <w:t xml:space="preserve"> </w:t>
      </w:r>
      <w:smartTag w:uri="schemas-houaiss/acao" w:element="dm">
        <w:r w:rsidRPr="000873C7">
          <w:rPr>
            <w:rFonts w:ascii="Times New Roman" w:hAnsi="Times New Roman"/>
            <w:i/>
            <w:iCs/>
            <w:sz w:val="24"/>
            <w:szCs w:val="24"/>
          </w:rPr>
          <w:t>razoável</w:t>
        </w:r>
      </w:smartTag>
      <w:r w:rsidRPr="000873C7">
        <w:rPr>
          <w:rFonts w:ascii="Times New Roman" w:hAnsi="Times New Roman"/>
          <w:i/>
          <w:iCs/>
          <w:sz w:val="24"/>
          <w:szCs w:val="24"/>
        </w:rPr>
        <w:t xml:space="preserve">, valoração </w:t>
      </w:r>
      <w:smartTag w:uri="schemas-houaiss/mini" w:element="verbetes">
        <w:r w:rsidRPr="000873C7">
          <w:rPr>
            <w:rFonts w:ascii="Times New Roman" w:hAnsi="Times New Roman"/>
            <w:i/>
            <w:iCs/>
            <w:sz w:val="24"/>
            <w:szCs w:val="24"/>
          </w:rPr>
          <w:t>jurídica</w:t>
        </w:r>
      </w:smartTag>
      <w:r w:rsidRPr="000873C7">
        <w:rPr>
          <w:rFonts w:ascii="Times New Roman" w:hAnsi="Times New Roman"/>
          <w:i/>
          <w:iCs/>
          <w:sz w:val="24"/>
          <w:szCs w:val="24"/>
        </w:rPr>
        <w:t xml:space="preserve"> da </w:t>
      </w:r>
      <w:smartTag w:uri="schemas-houaiss/acao" w:element="dm">
        <w:r w:rsidRPr="000873C7">
          <w:rPr>
            <w:rFonts w:ascii="Times New Roman" w:hAnsi="Times New Roman"/>
            <w:i/>
            <w:iCs/>
            <w:sz w:val="24"/>
            <w:szCs w:val="24"/>
          </w:rPr>
          <w:t>prova</w:t>
        </w:r>
      </w:smartTag>
      <w:r w:rsidRPr="000873C7">
        <w:rPr>
          <w:rFonts w:ascii="Times New Roman" w:hAnsi="Times New Roman"/>
          <w:i/>
          <w:iCs/>
          <w:sz w:val="24"/>
          <w:szCs w:val="24"/>
        </w:rPr>
        <w:t>.</w:t>
      </w:r>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Belo</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Horizonte</w:t>
        </w:r>
      </w:smartTag>
      <w:r w:rsidRPr="000873C7">
        <w:rPr>
          <w:rFonts w:ascii="Times New Roman" w:hAnsi="Times New Roman"/>
          <w:sz w:val="24"/>
          <w:szCs w:val="24"/>
        </w:rPr>
        <w:t>: Del Rey, 1992.</w:t>
      </w:r>
    </w:p>
    <w:p w:rsidR="00E92ABE" w:rsidRPr="000873C7" w:rsidRDefault="00E92ABE" w:rsidP="00E92ABE">
      <w:pPr>
        <w:jc w:val="both"/>
        <w:rPr>
          <w:rFonts w:ascii="Times New Roman" w:hAnsi="Times New Roman"/>
          <w:i/>
          <w:iCs/>
          <w:sz w:val="24"/>
          <w:szCs w:val="24"/>
        </w:rPr>
      </w:pPr>
      <w:r w:rsidRPr="000873C7">
        <w:rPr>
          <w:rFonts w:ascii="Times New Roman" w:hAnsi="Times New Roman"/>
          <w:sz w:val="24"/>
          <w:szCs w:val="24"/>
        </w:rPr>
        <w:t xml:space="preserve">CARNEIRO, </w:t>
      </w:r>
      <w:proofErr w:type="spellStart"/>
      <w:r w:rsidRPr="000873C7">
        <w:rPr>
          <w:rFonts w:ascii="Times New Roman" w:hAnsi="Times New Roman"/>
          <w:sz w:val="24"/>
          <w:szCs w:val="24"/>
        </w:rPr>
        <w:t>Athos</w:t>
      </w:r>
      <w:proofErr w:type="spellEnd"/>
      <w:r w:rsidRPr="000873C7">
        <w:rPr>
          <w:rFonts w:ascii="Times New Roman" w:hAnsi="Times New Roman"/>
          <w:sz w:val="24"/>
          <w:szCs w:val="24"/>
        </w:rPr>
        <w:t xml:space="preserve"> Gusmão. </w:t>
      </w:r>
      <w:smartTag w:uri="schemas-houaiss/mini" w:element="verbetes">
        <w:r w:rsidRPr="000873C7">
          <w:rPr>
            <w:rFonts w:ascii="Times New Roman" w:hAnsi="Times New Roman"/>
            <w:i/>
            <w:iCs/>
            <w:sz w:val="24"/>
            <w:szCs w:val="24"/>
          </w:rPr>
          <w:t>Recurso</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especial</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agravos</w:t>
        </w:r>
      </w:smartTag>
      <w:r w:rsidRPr="000873C7">
        <w:rPr>
          <w:rFonts w:ascii="Times New Roman" w:hAnsi="Times New Roman"/>
          <w:i/>
          <w:iCs/>
          <w:sz w:val="24"/>
          <w:szCs w:val="24"/>
        </w:rPr>
        <w:t xml:space="preserve"> e </w:t>
      </w:r>
      <w:smartTag w:uri="schemas-houaiss/mini" w:element="verbetes">
        <w:r w:rsidRPr="000873C7">
          <w:rPr>
            <w:rFonts w:ascii="Times New Roman" w:hAnsi="Times New Roman"/>
            <w:i/>
            <w:iCs/>
            <w:sz w:val="24"/>
            <w:szCs w:val="24"/>
          </w:rPr>
          <w:t>agravo</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interno</w:t>
        </w:r>
      </w:smartTag>
      <w:r w:rsidRPr="000873C7">
        <w:rPr>
          <w:rFonts w:ascii="Times New Roman" w:hAnsi="Times New Roman"/>
          <w:sz w:val="24"/>
          <w:szCs w:val="24"/>
        </w:rPr>
        <w:t xml:space="preserve">. </w:t>
      </w:r>
      <w:smartTag w:uri="schemas-houaiss/acao" w:element="dm">
        <w:r w:rsidRPr="000873C7">
          <w:rPr>
            <w:rFonts w:ascii="Times New Roman" w:hAnsi="Times New Roman"/>
            <w:sz w:val="24"/>
            <w:szCs w:val="24"/>
          </w:rPr>
          <w:t>Rio</w:t>
        </w:r>
      </w:smartTag>
      <w:r w:rsidRPr="000873C7">
        <w:rPr>
          <w:rFonts w:ascii="Times New Roman" w:hAnsi="Times New Roman"/>
          <w:sz w:val="24"/>
          <w:szCs w:val="24"/>
        </w:rPr>
        <w:t xml:space="preserve"> de </w:t>
      </w:r>
      <w:smartTag w:uri="schemas-houaiss/mini" w:element="verbetes">
        <w:r w:rsidRPr="000873C7">
          <w:rPr>
            <w:rFonts w:ascii="Times New Roman" w:hAnsi="Times New Roman"/>
            <w:sz w:val="24"/>
            <w:szCs w:val="24"/>
          </w:rPr>
          <w:t>Janeiro</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Forense</w:t>
        </w:r>
      </w:smartTag>
      <w:r w:rsidRPr="000873C7">
        <w:rPr>
          <w:rFonts w:ascii="Times New Roman" w:hAnsi="Times New Roman"/>
          <w:sz w:val="24"/>
          <w:szCs w:val="24"/>
        </w:rPr>
        <w:t>, 2001.</w:t>
      </w:r>
    </w:p>
    <w:p w:rsidR="00E92ABE" w:rsidRPr="000873C7" w:rsidRDefault="00E92ABE" w:rsidP="00E92ABE">
      <w:pPr>
        <w:spacing w:line="360" w:lineRule="auto"/>
        <w:jc w:val="both"/>
        <w:rPr>
          <w:rFonts w:ascii="Times New Roman" w:hAnsi="Times New Roman"/>
          <w:sz w:val="24"/>
          <w:szCs w:val="24"/>
        </w:rPr>
      </w:pPr>
      <w:r w:rsidRPr="000873C7">
        <w:rPr>
          <w:rFonts w:ascii="Times New Roman" w:hAnsi="Times New Roman"/>
          <w:sz w:val="24"/>
          <w:szCs w:val="24"/>
        </w:rPr>
        <w:t xml:space="preserve">CARNEIRO, </w:t>
      </w:r>
      <w:proofErr w:type="spellStart"/>
      <w:r w:rsidRPr="000873C7">
        <w:rPr>
          <w:rFonts w:ascii="Times New Roman" w:hAnsi="Times New Roman"/>
          <w:sz w:val="24"/>
          <w:szCs w:val="24"/>
        </w:rPr>
        <w:t>Athos</w:t>
      </w:r>
      <w:proofErr w:type="spellEnd"/>
      <w:r w:rsidRPr="000873C7">
        <w:rPr>
          <w:rFonts w:ascii="Times New Roman" w:hAnsi="Times New Roman"/>
          <w:sz w:val="24"/>
          <w:szCs w:val="24"/>
        </w:rPr>
        <w:t xml:space="preserve"> Gusmão. </w:t>
      </w:r>
      <w:smartTag w:uri="schemas-houaiss/mini" w:element="verbetes">
        <w:r w:rsidRPr="000873C7">
          <w:rPr>
            <w:rFonts w:ascii="Times New Roman" w:hAnsi="Times New Roman"/>
            <w:i/>
            <w:iCs/>
            <w:sz w:val="24"/>
            <w:szCs w:val="24"/>
          </w:rPr>
          <w:t>Requisitos</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específicos</w:t>
        </w:r>
      </w:smartTag>
      <w:r w:rsidRPr="000873C7">
        <w:rPr>
          <w:rFonts w:ascii="Times New Roman" w:hAnsi="Times New Roman"/>
          <w:i/>
          <w:iCs/>
          <w:sz w:val="24"/>
          <w:szCs w:val="24"/>
        </w:rPr>
        <w:t xml:space="preserve"> de admissibilidade do </w:t>
      </w:r>
      <w:smartTag w:uri="schemas-houaiss/mini" w:element="verbetes">
        <w:r w:rsidRPr="000873C7">
          <w:rPr>
            <w:rFonts w:ascii="Times New Roman" w:hAnsi="Times New Roman"/>
            <w:i/>
            <w:iCs/>
            <w:sz w:val="24"/>
            <w:szCs w:val="24"/>
          </w:rPr>
          <w:t>recurso</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especial</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u w:val="single"/>
          </w:rPr>
          <w:t>Forense</w:t>
        </w:r>
      </w:smartTag>
      <w:r w:rsidRPr="000873C7">
        <w:rPr>
          <w:rFonts w:ascii="Times New Roman" w:hAnsi="Times New Roman"/>
          <w:sz w:val="24"/>
          <w:szCs w:val="24"/>
        </w:rPr>
        <w:t xml:space="preserve">. Vol. 347, </w:t>
      </w:r>
      <w:proofErr w:type="spellStart"/>
      <w:r w:rsidRPr="000873C7">
        <w:rPr>
          <w:rFonts w:ascii="Times New Roman" w:hAnsi="Times New Roman"/>
          <w:sz w:val="24"/>
          <w:szCs w:val="24"/>
        </w:rPr>
        <w:t>jul</w:t>
      </w:r>
      <w:proofErr w:type="spellEnd"/>
      <w:r w:rsidRPr="000873C7">
        <w:rPr>
          <w:rFonts w:ascii="Times New Roman" w:hAnsi="Times New Roman"/>
          <w:sz w:val="24"/>
          <w:szCs w:val="24"/>
        </w:rPr>
        <w:t>/</w:t>
      </w:r>
      <w:smartTag w:uri="schemas-houaiss/mini" w:element="verbetes">
        <w:r w:rsidRPr="000873C7">
          <w:rPr>
            <w:rFonts w:ascii="Times New Roman" w:hAnsi="Times New Roman"/>
            <w:sz w:val="24"/>
            <w:szCs w:val="24"/>
          </w:rPr>
          <w:t>set</w:t>
        </w:r>
      </w:smartTag>
      <w:r w:rsidRPr="000873C7">
        <w:rPr>
          <w:rFonts w:ascii="Times New Roman" w:hAnsi="Times New Roman"/>
          <w:sz w:val="24"/>
          <w:szCs w:val="24"/>
        </w:rPr>
        <w:t>. 1999</w:t>
      </w:r>
    </w:p>
    <w:p w:rsidR="00E92ABE" w:rsidRPr="000873C7" w:rsidRDefault="00E92ABE" w:rsidP="00E92ABE">
      <w:pPr>
        <w:spacing w:line="360" w:lineRule="auto"/>
        <w:jc w:val="both"/>
        <w:rPr>
          <w:rFonts w:ascii="Times New Roman" w:hAnsi="Times New Roman"/>
          <w:sz w:val="24"/>
          <w:szCs w:val="24"/>
        </w:rPr>
      </w:pPr>
      <w:r w:rsidRPr="000873C7">
        <w:rPr>
          <w:rFonts w:ascii="Times New Roman" w:hAnsi="Times New Roman"/>
          <w:sz w:val="24"/>
          <w:szCs w:val="24"/>
        </w:rPr>
        <w:t xml:space="preserve">CRETELLA JÚNIOR, José. Elementos de Direito Constitucional. 3 ed. rev. atual. </w:t>
      </w:r>
      <w:proofErr w:type="spellStart"/>
      <w:r w:rsidRPr="000873C7">
        <w:rPr>
          <w:rFonts w:ascii="Times New Roman" w:hAnsi="Times New Roman"/>
          <w:sz w:val="24"/>
          <w:szCs w:val="24"/>
        </w:rPr>
        <w:t>ampl</w:t>
      </w:r>
      <w:proofErr w:type="spellEnd"/>
      <w:r w:rsidRPr="000873C7">
        <w:rPr>
          <w:rFonts w:ascii="Times New Roman" w:hAnsi="Times New Roman"/>
          <w:sz w:val="24"/>
          <w:szCs w:val="24"/>
        </w:rPr>
        <w:t>. São Paulo: 1998.</w:t>
      </w:r>
    </w:p>
    <w:p w:rsidR="00E92ABE" w:rsidRPr="000873C7" w:rsidRDefault="00E92ABE" w:rsidP="00E92ABE">
      <w:pPr>
        <w:jc w:val="both"/>
        <w:rPr>
          <w:rFonts w:ascii="Times New Roman" w:hAnsi="Times New Roman"/>
          <w:sz w:val="24"/>
          <w:szCs w:val="24"/>
        </w:rPr>
      </w:pPr>
      <w:r w:rsidRPr="000873C7">
        <w:rPr>
          <w:rFonts w:ascii="Times New Roman" w:hAnsi="Times New Roman"/>
          <w:sz w:val="24"/>
          <w:szCs w:val="24"/>
        </w:rPr>
        <w:t xml:space="preserve">DINAMARCO, </w:t>
      </w:r>
      <w:smartTag w:uri="schemas-houaiss/mini" w:element="verbetes">
        <w:r w:rsidRPr="000873C7">
          <w:rPr>
            <w:rFonts w:ascii="Times New Roman" w:hAnsi="Times New Roman"/>
            <w:sz w:val="24"/>
            <w:szCs w:val="24"/>
          </w:rPr>
          <w:t>Cândido</w:t>
        </w:r>
      </w:smartTag>
      <w:r w:rsidRPr="000873C7">
        <w:rPr>
          <w:rFonts w:ascii="Times New Roman" w:hAnsi="Times New Roman"/>
          <w:sz w:val="24"/>
          <w:szCs w:val="24"/>
        </w:rPr>
        <w:t xml:space="preserve"> Rangel. </w:t>
      </w:r>
      <w:r w:rsidRPr="000873C7">
        <w:rPr>
          <w:rFonts w:ascii="Times New Roman" w:hAnsi="Times New Roman"/>
          <w:i/>
          <w:iCs/>
          <w:sz w:val="24"/>
          <w:szCs w:val="24"/>
        </w:rPr>
        <w:t xml:space="preserve">A instrumentalidade do </w:t>
      </w:r>
      <w:smartTag w:uri="schemas-houaiss/acao" w:element="dm">
        <w:r w:rsidRPr="000873C7">
          <w:rPr>
            <w:rFonts w:ascii="Times New Roman" w:hAnsi="Times New Roman"/>
            <w:i/>
            <w:iCs/>
            <w:sz w:val="24"/>
            <w:szCs w:val="24"/>
          </w:rPr>
          <w:t>processo</w:t>
        </w:r>
      </w:smartTag>
      <w:r w:rsidRPr="000873C7">
        <w:rPr>
          <w:rFonts w:ascii="Times New Roman" w:hAnsi="Times New Roman"/>
          <w:i/>
          <w:iCs/>
          <w:sz w:val="24"/>
          <w:szCs w:val="24"/>
        </w:rPr>
        <w:t>.</w:t>
      </w:r>
      <w:r w:rsidRPr="000873C7">
        <w:rPr>
          <w:rFonts w:ascii="Times New Roman" w:hAnsi="Times New Roman"/>
          <w:sz w:val="24"/>
          <w:szCs w:val="24"/>
        </w:rPr>
        <w:t xml:space="preserve"> 9. ed. </w:t>
      </w:r>
      <w:smartTag w:uri="schemas-houaiss/mini" w:element="verbetes">
        <w:r w:rsidRPr="000873C7">
          <w:rPr>
            <w:rFonts w:ascii="Times New Roman" w:hAnsi="Times New Roman"/>
            <w:sz w:val="24"/>
            <w:szCs w:val="24"/>
          </w:rPr>
          <w:t>São</w:t>
        </w:r>
      </w:smartTag>
      <w:r w:rsidRPr="000873C7">
        <w:rPr>
          <w:rFonts w:ascii="Times New Roman" w:hAnsi="Times New Roman"/>
          <w:sz w:val="24"/>
          <w:szCs w:val="24"/>
        </w:rPr>
        <w:t xml:space="preserve"> Paulo: Malheiros, 2001. </w:t>
      </w:r>
    </w:p>
    <w:p w:rsidR="00C3608F" w:rsidRPr="000873C7" w:rsidRDefault="00C3608F" w:rsidP="00C3608F">
      <w:pPr>
        <w:spacing w:line="360" w:lineRule="auto"/>
        <w:jc w:val="both"/>
        <w:rPr>
          <w:rFonts w:ascii="Times New Roman" w:hAnsi="Times New Roman"/>
          <w:sz w:val="24"/>
          <w:szCs w:val="24"/>
        </w:rPr>
      </w:pPr>
      <w:r w:rsidRPr="000873C7">
        <w:rPr>
          <w:rFonts w:ascii="Times New Roman" w:hAnsi="Times New Roman"/>
          <w:sz w:val="24"/>
          <w:szCs w:val="24"/>
        </w:rPr>
        <w:t>GONÇALVES, Marcus Vinicius Rios. Novo Curso de direito processual civil. São Paulo: Saraiva, 2004.</w:t>
      </w:r>
    </w:p>
    <w:p w:rsidR="00E92ABE" w:rsidRPr="000873C7" w:rsidRDefault="00E92ABE" w:rsidP="00E92ABE">
      <w:pPr>
        <w:jc w:val="both"/>
        <w:rPr>
          <w:rFonts w:ascii="Times New Roman" w:hAnsi="Times New Roman"/>
          <w:sz w:val="24"/>
          <w:szCs w:val="24"/>
        </w:rPr>
      </w:pPr>
      <w:r w:rsidRPr="000873C7">
        <w:rPr>
          <w:rFonts w:ascii="Times New Roman" w:hAnsi="Times New Roman"/>
          <w:sz w:val="24"/>
          <w:szCs w:val="24"/>
        </w:rPr>
        <w:t xml:space="preserve">GRECO </w:t>
      </w:r>
      <w:smartTag w:uri="schemas-houaiss/mini" w:element="verbetes">
        <w:r w:rsidRPr="000873C7">
          <w:rPr>
            <w:rFonts w:ascii="Times New Roman" w:hAnsi="Times New Roman"/>
            <w:sz w:val="24"/>
            <w:szCs w:val="24"/>
          </w:rPr>
          <w:t>FILHO</w:t>
        </w:r>
      </w:smartTag>
      <w:r w:rsidRPr="000873C7">
        <w:rPr>
          <w:rFonts w:ascii="Times New Roman" w:hAnsi="Times New Roman"/>
          <w:sz w:val="24"/>
          <w:szCs w:val="24"/>
        </w:rPr>
        <w:t xml:space="preserve">, Vicente. </w:t>
      </w:r>
      <w:smartTag w:uri="schemas-houaiss/mini" w:element="verbetes">
        <w:r w:rsidRPr="000873C7">
          <w:rPr>
            <w:rFonts w:ascii="Times New Roman" w:hAnsi="Times New Roman"/>
            <w:i/>
            <w:sz w:val="24"/>
            <w:szCs w:val="24"/>
          </w:rPr>
          <w:t>Direito</w:t>
        </w:r>
      </w:smartTag>
      <w:r w:rsidRPr="000873C7">
        <w:rPr>
          <w:rFonts w:ascii="Times New Roman" w:hAnsi="Times New Roman"/>
          <w:i/>
          <w:sz w:val="24"/>
          <w:szCs w:val="24"/>
        </w:rPr>
        <w:t xml:space="preserve"> processual </w:t>
      </w:r>
      <w:smartTag w:uri="schemas-houaiss/mini" w:element="verbetes">
        <w:r w:rsidRPr="000873C7">
          <w:rPr>
            <w:rFonts w:ascii="Times New Roman" w:hAnsi="Times New Roman"/>
            <w:i/>
            <w:sz w:val="24"/>
            <w:szCs w:val="24"/>
          </w:rPr>
          <w:t>civil</w:t>
        </w:r>
      </w:smartTag>
      <w:r w:rsidRPr="000873C7">
        <w:rPr>
          <w:rFonts w:ascii="Times New Roman" w:hAnsi="Times New Roman"/>
          <w:i/>
          <w:sz w:val="24"/>
          <w:szCs w:val="24"/>
        </w:rPr>
        <w:t xml:space="preserve"> </w:t>
      </w:r>
      <w:smartTag w:uri="schemas-houaiss/acao" w:element="dm">
        <w:r w:rsidRPr="000873C7">
          <w:rPr>
            <w:rFonts w:ascii="Times New Roman" w:hAnsi="Times New Roman"/>
            <w:i/>
            <w:sz w:val="24"/>
            <w:szCs w:val="24"/>
          </w:rPr>
          <w:t>brasileiro</w:t>
        </w:r>
      </w:smartTag>
      <w:r w:rsidRPr="000873C7">
        <w:rPr>
          <w:rFonts w:ascii="Times New Roman" w:hAnsi="Times New Roman"/>
          <w:sz w:val="24"/>
          <w:szCs w:val="24"/>
        </w:rPr>
        <w:t xml:space="preserve">. Vol. 2. 13. ed. </w:t>
      </w:r>
      <w:smartTag w:uri="schemas-houaiss/mini" w:element="verbetes">
        <w:r w:rsidRPr="000873C7">
          <w:rPr>
            <w:rFonts w:ascii="Times New Roman" w:hAnsi="Times New Roman"/>
            <w:sz w:val="24"/>
            <w:szCs w:val="24"/>
          </w:rPr>
          <w:t>São</w:t>
        </w:r>
      </w:smartTag>
      <w:r w:rsidRPr="000873C7">
        <w:rPr>
          <w:rFonts w:ascii="Times New Roman" w:hAnsi="Times New Roman"/>
          <w:sz w:val="24"/>
          <w:szCs w:val="24"/>
        </w:rPr>
        <w:t xml:space="preserve"> Paulo: </w:t>
      </w:r>
      <w:smartTag w:uri="schemas-houaiss/mini" w:element="verbetes">
        <w:r w:rsidRPr="000873C7">
          <w:rPr>
            <w:rFonts w:ascii="Times New Roman" w:hAnsi="Times New Roman"/>
            <w:sz w:val="24"/>
            <w:szCs w:val="24"/>
          </w:rPr>
          <w:t>Saraiva</w:t>
        </w:r>
      </w:smartTag>
      <w:r w:rsidRPr="000873C7">
        <w:rPr>
          <w:rFonts w:ascii="Times New Roman" w:hAnsi="Times New Roman"/>
          <w:sz w:val="24"/>
          <w:szCs w:val="24"/>
        </w:rPr>
        <w:t>, 1999.</w:t>
      </w:r>
    </w:p>
    <w:p w:rsidR="00E92ABE" w:rsidRPr="000873C7" w:rsidRDefault="00E92ABE" w:rsidP="00E92ABE">
      <w:pPr>
        <w:jc w:val="both"/>
        <w:rPr>
          <w:rFonts w:ascii="Times New Roman" w:hAnsi="Times New Roman"/>
          <w:sz w:val="24"/>
          <w:szCs w:val="24"/>
        </w:rPr>
      </w:pPr>
      <w:r w:rsidRPr="000873C7">
        <w:rPr>
          <w:rFonts w:ascii="Times New Roman" w:hAnsi="Times New Roman"/>
          <w:sz w:val="24"/>
          <w:szCs w:val="24"/>
        </w:rPr>
        <w:t xml:space="preserve">MANCUSO, Rodolfo de Camargo. </w:t>
      </w:r>
      <w:smartTag w:uri="schemas-houaiss/mini" w:element="verbetes">
        <w:r w:rsidRPr="000873C7">
          <w:rPr>
            <w:rFonts w:ascii="Times New Roman" w:hAnsi="Times New Roman"/>
            <w:i/>
            <w:iCs/>
            <w:sz w:val="24"/>
            <w:szCs w:val="24"/>
          </w:rPr>
          <w:t>Recurso</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extraordinário</w:t>
        </w:r>
      </w:smartTag>
      <w:r w:rsidRPr="000873C7">
        <w:rPr>
          <w:rFonts w:ascii="Times New Roman" w:hAnsi="Times New Roman"/>
          <w:i/>
          <w:iCs/>
          <w:sz w:val="24"/>
          <w:szCs w:val="24"/>
        </w:rPr>
        <w:t xml:space="preserve"> e </w:t>
      </w:r>
      <w:smartTag w:uri="schemas-houaiss/mini" w:element="verbetes">
        <w:r w:rsidRPr="000873C7">
          <w:rPr>
            <w:rFonts w:ascii="Times New Roman" w:hAnsi="Times New Roman"/>
            <w:i/>
            <w:iCs/>
            <w:sz w:val="24"/>
            <w:szCs w:val="24"/>
          </w:rPr>
          <w:t>recurso</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especial</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Série</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Recursos</w:t>
        </w:r>
      </w:smartTag>
      <w:r w:rsidRPr="000873C7">
        <w:rPr>
          <w:rFonts w:ascii="Times New Roman" w:hAnsi="Times New Roman"/>
          <w:sz w:val="24"/>
          <w:szCs w:val="24"/>
        </w:rPr>
        <w:t xml:space="preserve"> no </w:t>
      </w:r>
      <w:smartTag w:uri="schemas-houaiss/acao" w:element="dm">
        <w:r w:rsidRPr="000873C7">
          <w:rPr>
            <w:rFonts w:ascii="Times New Roman" w:hAnsi="Times New Roman"/>
            <w:sz w:val="24"/>
            <w:szCs w:val="24"/>
          </w:rPr>
          <w:t>processo</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civil</w:t>
        </w:r>
      </w:smartTag>
      <w:r w:rsidRPr="000873C7">
        <w:rPr>
          <w:rFonts w:ascii="Times New Roman" w:hAnsi="Times New Roman"/>
          <w:sz w:val="24"/>
          <w:szCs w:val="24"/>
        </w:rPr>
        <w:t xml:space="preserve"> – vol. 3. 7. ed. </w:t>
      </w:r>
      <w:smartTag w:uri="schemas-houaiss/mini" w:element="verbetes">
        <w:r w:rsidRPr="000873C7">
          <w:rPr>
            <w:rFonts w:ascii="Times New Roman" w:hAnsi="Times New Roman"/>
            <w:sz w:val="24"/>
            <w:szCs w:val="24"/>
          </w:rPr>
          <w:t>São</w:t>
        </w:r>
      </w:smartTag>
      <w:r w:rsidRPr="000873C7">
        <w:rPr>
          <w:rFonts w:ascii="Times New Roman" w:hAnsi="Times New Roman"/>
          <w:sz w:val="24"/>
          <w:szCs w:val="24"/>
        </w:rPr>
        <w:t xml:space="preserve"> Paulo: RT, 2001.</w:t>
      </w:r>
    </w:p>
    <w:p w:rsidR="00E92ABE" w:rsidRPr="000873C7" w:rsidRDefault="00E92ABE" w:rsidP="00E92ABE">
      <w:pPr>
        <w:jc w:val="both"/>
        <w:rPr>
          <w:rFonts w:ascii="Times New Roman" w:hAnsi="Times New Roman"/>
          <w:sz w:val="24"/>
          <w:szCs w:val="24"/>
        </w:rPr>
      </w:pPr>
      <w:r w:rsidRPr="000873C7">
        <w:rPr>
          <w:rFonts w:ascii="Times New Roman" w:hAnsi="Times New Roman"/>
          <w:sz w:val="24"/>
          <w:szCs w:val="24"/>
        </w:rPr>
        <w:t xml:space="preserve">MEDINA, José Miguel Garcia. </w:t>
      </w:r>
      <w:r w:rsidRPr="000873C7">
        <w:rPr>
          <w:rFonts w:ascii="Times New Roman" w:hAnsi="Times New Roman"/>
          <w:i/>
          <w:iCs/>
          <w:sz w:val="24"/>
          <w:szCs w:val="24"/>
        </w:rPr>
        <w:t xml:space="preserve">O prequestionamento </w:t>
      </w:r>
      <w:smartTag w:uri="schemas-houaiss/mini" w:element="verbetes">
        <w:r w:rsidRPr="000873C7">
          <w:rPr>
            <w:rFonts w:ascii="Times New Roman" w:hAnsi="Times New Roman"/>
            <w:i/>
            <w:iCs/>
            <w:sz w:val="24"/>
            <w:szCs w:val="24"/>
          </w:rPr>
          <w:t>nos</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recursos</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extraordinário</w:t>
        </w:r>
      </w:smartTag>
      <w:r w:rsidRPr="000873C7">
        <w:rPr>
          <w:rFonts w:ascii="Times New Roman" w:hAnsi="Times New Roman"/>
          <w:i/>
          <w:iCs/>
          <w:sz w:val="24"/>
          <w:szCs w:val="24"/>
        </w:rPr>
        <w:t xml:space="preserve"> e </w:t>
      </w:r>
      <w:smartTag w:uri="schemas-houaiss/mini" w:element="verbetes">
        <w:r w:rsidRPr="000873C7">
          <w:rPr>
            <w:rFonts w:ascii="Times New Roman" w:hAnsi="Times New Roman"/>
            <w:i/>
            <w:iCs/>
            <w:sz w:val="24"/>
            <w:szCs w:val="24"/>
          </w:rPr>
          <w:t>especial</w:t>
        </w:r>
      </w:smartTag>
      <w:r w:rsidRPr="000873C7">
        <w:rPr>
          <w:rFonts w:ascii="Times New Roman" w:hAnsi="Times New Roman"/>
          <w:i/>
          <w:iCs/>
          <w:sz w:val="24"/>
          <w:szCs w:val="24"/>
        </w:rPr>
        <w:t>.</w:t>
      </w:r>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Série</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Recursos</w:t>
        </w:r>
      </w:smartTag>
      <w:r w:rsidRPr="000873C7">
        <w:rPr>
          <w:rFonts w:ascii="Times New Roman" w:hAnsi="Times New Roman"/>
          <w:sz w:val="24"/>
          <w:szCs w:val="24"/>
        </w:rPr>
        <w:t xml:space="preserve"> no </w:t>
      </w:r>
      <w:smartTag w:uri="schemas-houaiss/acao" w:element="dm">
        <w:r w:rsidRPr="000873C7">
          <w:rPr>
            <w:rFonts w:ascii="Times New Roman" w:hAnsi="Times New Roman"/>
            <w:sz w:val="24"/>
            <w:szCs w:val="24"/>
          </w:rPr>
          <w:t>processo</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civil</w:t>
        </w:r>
      </w:smartTag>
      <w:r w:rsidRPr="000873C7">
        <w:rPr>
          <w:rFonts w:ascii="Times New Roman" w:hAnsi="Times New Roman"/>
          <w:sz w:val="24"/>
          <w:szCs w:val="24"/>
        </w:rPr>
        <w:t xml:space="preserve"> – vol. 6. 2. ed. </w:t>
      </w:r>
      <w:smartTag w:uri="schemas-houaiss/mini" w:element="verbetes">
        <w:r w:rsidRPr="000873C7">
          <w:rPr>
            <w:rFonts w:ascii="Times New Roman" w:hAnsi="Times New Roman"/>
            <w:sz w:val="24"/>
            <w:szCs w:val="24"/>
          </w:rPr>
          <w:t>São</w:t>
        </w:r>
      </w:smartTag>
      <w:r w:rsidRPr="000873C7">
        <w:rPr>
          <w:rFonts w:ascii="Times New Roman" w:hAnsi="Times New Roman"/>
          <w:sz w:val="24"/>
          <w:szCs w:val="24"/>
        </w:rPr>
        <w:t xml:space="preserve"> Paulo: RT, 1999.</w:t>
      </w:r>
    </w:p>
    <w:p w:rsidR="00C3608F" w:rsidRPr="000873C7" w:rsidRDefault="00C3608F" w:rsidP="00C3608F">
      <w:pPr>
        <w:spacing w:line="360" w:lineRule="auto"/>
        <w:jc w:val="both"/>
        <w:rPr>
          <w:rFonts w:ascii="Times New Roman" w:hAnsi="Times New Roman"/>
          <w:sz w:val="24"/>
          <w:szCs w:val="24"/>
        </w:rPr>
      </w:pPr>
      <w:r w:rsidRPr="000873C7">
        <w:rPr>
          <w:rFonts w:ascii="Times New Roman" w:hAnsi="Times New Roman"/>
          <w:sz w:val="24"/>
          <w:szCs w:val="24"/>
        </w:rPr>
        <w:t>MONTENEGRO FILHO, Misael. Curso de direito processual civil, 4ª Ed.. São Paulo: Atlas, 20</w:t>
      </w:r>
      <w:r w:rsidR="00677FDD">
        <w:rPr>
          <w:rFonts w:ascii="Times New Roman" w:hAnsi="Times New Roman"/>
          <w:sz w:val="24"/>
          <w:szCs w:val="24"/>
        </w:rPr>
        <w:t>0</w:t>
      </w:r>
      <w:r w:rsidRPr="000873C7">
        <w:rPr>
          <w:rFonts w:ascii="Times New Roman" w:hAnsi="Times New Roman"/>
          <w:sz w:val="24"/>
          <w:szCs w:val="24"/>
        </w:rPr>
        <w:t>7</w:t>
      </w:r>
    </w:p>
    <w:p w:rsidR="00E92ABE" w:rsidRPr="000873C7" w:rsidRDefault="00E92ABE" w:rsidP="00E92ABE">
      <w:pPr>
        <w:jc w:val="both"/>
        <w:rPr>
          <w:rFonts w:ascii="Times New Roman" w:hAnsi="Times New Roman"/>
          <w:sz w:val="24"/>
          <w:szCs w:val="24"/>
        </w:rPr>
      </w:pPr>
      <w:r w:rsidRPr="000873C7">
        <w:rPr>
          <w:rFonts w:ascii="Times New Roman" w:hAnsi="Times New Roman"/>
          <w:sz w:val="24"/>
          <w:szCs w:val="24"/>
        </w:rPr>
        <w:lastRenderedPageBreak/>
        <w:t xml:space="preserve">NEGRÃO, Perseu </w:t>
      </w:r>
      <w:smartTag w:uri="schemas-houaiss/mini" w:element="verbetes">
        <w:r w:rsidRPr="000873C7">
          <w:rPr>
            <w:rFonts w:ascii="Times New Roman" w:hAnsi="Times New Roman"/>
            <w:sz w:val="24"/>
            <w:szCs w:val="24"/>
          </w:rPr>
          <w:t>Gentil</w:t>
        </w:r>
      </w:smartTag>
      <w:r w:rsidRPr="000873C7">
        <w:rPr>
          <w:rFonts w:ascii="Times New Roman" w:hAnsi="Times New Roman"/>
          <w:sz w:val="24"/>
          <w:szCs w:val="24"/>
        </w:rPr>
        <w:t xml:space="preserve">. </w:t>
      </w:r>
      <w:smartTag w:uri="schemas-houaiss/mini" w:element="verbetes">
        <w:r w:rsidRPr="000873C7">
          <w:rPr>
            <w:rFonts w:ascii="Times New Roman" w:hAnsi="Times New Roman"/>
            <w:i/>
            <w:iCs/>
            <w:sz w:val="24"/>
            <w:szCs w:val="24"/>
          </w:rPr>
          <w:t>Recurso</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especial</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doutrina</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jurisprudência</w:t>
        </w:r>
      </w:smartTag>
      <w:r w:rsidRPr="000873C7">
        <w:rPr>
          <w:rFonts w:ascii="Times New Roman" w:hAnsi="Times New Roman"/>
          <w:i/>
          <w:iCs/>
          <w:sz w:val="24"/>
          <w:szCs w:val="24"/>
        </w:rPr>
        <w:t xml:space="preserve">, </w:t>
      </w:r>
      <w:smartTag w:uri="schemas-houaiss/acao" w:element="dm">
        <w:r w:rsidRPr="000873C7">
          <w:rPr>
            <w:rFonts w:ascii="Times New Roman" w:hAnsi="Times New Roman"/>
            <w:i/>
            <w:iCs/>
            <w:sz w:val="24"/>
            <w:szCs w:val="24"/>
          </w:rPr>
          <w:t>prática</w:t>
        </w:r>
      </w:smartTag>
      <w:r w:rsidRPr="000873C7">
        <w:rPr>
          <w:rFonts w:ascii="Times New Roman" w:hAnsi="Times New Roman"/>
          <w:i/>
          <w:iCs/>
          <w:sz w:val="24"/>
          <w:szCs w:val="24"/>
        </w:rPr>
        <w:t xml:space="preserve"> e </w:t>
      </w:r>
      <w:smartTag w:uri="schemas-houaiss/mini" w:element="verbetes">
        <w:r w:rsidRPr="000873C7">
          <w:rPr>
            <w:rFonts w:ascii="Times New Roman" w:hAnsi="Times New Roman"/>
            <w:i/>
            <w:iCs/>
            <w:sz w:val="24"/>
            <w:szCs w:val="24"/>
          </w:rPr>
          <w:t>legislação</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São</w:t>
        </w:r>
      </w:smartTag>
      <w:r w:rsidRPr="000873C7">
        <w:rPr>
          <w:rFonts w:ascii="Times New Roman" w:hAnsi="Times New Roman"/>
          <w:sz w:val="24"/>
          <w:szCs w:val="24"/>
        </w:rPr>
        <w:t xml:space="preserve"> Paulo: </w:t>
      </w:r>
      <w:smartTag w:uri="schemas-houaiss/mini" w:element="verbetes">
        <w:r w:rsidRPr="000873C7">
          <w:rPr>
            <w:rFonts w:ascii="Times New Roman" w:hAnsi="Times New Roman"/>
            <w:sz w:val="24"/>
            <w:szCs w:val="24"/>
          </w:rPr>
          <w:t>Saraiva</w:t>
        </w:r>
      </w:smartTag>
      <w:r w:rsidRPr="000873C7">
        <w:rPr>
          <w:rFonts w:ascii="Times New Roman" w:hAnsi="Times New Roman"/>
          <w:sz w:val="24"/>
          <w:szCs w:val="24"/>
        </w:rPr>
        <w:t>, 1997.</w:t>
      </w:r>
    </w:p>
    <w:p w:rsidR="00E92ABE" w:rsidRPr="000873C7" w:rsidRDefault="00E92ABE" w:rsidP="00E92ABE">
      <w:pPr>
        <w:jc w:val="both"/>
        <w:rPr>
          <w:rFonts w:ascii="Times New Roman" w:hAnsi="Times New Roman"/>
          <w:sz w:val="24"/>
          <w:szCs w:val="24"/>
        </w:rPr>
      </w:pPr>
      <w:r w:rsidRPr="000873C7">
        <w:rPr>
          <w:rFonts w:ascii="Times New Roman" w:hAnsi="Times New Roman"/>
          <w:sz w:val="24"/>
          <w:szCs w:val="24"/>
        </w:rPr>
        <w:t xml:space="preserve">NERY </w:t>
      </w:r>
      <w:smartTag w:uri="schemas-houaiss/mini" w:element="verbetes">
        <w:r w:rsidRPr="000873C7">
          <w:rPr>
            <w:rFonts w:ascii="Times New Roman" w:hAnsi="Times New Roman"/>
            <w:sz w:val="24"/>
            <w:szCs w:val="24"/>
          </w:rPr>
          <w:t>JÚNIOR</w:t>
        </w:r>
      </w:smartTag>
      <w:r w:rsidRPr="000873C7">
        <w:rPr>
          <w:rFonts w:ascii="Times New Roman" w:hAnsi="Times New Roman"/>
          <w:sz w:val="24"/>
          <w:szCs w:val="24"/>
        </w:rPr>
        <w:t xml:space="preserve">, Nelson. </w:t>
      </w:r>
      <w:smartTag w:uri="schemas-houaiss/mini" w:element="verbetes">
        <w:r w:rsidRPr="000873C7">
          <w:rPr>
            <w:rFonts w:ascii="Times New Roman" w:hAnsi="Times New Roman"/>
            <w:i/>
            <w:iCs/>
            <w:sz w:val="24"/>
            <w:szCs w:val="24"/>
          </w:rPr>
          <w:t>Princípios</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fundamentais</w:t>
        </w:r>
      </w:smartTag>
      <w:r w:rsidRPr="000873C7">
        <w:rPr>
          <w:rFonts w:ascii="Times New Roman" w:hAnsi="Times New Roman"/>
          <w:i/>
          <w:iCs/>
          <w:sz w:val="24"/>
          <w:szCs w:val="24"/>
        </w:rPr>
        <w:t xml:space="preserve"> – </w:t>
      </w:r>
      <w:smartTag w:uri="schemas-houaiss/mini" w:element="verbetes">
        <w:r w:rsidRPr="000873C7">
          <w:rPr>
            <w:rFonts w:ascii="Times New Roman" w:hAnsi="Times New Roman"/>
            <w:i/>
            <w:iCs/>
            <w:sz w:val="24"/>
            <w:szCs w:val="24"/>
          </w:rPr>
          <w:t>teoria</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geral</w:t>
        </w:r>
      </w:smartTag>
      <w:r w:rsidRPr="000873C7">
        <w:rPr>
          <w:rFonts w:ascii="Times New Roman" w:hAnsi="Times New Roman"/>
          <w:i/>
          <w:iCs/>
          <w:sz w:val="24"/>
          <w:szCs w:val="24"/>
        </w:rPr>
        <w:t xml:space="preserve"> dos </w:t>
      </w:r>
      <w:smartTag w:uri="schemas-houaiss/mini" w:element="verbetes">
        <w:r w:rsidRPr="000873C7">
          <w:rPr>
            <w:rFonts w:ascii="Times New Roman" w:hAnsi="Times New Roman"/>
            <w:i/>
            <w:iCs/>
            <w:sz w:val="24"/>
            <w:szCs w:val="24"/>
          </w:rPr>
          <w:t>recursos</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Série</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Recursos</w:t>
        </w:r>
      </w:smartTag>
      <w:r w:rsidRPr="000873C7">
        <w:rPr>
          <w:rFonts w:ascii="Times New Roman" w:hAnsi="Times New Roman"/>
          <w:sz w:val="24"/>
          <w:szCs w:val="24"/>
        </w:rPr>
        <w:t xml:space="preserve"> no </w:t>
      </w:r>
      <w:smartTag w:uri="schemas-houaiss/acao" w:element="dm">
        <w:r w:rsidRPr="000873C7">
          <w:rPr>
            <w:rFonts w:ascii="Times New Roman" w:hAnsi="Times New Roman"/>
            <w:sz w:val="24"/>
            <w:szCs w:val="24"/>
          </w:rPr>
          <w:t>processo</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civil</w:t>
        </w:r>
      </w:smartTag>
      <w:r w:rsidRPr="000873C7">
        <w:rPr>
          <w:rFonts w:ascii="Times New Roman" w:hAnsi="Times New Roman"/>
          <w:sz w:val="24"/>
          <w:szCs w:val="24"/>
        </w:rPr>
        <w:t xml:space="preserve"> – vol. 1. 5. ed. </w:t>
      </w:r>
      <w:smartTag w:uri="schemas-houaiss/mini" w:element="verbetes">
        <w:r w:rsidRPr="000873C7">
          <w:rPr>
            <w:rFonts w:ascii="Times New Roman" w:hAnsi="Times New Roman"/>
            <w:sz w:val="24"/>
            <w:szCs w:val="24"/>
          </w:rPr>
          <w:t>São</w:t>
        </w:r>
      </w:smartTag>
      <w:r w:rsidRPr="000873C7">
        <w:rPr>
          <w:rFonts w:ascii="Times New Roman" w:hAnsi="Times New Roman"/>
          <w:sz w:val="24"/>
          <w:szCs w:val="24"/>
        </w:rPr>
        <w:t xml:space="preserve"> Paulo: RT, 2000. </w:t>
      </w:r>
    </w:p>
    <w:p w:rsidR="00C3608F" w:rsidRPr="000873C7" w:rsidRDefault="00C3608F" w:rsidP="00C3608F">
      <w:pPr>
        <w:tabs>
          <w:tab w:val="left" w:pos="0"/>
        </w:tabs>
        <w:jc w:val="both"/>
        <w:rPr>
          <w:rFonts w:ascii="Times New Roman" w:hAnsi="Times New Roman"/>
          <w:sz w:val="24"/>
          <w:szCs w:val="24"/>
        </w:rPr>
      </w:pPr>
      <w:r w:rsidRPr="000873C7">
        <w:rPr>
          <w:rFonts w:ascii="Times New Roman" w:hAnsi="Times New Roman"/>
          <w:sz w:val="24"/>
          <w:szCs w:val="24"/>
        </w:rPr>
        <w:t xml:space="preserve">NERY </w:t>
      </w:r>
      <w:smartTag w:uri="schemas-houaiss/mini" w:element="verbetes">
        <w:r w:rsidRPr="000873C7">
          <w:rPr>
            <w:rFonts w:ascii="Times New Roman" w:hAnsi="Times New Roman"/>
            <w:sz w:val="24"/>
            <w:szCs w:val="24"/>
          </w:rPr>
          <w:t>JÚNIOR</w:t>
        </w:r>
      </w:smartTag>
      <w:r w:rsidRPr="000873C7">
        <w:rPr>
          <w:rFonts w:ascii="Times New Roman" w:hAnsi="Times New Roman"/>
          <w:sz w:val="24"/>
          <w:szCs w:val="24"/>
        </w:rPr>
        <w:t xml:space="preserve">, Nelson (coord.) e WAMBIER, Teresa </w:t>
      </w:r>
      <w:smartTag w:uri="schemas-houaiss/mini" w:element="verbetes">
        <w:r w:rsidRPr="000873C7">
          <w:rPr>
            <w:rFonts w:ascii="Times New Roman" w:hAnsi="Times New Roman"/>
            <w:sz w:val="24"/>
            <w:szCs w:val="24"/>
          </w:rPr>
          <w:t>Arruda</w:t>
        </w:r>
      </w:smartTag>
      <w:r w:rsidRPr="000873C7">
        <w:rPr>
          <w:rFonts w:ascii="Times New Roman" w:hAnsi="Times New Roman"/>
          <w:sz w:val="24"/>
          <w:szCs w:val="24"/>
        </w:rPr>
        <w:t xml:space="preserve"> Alvim (coord.). </w:t>
      </w:r>
      <w:smartTag w:uri="schemas-houaiss/mini" w:element="verbetes">
        <w:r w:rsidRPr="000873C7">
          <w:rPr>
            <w:rFonts w:ascii="Times New Roman" w:hAnsi="Times New Roman"/>
            <w:i/>
            <w:iCs/>
            <w:sz w:val="24"/>
            <w:szCs w:val="24"/>
          </w:rPr>
          <w:t>Aspectos</w:t>
        </w:r>
      </w:smartTag>
      <w:r w:rsidRPr="000873C7">
        <w:rPr>
          <w:rFonts w:ascii="Times New Roman" w:hAnsi="Times New Roman"/>
          <w:i/>
          <w:iCs/>
          <w:sz w:val="24"/>
          <w:szCs w:val="24"/>
        </w:rPr>
        <w:t xml:space="preserve"> polêmicos e </w:t>
      </w:r>
      <w:smartTag w:uri="schemas-houaiss/mini" w:element="verbetes">
        <w:r w:rsidRPr="000873C7">
          <w:rPr>
            <w:rFonts w:ascii="Times New Roman" w:hAnsi="Times New Roman"/>
            <w:i/>
            <w:iCs/>
            <w:sz w:val="24"/>
            <w:szCs w:val="24"/>
          </w:rPr>
          <w:t>atuais</w:t>
        </w:r>
      </w:smartTag>
      <w:r w:rsidRPr="000873C7">
        <w:rPr>
          <w:rFonts w:ascii="Times New Roman" w:hAnsi="Times New Roman"/>
          <w:i/>
          <w:iCs/>
          <w:sz w:val="24"/>
          <w:szCs w:val="24"/>
        </w:rPr>
        <w:t xml:space="preserve"> dos </w:t>
      </w:r>
      <w:smartTag w:uri="schemas-houaiss/mini" w:element="verbetes">
        <w:r w:rsidRPr="000873C7">
          <w:rPr>
            <w:rFonts w:ascii="Times New Roman" w:hAnsi="Times New Roman"/>
            <w:i/>
            <w:iCs/>
            <w:sz w:val="24"/>
            <w:szCs w:val="24"/>
          </w:rPr>
          <w:t>recursos</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cíveis</w:t>
        </w:r>
      </w:smartTag>
      <w:r w:rsidRPr="000873C7">
        <w:rPr>
          <w:rFonts w:ascii="Times New Roman" w:hAnsi="Times New Roman"/>
          <w:i/>
          <w:iCs/>
          <w:sz w:val="24"/>
          <w:szCs w:val="24"/>
        </w:rPr>
        <w:t xml:space="preserve"> de </w:t>
      </w:r>
      <w:smartTag w:uri="schemas-houaiss/mini" w:element="verbetes">
        <w:r w:rsidRPr="000873C7">
          <w:rPr>
            <w:rFonts w:ascii="Times New Roman" w:hAnsi="Times New Roman"/>
            <w:i/>
            <w:iCs/>
            <w:sz w:val="24"/>
            <w:szCs w:val="24"/>
          </w:rPr>
          <w:t>acordo</w:t>
        </w:r>
      </w:smartTag>
      <w:r w:rsidRPr="000873C7">
        <w:rPr>
          <w:rFonts w:ascii="Times New Roman" w:hAnsi="Times New Roman"/>
          <w:i/>
          <w:iCs/>
          <w:sz w:val="24"/>
          <w:szCs w:val="24"/>
        </w:rPr>
        <w:t xml:space="preserve"> </w:t>
      </w:r>
      <w:smartTag w:uri="schemas-houaiss/mini" w:element="verbetes">
        <w:r w:rsidRPr="000873C7">
          <w:rPr>
            <w:rFonts w:ascii="Times New Roman" w:hAnsi="Times New Roman"/>
            <w:i/>
            <w:iCs/>
            <w:sz w:val="24"/>
            <w:szCs w:val="24"/>
          </w:rPr>
          <w:t>com</w:t>
        </w:r>
      </w:smartTag>
      <w:r w:rsidRPr="000873C7">
        <w:rPr>
          <w:rFonts w:ascii="Times New Roman" w:hAnsi="Times New Roman"/>
          <w:i/>
          <w:iCs/>
          <w:sz w:val="24"/>
          <w:szCs w:val="24"/>
        </w:rPr>
        <w:t xml:space="preserve"> a </w:t>
      </w:r>
      <w:smartTag w:uri="schemas-houaiss/mini" w:element="verbetes">
        <w:r w:rsidRPr="000873C7">
          <w:rPr>
            <w:rFonts w:ascii="Times New Roman" w:hAnsi="Times New Roman"/>
            <w:i/>
            <w:iCs/>
            <w:sz w:val="24"/>
            <w:szCs w:val="24"/>
          </w:rPr>
          <w:t>Lei</w:t>
        </w:r>
      </w:smartTag>
      <w:r w:rsidRPr="000873C7">
        <w:rPr>
          <w:rFonts w:ascii="Times New Roman" w:hAnsi="Times New Roman"/>
          <w:i/>
          <w:iCs/>
          <w:sz w:val="24"/>
          <w:szCs w:val="24"/>
        </w:rPr>
        <w:t xml:space="preserve"> 9.756/98</w:t>
      </w:r>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vários</w:t>
        </w:r>
      </w:smartTag>
      <w:r w:rsidRPr="000873C7">
        <w:rPr>
          <w:rFonts w:ascii="Times New Roman" w:hAnsi="Times New Roman"/>
          <w:sz w:val="24"/>
          <w:szCs w:val="24"/>
        </w:rPr>
        <w:t xml:space="preserve"> colaboradores). </w:t>
      </w:r>
      <w:smartTag w:uri="schemas-houaiss/mini" w:element="verbetes">
        <w:r w:rsidRPr="000873C7">
          <w:rPr>
            <w:rFonts w:ascii="Times New Roman" w:hAnsi="Times New Roman"/>
            <w:sz w:val="24"/>
            <w:szCs w:val="24"/>
          </w:rPr>
          <w:t>São</w:t>
        </w:r>
      </w:smartTag>
      <w:r w:rsidRPr="000873C7">
        <w:rPr>
          <w:rFonts w:ascii="Times New Roman" w:hAnsi="Times New Roman"/>
          <w:sz w:val="24"/>
          <w:szCs w:val="24"/>
        </w:rPr>
        <w:t xml:space="preserve"> Paulo: RT, 1999. </w:t>
      </w:r>
    </w:p>
    <w:p w:rsidR="00C3608F" w:rsidRPr="000873C7" w:rsidRDefault="00C3608F" w:rsidP="00C3608F">
      <w:pPr>
        <w:spacing w:line="360" w:lineRule="auto"/>
        <w:jc w:val="both"/>
        <w:rPr>
          <w:rFonts w:ascii="Times New Roman" w:hAnsi="Times New Roman"/>
          <w:sz w:val="24"/>
          <w:szCs w:val="24"/>
        </w:rPr>
      </w:pPr>
      <w:r w:rsidRPr="000873C7">
        <w:rPr>
          <w:rFonts w:ascii="Times New Roman" w:hAnsi="Times New Roman"/>
          <w:sz w:val="24"/>
          <w:szCs w:val="24"/>
        </w:rPr>
        <w:t xml:space="preserve">PINTO, Nelson Luiz. Manual dos Recursos Cíveis. 3. ed. </w:t>
      </w:r>
      <w:proofErr w:type="spellStart"/>
      <w:r w:rsidRPr="000873C7">
        <w:rPr>
          <w:rFonts w:ascii="Times New Roman" w:hAnsi="Times New Roman"/>
          <w:sz w:val="24"/>
          <w:szCs w:val="24"/>
        </w:rPr>
        <w:t>ampl</w:t>
      </w:r>
      <w:proofErr w:type="spellEnd"/>
      <w:r w:rsidRPr="000873C7">
        <w:rPr>
          <w:rFonts w:ascii="Times New Roman" w:hAnsi="Times New Roman"/>
          <w:sz w:val="24"/>
          <w:szCs w:val="24"/>
        </w:rPr>
        <w:t>. atual. São Paulo: Malheiros Ed</w:t>
      </w:r>
      <w:r w:rsidR="00677FDD">
        <w:rPr>
          <w:rFonts w:ascii="Times New Roman" w:hAnsi="Times New Roman"/>
          <w:sz w:val="24"/>
          <w:szCs w:val="24"/>
        </w:rPr>
        <w:t>i</w:t>
      </w:r>
      <w:r w:rsidRPr="000873C7">
        <w:rPr>
          <w:rFonts w:ascii="Times New Roman" w:hAnsi="Times New Roman"/>
          <w:sz w:val="24"/>
          <w:szCs w:val="24"/>
        </w:rPr>
        <w:t>tores, 2003.</w:t>
      </w:r>
    </w:p>
    <w:p w:rsidR="00847FD2" w:rsidRPr="000873C7" w:rsidRDefault="00E92ABE" w:rsidP="00C3608F">
      <w:pPr>
        <w:jc w:val="both"/>
        <w:rPr>
          <w:rFonts w:ascii="Times New Roman" w:hAnsi="Times New Roman"/>
          <w:sz w:val="24"/>
          <w:szCs w:val="24"/>
        </w:rPr>
      </w:pPr>
      <w:r w:rsidRPr="000873C7">
        <w:rPr>
          <w:rFonts w:ascii="Times New Roman" w:hAnsi="Times New Roman"/>
          <w:sz w:val="24"/>
          <w:szCs w:val="24"/>
        </w:rPr>
        <w:t xml:space="preserve">WAMBIER, Teresa </w:t>
      </w:r>
      <w:smartTag w:uri="schemas-houaiss/mini" w:element="verbetes">
        <w:r w:rsidRPr="000873C7">
          <w:rPr>
            <w:rFonts w:ascii="Times New Roman" w:hAnsi="Times New Roman"/>
            <w:sz w:val="24"/>
            <w:szCs w:val="24"/>
          </w:rPr>
          <w:t>Arruda</w:t>
        </w:r>
      </w:smartTag>
      <w:r w:rsidRPr="000873C7">
        <w:rPr>
          <w:rFonts w:ascii="Times New Roman" w:hAnsi="Times New Roman"/>
          <w:sz w:val="24"/>
          <w:szCs w:val="24"/>
        </w:rPr>
        <w:t xml:space="preserve"> Alvim. </w:t>
      </w:r>
      <w:smartTag w:uri="schemas-houaiss/mini" w:element="verbetes">
        <w:r w:rsidRPr="000873C7">
          <w:rPr>
            <w:rFonts w:ascii="Times New Roman" w:hAnsi="Times New Roman"/>
            <w:sz w:val="24"/>
            <w:szCs w:val="24"/>
          </w:rPr>
          <w:t>Controle</w:t>
        </w:r>
      </w:smartTag>
      <w:r w:rsidRPr="000873C7">
        <w:rPr>
          <w:rFonts w:ascii="Times New Roman" w:hAnsi="Times New Roman"/>
          <w:sz w:val="24"/>
          <w:szCs w:val="24"/>
        </w:rPr>
        <w:t xml:space="preserve"> das </w:t>
      </w:r>
      <w:smartTag w:uri="schemas-houaiss/mini" w:element="verbetes">
        <w:r w:rsidRPr="000873C7">
          <w:rPr>
            <w:rFonts w:ascii="Times New Roman" w:hAnsi="Times New Roman"/>
            <w:sz w:val="24"/>
            <w:szCs w:val="24"/>
          </w:rPr>
          <w:t>decisões</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judiciais</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por</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meio</w:t>
        </w:r>
      </w:smartTag>
      <w:r w:rsidRPr="000873C7">
        <w:rPr>
          <w:rFonts w:ascii="Times New Roman" w:hAnsi="Times New Roman"/>
          <w:sz w:val="24"/>
          <w:szCs w:val="24"/>
        </w:rPr>
        <w:t xml:space="preserve"> de </w:t>
      </w:r>
      <w:smartTag w:uri="schemas-houaiss/mini" w:element="verbetes">
        <w:r w:rsidRPr="000873C7">
          <w:rPr>
            <w:rFonts w:ascii="Times New Roman" w:hAnsi="Times New Roman"/>
            <w:sz w:val="24"/>
            <w:szCs w:val="24"/>
          </w:rPr>
          <w:t>recursos</w:t>
        </w:r>
      </w:smartTag>
      <w:r w:rsidRPr="000873C7">
        <w:rPr>
          <w:rFonts w:ascii="Times New Roman" w:hAnsi="Times New Roman"/>
          <w:sz w:val="24"/>
          <w:szCs w:val="24"/>
        </w:rPr>
        <w:t xml:space="preserve"> de </w:t>
      </w:r>
      <w:smartTag w:uri="schemas-houaiss/mini" w:element="verbetes">
        <w:r w:rsidRPr="000873C7">
          <w:rPr>
            <w:rFonts w:ascii="Times New Roman" w:hAnsi="Times New Roman"/>
            <w:sz w:val="24"/>
            <w:szCs w:val="24"/>
          </w:rPr>
          <w:t>estrito</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direito</w:t>
        </w:r>
      </w:smartTag>
      <w:r w:rsidRPr="000873C7">
        <w:rPr>
          <w:rFonts w:ascii="Times New Roman" w:hAnsi="Times New Roman"/>
          <w:sz w:val="24"/>
          <w:szCs w:val="24"/>
        </w:rPr>
        <w:t xml:space="preserve"> e de </w:t>
      </w:r>
      <w:smartTag w:uri="schemas-houaiss/acao" w:element="dm">
        <w:r w:rsidRPr="000873C7">
          <w:rPr>
            <w:rFonts w:ascii="Times New Roman" w:hAnsi="Times New Roman"/>
            <w:sz w:val="24"/>
            <w:szCs w:val="24"/>
          </w:rPr>
          <w:t>ação</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rescisória</w:t>
        </w:r>
      </w:smartTag>
      <w:r w:rsidRPr="000873C7">
        <w:rPr>
          <w:rFonts w:ascii="Times New Roman" w:hAnsi="Times New Roman"/>
          <w:sz w:val="24"/>
          <w:szCs w:val="24"/>
        </w:rPr>
        <w:t xml:space="preserve">. </w:t>
      </w:r>
      <w:smartTag w:uri="schemas-houaiss/mini" w:element="verbetes">
        <w:r w:rsidRPr="000873C7">
          <w:rPr>
            <w:rFonts w:ascii="Times New Roman" w:hAnsi="Times New Roman"/>
            <w:sz w:val="24"/>
            <w:szCs w:val="24"/>
          </w:rPr>
          <w:t>São</w:t>
        </w:r>
      </w:smartTag>
      <w:r w:rsidRPr="000873C7">
        <w:rPr>
          <w:rFonts w:ascii="Times New Roman" w:hAnsi="Times New Roman"/>
          <w:sz w:val="24"/>
          <w:szCs w:val="24"/>
        </w:rPr>
        <w:t xml:space="preserve"> Paulo: RT, 2001. </w:t>
      </w:r>
    </w:p>
    <w:p w:rsidR="009F57C6" w:rsidRPr="000873C7" w:rsidRDefault="009F57C6" w:rsidP="00C3608F">
      <w:pPr>
        <w:jc w:val="both"/>
        <w:rPr>
          <w:rFonts w:ascii="Times New Roman" w:hAnsi="Times New Roman"/>
          <w:sz w:val="24"/>
          <w:szCs w:val="24"/>
        </w:rPr>
      </w:pPr>
      <w:r w:rsidRPr="000873C7">
        <w:rPr>
          <w:rFonts w:ascii="Times New Roman" w:hAnsi="Times New Roman"/>
          <w:sz w:val="24"/>
          <w:szCs w:val="24"/>
        </w:rPr>
        <w:t xml:space="preserve">WAMBIER, Teresa </w:t>
      </w:r>
      <w:smartTag w:uri="schemas-houaiss/mini" w:element="verbetes">
        <w:r w:rsidRPr="000873C7">
          <w:rPr>
            <w:rFonts w:ascii="Times New Roman" w:hAnsi="Times New Roman"/>
            <w:sz w:val="24"/>
            <w:szCs w:val="24"/>
          </w:rPr>
          <w:t>Arruda</w:t>
        </w:r>
      </w:smartTag>
      <w:r w:rsidRPr="000873C7">
        <w:rPr>
          <w:rFonts w:ascii="Times New Roman" w:hAnsi="Times New Roman"/>
          <w:sz w:val="24"/>
          <w:szCs w:val="24"/>
        </w:rPr>
        <w:t xml:space="preserve"> Alvim. </w:t>
      </w:r>
      <w:r w:rsidR="00BE3FBD" w:rsidRPr="000873C7">
        <w:rPr>
          <w:rFonts w:ascii="Times New Roman" w:hAnsi="Times New Roman"/>
          <w:sz w:val="24"/>
          <w:szCs w:val="24"/>
        </w:rPr>
        <w:t>Omissão judicial e embargos de declaração. São Paulo: RT, 2005.</w:t>
      </w:r>
      <w:bookmarkEnd w:id="0"/>
    </w:p>
    <w:sectPr w:rsidR="009F57C6" w:rsidRPr="000873C7" w:rsidSect="002F55F8">
      <w:footerReference w:type="even" r:id="rId10"/>
      <w:footerReference w:type="default" r:id="rId11"/>
      <w:pgSz w:w="11906" w:h="16838" w:code="9"/>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1F2" w:rsidRDefault="001B41F2" w:rsidP="00AE19CA">
      <w:pPr>
        <w:spacing w:after="0" w:line="240" w:lineRule="auto"/>
      </w:pPr>
      <w:r>
        <w:separator/>
      </w:r>
    </w:p>
  </w:endnote>
  <w:endnote w:type="continuationSeparator" w:id="0">
    <w:p w:rsidR="001B41F2" w:rsidRDefault="001B41F2" w:rsidP="00AE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E8" w:rsidRDefault="003478E8" w:rsidP="002F55F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478E8" w:rsidRDefault="003478E8" w:rsidP="00F46BE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E8" w:rsidRDefault="003478E8" w:rsidP="00A1019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F391E">
      <w:rPr>
        <w:rStyle w:val="Nmerodepgina"/>
        <w:noProof/>
      </w:rPr>
      <w:t>1</w:t>
    </w:r>
    <w:r>
      <w:rPr>
        <w:rStyle w:val="Nmerodepgina"/>
      </w:rPr>
      <w:fldChar w:fldCharType="end"/>
    </w:r>
  </w:p>
  <w:p w:rsidR="003478E8" w:rsidRDefault="003478E8" w:rsidP="00F46BE3">
    <w:pPr>
      <w:pStyle w:val="Rodap"/>
      <w:ind w:right="360"/>
    </w:pPr>
  </w:p>
  <w:p w:rsidR="003478E8" w:rsidRDefault="003478E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1F2" w:rsidRDefault="001B41F2" w:rsidP="00AE19CA">
      <w:pPr>
        <w:spacing w:after="0" w:line="240" w:lineRule="auto"/>
      </w:pPr>
      <w:r>
        <w:separator/>
      </w:r>
    </w:p>
  </w:footnote>
  <w:footnote w:type="continuationSeparator" w:id="0">
    <w:p w:rsidR="001B41F2" w:rsidRDefault="001B41F2" w:rsidP="00AE19CA">
      <w:pPr>
        <w:spacing w:after="0" w:line="240" w:lineRule="auto"/>
      </w:pPr>
      <w:r>
        <w:continuationSeparator/>
      </w:r>
    </w:p>
  </w:footnote>
  <w:footnote w:id="1">
    <w:p w:rsidR="00A5358A" w:rsidRDefault="00A5358A">
      <w:pPr>
        <w:pStyle w:val="Textodenotaderodap"/>
      </w:pPr>
      <w:r>
        <w:rPr>
          <w:rStyle w:val="Refdenotaderodap"/>
        </w:rPr>
        <w:footnoteRef/>
      </w:r>
      <w:r>
        <w:t xml:space="preserve"> Doutorando em Direito Processual Civil pela PUC SP. Advogado, Professor de Direito Processual Civil da PUC Campinas e Diretor do Centro de Ciências Humanas e Sociais Aplicadas da PUC Campinas.</w:t>
      </w:r>
    </w:p>
  </w:footnote>
  <w:footnote w:id="2">
    <w:p w:rsidR="003478E8" w:rsidRPr="00FE21D6" w:rsidRDefault="003478E8" w:rsidP="009F57C6">
      <w:pPr>
        <w:pStyle w:val="Textodenotaderodap"/>
        <w:spacing w:after="0" w:line="240" w:lineRule="auto"/>
        <w:jc w:val="both"/>
        <w:rPr>
          <w:rFonts w:ascii="Times New Roman" w:hAnsi="Times New Roman"/>
        </w:rPr>
      </w:pPr>
      <w:r w:rsidRPr="00FE21D6">
        <w:rPr>
          <w:rStyle w:val="Refdenotaderodap"/>
          <w:rFonts w:ascii="Times New Roman" w:hAnsi="Times New Roman"/>
        </w:rPr>
        <w:footnoteRef/>
      </w:r>
      <w:r w:rsidRPr="00FE21D6">
        <w:rPr>
          <w:rFonts w:ascii="Times New Roman" w:hAnsi="Times New Roman"/>
        </w:rPr>
        <w:t xml:space="preserve"> CARNEIRO, </w:t>
      </w:r>
      <w:proofErr w:type="spellStart"/>
      <w:r w:rsidRPr="00FE21D6">
        <w:rPr>
          <w:rFonts w:ascii="Times New Roman" w:hAnsi="Times New Roman"/>
        </w:rPr>
        <w:t>Athos</w:t>
      </w:r>
      <w:proofErr w:type="spellEnd"/>
      <w:r w:rsidRPr="00FE21D6">
        <w:rPr>
          <w:rFonts w:ascii="Times New Roman" w:hAnsi="Times New Roman"/>
        </w:rPr>
        <w:t xml:space="preserve"> Gusmão. Recurso Especial, agravos e agravo interno. Rio de Janeiro: Forense, 2001, p. </w:t>
      </w:r>
      <w:proofErr w:type="gramStart"/>
      <w:r w:rsidRPr="00FE21D6">
        <w:rPr>
          <w:rFonts w:ascii="Times New Roman" w:hAnsi="Times New Roman"/>
        </w:rPr>
        <w:t>25</w:t>
      </w:r>
      <w:proofErr w:type="gramEnd"/>
    </w:p>
  </w:footnote>
  <w:footnote w:id="3">
    <w:p w:rsidR="003478E8" w:rsidRPr="00FE21D6" w:rsidRDefault="003478E8" w:rsidP="009F57C6">
      <w:pPr>
        <w:spacing w:after="0" w:line="240" w:lineRule="auto"/>
        <w:jc w:val="both"/>
        <w:rPr>
          <w:rFonts w:ascii="Times New Roman" w:hAnsi="Times New Roman"/>
          <w:sz w:val="20"/>
          <w:szCs w:val="20"/>
        </w:rPr>
      </w:pPr>
      <w:r w:rsidRPr="00FE21D6">
        <w:rPr>
          <w:rStyle w:val="Refdenotaderodap"/>
          <w:rFonts w:ascii="Times New Roman" w:hAnsi="Times New Roman"/>
          <w:sz w:val="20"/>
          <w:szCs w:val="20"/>
        </w:rPr>
        <w:footnoteRef/>
      </w:r>
      <w:r w:rsidR="00001B32">
        <w:rPr>
          <w:rFonts w:ascii="Times New Roman" w:hAnsi="Times New Roman"/>
          <w:sz w:val="20"/>
          <w:szCs w:val="20"/>
        </w:rPr>
        <w:t xml:space="preserve"> </w:t>
      </w:r>
      <w:r w:rsidRPr="00FE21D6">
        <w:rPr>
          <w:rFonts w:ascii="Times New Roman" w:hAnsi="Times New Roman"/>
          <w:sz w:val="20"/>
          <w:szCs w:val="20"/>
        </w:rPr>
        <w:t xml:space="preserve">PROCESSUAL CIVIL E TRIBUTÁRIO. RECURSO ESPECIAL. EMBARGOS À EXECUÇÃO DE SENTENÇA. LIQUIDAÇÃO POR ARBITRAMENTO. FALTA DE PREQUESTIONAMENTO. SÚMULA 211/STJ. RECURSO QUE NÃO APONTA VIOLAÇÃO DO ART. 535 DO CPC. 1. Hipótese em que o STJ, anteriormente, acolheu a violação do art. 535 do CPC para reconhecer a omissão do acórdão quanto às questões tidas como violadas no Recurso Especial (art. 606 do CPC) e determinar o retorno dos autos para que fosse proferido novo julgamento dos Embargos de Declaração. Porém, o Tribunal a quo quedou-se novamente omisso. 2.  A alegação sobre afronta aos </w:t>
      </w:r>
      <w:proofErr w:type="spellStart"/>
      <w:r w:rsidRPr="00FE21D6">
        <w:rPr>
          <w:rFonts w:ascii="Times New Roman" w:hAnsi="Times New Roman"/>
          <w:sz w:val="20"/>
          <w:szCs w:val="20"/>
        </w:rPr>
        <w:t>arts</w:t>
      </w:r>
      <w:proofErr w:type="spellEnd"/>
      <w:r w:rsidRPr="00FE21D6">
        <w:rPr>
          <w:rFonts w:ascii="Times New Roman" w:hAnsi="Times New Roman"/>
          <w:sz w:val="20"/>
          <w:szCs w:val="20"/>
        </w:rPr>
        <w:t xml:space="preserve">. 606, I, do CPC e 13 da Lei 9.065/1995, a despeito da oposição de Embargos Declaratórios, não </w:t>
      </w:r>
      <w:proofErr w:type="gramStart"/>
      <w:r w:rsidRPr="00FE21D6">
        <w:rPr>
          <w:rFonts w:ascii="Times New Roman" w:hAnsi="Times New Roman"/>
          <w:sz w:val="20"/>
          <w:szCs w:val="20"/>
        </w:rPr>
        <w:t>foi apreciada</w:t>
      </w:r>
      <w:proofErr w:type="gramEnd"/>
      <w:r w:rsidRPr="00FE21D6">
        <w:rPr>
          <w:rFonts w:ascii="Times New Roman" w:hAnsi="Times New Roman"/>
          <w:sz w:val="20"/>
          <w:szCs w:val="20"/>
        </w:rPr>
        <w:t xml:space="preserve"> pela Corte de origem. Incide a Súmula 211/STJ. 3.  Para que se configure prequestionamento implícito, é necessário que o Tribunal a quo emita juízo de valor a respeito da aplicação da norma federal ao caso concreto, o que não ocorreu. 4. Ressalte-se, nessa hipótese, que, para viabilizar o conhecimento do Recurso Especial, caberia à recorrente alegar ofensa ao art. 535 do CPC, o que não fez. 5. Recurso Especial não conhecido. (</w:t>
      </w:r>
      <w:proofErr w:type="spellStart"/>
      <w:proofErr w:type="gramStart"/>
      <w:r w:rsidRPr="00FE21D6">
        <w:rPr>
          <w:rFonts w:ascii="Times New Roman" w:hAnsi="Times New Roman"/>
          <w:sz w:val="20"/>
          <w:szCs w:val="20"/>
        </w:rPr>
        <w:t>REsp</w:t>
      </w:r>
      <w:proofErr w:type="spellEnd"/>
      <w:proofErr w:type="gramEnd"/>
      <w:r w:rsidRPr="00FE21D6">
        <w:rPr>
          <w:rFonts w:ascii="Times New Roman" w:hAnsi="Times New Roman"/>
          <w:sz w:val="20"/>
          <w:szCs w:val="20"/>
        </w:rPr>
        <w:t xml:space="preserve"> 1343927 / RS RECURSO ESPECIAL 2012/0192508-5, Ministro HERMAN BENJAMIN, </w:t>
      </w:r>
      <w:proofErr w:type="spellStart"/>
      <w:r w:rsidRPr="00FE21D6">
        <w:rPr>
          <w:rFonts w:ascii="Times New Roman" w:hAnsi="Times New Roman"/>
          <w:sz w:val="20"/>
          <w:szCs w:val="20"/>
        </w:rPr>
        <w:t>DJe</w:t>
      </w:r>
      <w:proofErr w:type="spellEnd"/>
      <w:r w:rsidRPr="00FE21D6">
        <w:rPr>
          <w:rFonts w:ascii="Times New Roman" w:hAnsi="Times New Roman"/>
          <w:sz w:val="20"/>
          <w:szCs w:val="20"/>
        </w:rPr>
        <w:t xml:space="preserve"> 31/10/2012)</w:t>
      </w:r>
    </w:p>
  </w:footnote>
  <w:footnote w:id="4">
    <w:p w:rsidR="003478E8" w:rsidRPr="00FE21D6" w:rsidRDefault="003478E8" w:rsidP="009F57C6">
      <w:pPr>
        <w:spacing w:after="0" w:line="240" w:lineRule="auto"/>
        <w:jc w:val="both"/>
        <w:rPr>
          <w:rFonts w:ascii="Times New Roman" w:hAnsi="Times New Roman"/>
          <w:sz w:val="20"/>
          <w:szCs w:val="20"/>
        </w:rPr>
      </w:pPr>
      <w:r w:rsidRPr="00FE21D6">
        <w:rPr>
          <w:rStyle w:val="Refdenotaderodap"/>
          <w:rFonts w:ascii="Times New Roman" w:hAnsi="Times New Roman"/>
          <w:sz w:val="20"/>
          <w:szCs w:val="20"/>
        </w:rPr>
        <w:footnoteRef/>
      </w:r>
      <w:r w:rsidRPr="00FE21D6">
        <w:rPr>
          <w:rFonts w:ascii="Times New Roman" w:hAnsi="Times New Roman"/>
          <w:sz w:val="20"/>
          <w:szCs w:val="20"/>
        </w:rPr>
        <w:t xml:space="preserve"> DIREITO PROCESSUAL CIVIL. JUROS MORATÓRIOS. VIOLAÇÃO À COISA JULGADA. AUSÊNCIA DE PREQUESTIONAMENTO. SÚMULA Nº 211/STJ. IMPOSSIBILIDADE DE PREQUESTIONAMENTO FICTO. A despeito da suscitação da matéria relativa à violação à coisa julgada na apelação e em embargos de declaração, não houve pronunciamento desta questão pelo Tribunal de origem. </w:t>
      </w:r>
      <w:proofErr w:type="spellStart"/>
      <w:r w:rsidRPr="00FE21D6">
        <w:rPr>
          <w:rFonts w:ascii="Times New Roman" w:hAnsi="Times New Roman"/>
          <w:sz w:val="20"/>
          <w:szCs w:val="20"/>
        </w:rPr>
        <w:t>Dessarte</w:t>
      </w:r>
      <w:proofErr w:type="spellEnd"/>
      <w:r w:rsidRPr="00FE21D6">
        <w:rPr>
          <w:rFonts w:ascii="Times New Roman" w:hAnsi="Times New Roman"/>
          <w:sz w:val="20"/>
          <w:szCs w:val="20"/>
        </w:rPr>
        <w:t>, conforme iterativo entendimento jurisprudencial desta Corte</w:t>
      </w:r>
      <w:proofErr w:type="gramStart"/>
      <w:r w:rsidRPr="00FE21D6">
        <w:rPr>
          <w:rFonts w:ascii="Times New Roman" w:hAnsi="Times New Roman"/>
          <w:sz w:val="20"/>
          <w:szCs w:val="20"/>
        </w:rPr>
        <w:t>, deveria</w:t>
      </w:r>
      <w:proofErr w:type="gramEnd"/>
      <w:r w:rsidRPr="00FE21D6">
        <w:rPr>
          <w:rFonts w:ascii="Times New Roman" w:hAnsi="Times New Roman"/>
          <w:sz w:val="20"/>
          <w:szCs w:val="20"/>
        </w:rPr>
        <w:t xml:space="preserve"> o recorrente ter interposto o recurso especial alegando violação do art. 535 do CPC. 2. Segundo pacífica jurisprudência deste Tribunal Superior, para a configuração do requisito do prequestionamento, desnecessário o pronunciamento numérico dos dispositivos legais pertinentes, porém, completamente imprescindível que haja manifestação acerca do </w:t>
      </w:r>
      <w:proofErr w:type="spellStart"/>
      <w:r w:rsidRPr="00FE21D6">
        <w:rPr>
          <w:rFonts w:ascii="Times New Roman" w:hAnsi="Times New Roman"/>
          <w:sz w:val="20"/>
          <w:szCs w:val="20"/>
        </w:rPr>
        <w:t>thema</w:t>
      </w:r>
      <w:proofErr w:type="spellEnd"/>
      <w:r w:rsidRPr="00FE21D6">
        <w:rPr>
          <w:rFonts w:ascii="Times New Roman" w:hAnsi="Times New Roman"/>
          <w:sz w:val="20"/>
          <w:szCs w:val="20"/>
        </w:rPr>
        <w:t xml:space="preserve"> </w:t>
      </w:r>
      <w:proofErr w:type="spellStart"/>
      <w:r w:rsidRPr="00FE21D6">
        <w:rPr>
          <w:rFonts w:ascii="Times New Roman" w:hAnsi="Times New Roman"/>
          <w:sz w:val="20"/>
          <w:szCs w:val="20"/>
        </w:rPr>
        <w:t>decidendum</w:t>
      </w:r>
      <w:proofErr w:type="spellEnd"/>
      <w:r w:rsidRPr="00FE21D6">
        <w:rPr>
          <w:rFonts w:ascii="Times New Roman" w:hAnsi="Times New Roman"/>
          <w:sz w:val="20"/>
          <w:szCs w:val="20"/>
        </w:rPr>
        <w:t xml:space="preserve">. </w:t>
      </w:r>
      <w:smartTag w:uri="urn:schemas-microsoft-com:office:smarttags" w:element="metricconverter">
        <w:smartTagPr>
          <w:attr w:name="ProductID" w:val="3. A"/>
        </w:smartTagPr>
        <w:r w:rsidRPr="00FE21D6">
          <w:rPr>
            <w:rFonts w:ascii="Times New Roman" w:hAnsi="Times New Roman"/>
            <w:sz w:val="20"/>
            <w:szCs w:val="20"/>
          </w:rPr>
          <w:t>3. A</w:t>
        </w:r>
      </w:smartTag>
      <w:r w:rsidRPr="00FE21D6">
        <w:rPr>
          <w:rFonts w:ascii="Times New Roman" w:hAnsi="Times New Roman"/>
          <w:sz w:val="20"/>
          <w:szCs w:val="20"/>
        </w:rPr>
        <w:t xml:space="preserve"> mera interposição de recursos em que se suscita a matéria não tem o condão de tornar </w:t>
      </w:r>
      <w:proofErr w:type="spellStart"/>
      <w:r w:rsidRPr="00FE21D6">
        <w:rPr>
          <w:rFonts w:ascii="Times New Roman" w:hAnsi="Times New Roman"/>
          <w:sz w:val="20"/>
          <w:szCs w:val="20"/>
        </w:rPr>
        <w:t>prequestionado</w:t>
      </w:r>
      <w:proofErr w:type="spellEnd"/>
      <w:r w:rsidRPr="00FE21D6">
        <w:rPr>
          <w:rFonts w:ascii="Times New Roman" w:hAnsi="Times New Roman"/>
          <w:sz w:val="20"/>
          <w:szCs w:val="20"/>
        </w:rPr>
        <w:t xml:space="preserve"> o tema, porquanto esta Corte não admite o prequestionamento ficto. 4. Agravo regimental a que se nega provimento. (</w:t>
      </w:r>
      <w:proofErr w:type="spellStart"/>
      <w:proofErr w:type="gramStart"/>
      <w:r w:rsidRPr="00FE21D6">
        <w:rPr>
          <w:rFonts w:ascii="Times New Roman" w:hAnsi="Times New Roman"/>
          <w:sz w:val="20"/>
          <w:szCs w:val="20"/>
        </w:rPr>
        <w:t>AgRg</w:t>
      </w:r>
      <w:proofErr w:type="spellEnd"/>
      <w:proofErr w:type="gramEnd"/>
      <w:r w:rsidRPr="00FE21D6">
        <w:rPr>
          <w:rFonts w:ascii="Times New Roman" w:hAnsi="Times New Roman"/>
          <w:sz w:val="20"/>
          <w:szCs w:val="20"/>
        </w:rPr>
        <w:t xml:space="preserve"> no </w:t>
      </w:r>
      <w:proofErr w:type="spellStart"/>
      <w:r w:rsidRPr="00FE21D6">
        <w:rPr>
          <w:rFonts w:ascii="Times New Roman" w:hAnsi="Times New Roman"/>
          <w:sz w:val="20"/>
          <w:szCs w:val="20"/>
        </w:rPr>
        <w:t>REsp</w:t>
      </w:r>
      <w:proofErr w:type="spellEnd"/>
      <w:r w:rsidRPr="00FE21D6">
        <w:rPr>
          <w:rFonts w:ascii="Times New Roman" w:hAnsi="Times New Roman"/>
          <w:sz w:val="20"/>
          <w:szCs w:val="20"/>
        </w:rPr>
        <w:t xml:space="preserve"> 1066647 / SPAGRAVO REGIMENTAL NO RECURSO ESPECIAL 2008/0128354-4, Ministro ADILSON VIEIRA MACABU, </w:t>
      </w:r>
      <w:proofErr w:type="spellStart"/>
      <w:r w:rsidRPr="00FE21D6">
        <w:rPr>
          <w:rFonts w:ascii="Times New Roman" w:hAnsi="Times New Roman"/>
          <w:sz w:val="20"/>
          <w:szCs w:val="20"/>
        </w:rPr>
        <w:t>DJe</w:t>
      </w:r>
      <w:proofErr w:type="spellEnd"/>
      <w:r w:rsidRPr="00FE21D6">
        <w:rPr>
          <w:rFonts w:ascii="Times New Roman" w:hAnsi="Times New Roman"/>
          <w:sz w:val="20"/>
          <w:szCs w:val="20"/>
        </w:rPr>
        <w:t xml:space="preserve"> 21/03/2011)</w:t>
      </w:r>
    </w:p>
    <w:p w:rsidR="003478E8" w:rsidRPr="00FE21D6" w:rsidRDefault="003478E8" w:rsidP="009F57C6">
      <w:pPr>
        <w:spacing w:after="0" w:line="240" w:lineRule="auto"/>
        <w:jc w:val="both"/>
        <w:rPr>
          <w:rFonts w:ascii="Times New Roman" w:hAnsi="Times New Roman"/>
          <w:sz w:val="20"/>
          <w:szCs w:val="20"/>
        </w:rPr>
      </w:pPr>
      <w:r w:rsidRPr="00FE21D6">
        <w:rPr>
          <w:rFonts w:ascii="Times New Roman" w:hAnsi="Times New Roman"/>
          <w:sz w:val="20"/>
          <w:szCs w:val="20"/>
        </w:rPr>
        <w:t xml:space="preserve">RECURSO ESPECIAL. OMISSÃO. ACÓRDÃO RECORRIDO. INEXISTÊNCIA. PREQUESTIONAMENTO NUMÉRICO. DESNECESSÁRIO. TEORIA. ACTIO NATA. PRECATÓRIO COMPLEMENTAR. ART. 33 DO ADCT. PARCELAMENTO. PRESCRIÇÃO. ÚLTIMA PARCELA. ARTIGO 730, DO CPC. NÃO CABIMENTO. 1. Não há ofensa ao art. 535, do CPC, quando o aresto a quo decide plenamente a controvérsia e se apresenta devidamente motivado, sem omissões, contradições ou obscuridades a serem sanadas, não sendo necessário que o magistrado efetue o prequestionamento numérico dos dispositivos legais aplicáveis ao caso ou que este se manifeste sobre cada um dos argumentos apresentados pela parte. Precedentes. 2. À luz da teoria da </w:t>
      </w:r>
      <w:proofErr w:type="spellStart"/>
      <w:r w:rsidRPr="00FE21D6">
        <w:rPr>
          <w:rFonts w:ascii="Times New Roman" w:hAnsi="Times New Roman"/>
          <w:sz w:val="20"/>
          <w:szCs w:val="20"/>
        </w:rPr>
        <w:t>actio</w:t>
      </w:r>
      <w:proofErr w:type="spellEnd"/>
      <w:r w:rsidRPr="00FE21D6">
        <w:rPr>
          <w:rFonts w:ascii="Times New Roman" w:hAnsi="Times New Roman"/>
          <w:sz w:val="20"/>
          <w:szCs w:val="20"/>
        </w:rPr>
        <w:t xml:space="preserve"> nata, em caso de precatório expedido na forma do art. 33, do ADCT, incide o prazo prescricional de 05 (cinco) anos para a cobrança das diferenças pagas a menor, a contar do pagamento da última parcela. Precedentes. 3.  O Superior Tribunal de Justiça apresenta firme entendimento de que não é necessário instaurar outro processo executório, com citação da Fazenda, para oposição eventual de novos embargos à execução, em caso de expedição de precatório complementar, sendo inaplicável, portanto, o disposto no art. 730 do CPC. Precedentes. 4. Recurso especial não provido. (</w:t>
      </w:r>
      <w:proofErr w:type="spellStart"/>
      <w:proofErr w:type="gramStart"/>
      <w:r w:rsidRPr="00FE21D6">
        <w:rPr>
          <w:rFonts w:ascii="Times New Roman" w:hAnsi="Times New Roman"/>
          <w:sz w:val="20"/>
          <w:szCs w:val="20"/>
        </w:rPr>
        <w:t>REsp</w:t>
      </w:r>
      <w:proofErr w:type="spellEnd"/>
      <w:proofErr w:type="gramEnd"/>
      <w:r w:rsidRPr="00FE21D6">
        <w:rPr>
          <w:rFonts w:ascii="Times New Roman" w:hAnsi="Times New Roman"/>
          <w:sz w:val="20"/>
          <w:szCs w:val="20"/>
        </w:rPr>
        <w:t xml:space="preserve"> 1125391 / SP RECURSO ESPECIAL 2009/0130778-8, Ministro CASTRO MEIRA, </w:t>
      </w:r>
      <w:proofErr w:type="spellStart"/>
      <w:r w:rsidRPr="00FE21D6">
        <w:rPr>
          <w:rFonts w:ascii="Times New Roman" w:hAnsi="Times New Roman"/>
          <w:sz w:val="20"/>
          <w:szCs w:val="20"/>
        </w:rPr>
        <w:t>DJe</w:t>
      </w:r>
      <w:proofErr w:type="spellEnd"/>
      <w:r w:rsidRPr="00FE21D6">
        <w:rPr>
          <w:rFonts w:ascii="Times New Roman" w:hAnsi="Times New Roman"/>
          <w:sz w:val="20"/>
          <w:szCs w:val="20"/>
        </w:rPr>
        <w:t xml:space="preserve"> 02/06/2010)</w:t>
      </w:r>
    </w:p>
  </w:footnote>
  <w:footnote w:id="5">
    <w:p w:rsidR="003478E8" w:rsidRPr="00FE21D6" w:rsidRDefault="003478E8" w:rsidP="009F57C6">
      <w:pPr>
        <w:pStyle w:val="Textodenotaderodap"/>
        <w:spacing w:after="0" w:line="240" w:lineRule="auto"/>
        <w:jc w:val="both"/>
        <w:rPr>
          <w:rFonts w:ascii="Times New Roman" w:hAnsi="Times New Roman"/>
        </w:rPr>
      </w:pPr>
      <w:r w:rsidRPr="00FE21D6">
        <w:rPr>
          <w:rStyle w:val="Refdenotaderodap"/>
          <w:rFonts w:ascii="Times New Roman" w:hAnsi="Times New Roman"/>
        </w:rPr>
        <w:footnoteRef/>
      </w:r>
      <w:r w:rsidRPr="00FE21D6">
        <w:rPr>
          <w:rFonts w:ascii="Times New Roman" w:hAnsi="Times New Roman"/>
        </w:rPr>
        <w:t xml:space="preserve"> MONTENEGRO FILHO, Misael. Curso de direito processual civil, 4ª Ed.. São Paulo: Atlas, 2007, p.</w:t>
      </w:r>
      <w:proofErr w:type="gramStart"/>
      <w:r w:rsidRPr="00FE21D6">
        <w:rPr>
          <w:rFonts w:ascii="Times New Roman" w:hAnsi="Times New Roman"/>
        </w:rPr>
        <w:t>181</w:t>
      </w:r>
      <w:proofErr w:type="gramEnd"/>
    </w:p>
  </w:footnote>
  <w:footnote w:id="6">
    <w:p w:rsidR="003478E8" w:rsidRPr="00FE21D6" w:rsidRDefault="003478E8" w:rsidP="009F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FE21D6">
        <w:rPr>
          <w:rStyle w:val="Refdenotaderodap"/>
          <w:rFonts w:ascii="Times New Roman" w:hAnsi="Times New Roman"/>
          <w:sz w:val="20"/>
          <w:szCs w:val="20"/>
        </w:rPr>
        <w:footnoteRef/>
      </w:r>
      <w:r w:rsidRPr="00FE21D6">
        <w:rPr>
          <w:rFonts w:ascii="Times New Roman" w:hAnsi="Times New Roman"/>
          <w:sz w:val="20"/>
          <w:szCs w:val="20"/>
        </w:rPr>
        <w:t xml:space="preserve"> </w:t>
      </w:r>
      <w:r w:rsidRPr="00FE21D6">
        <w:rPr>
          <w:rFonts w:ascii="Times New Roman" w:hAnsi="Times New Roman"/>
          <w:b/>
          <w:sz w:val="20"/>
          <w:szCs w:val="20"/>
        </w:rPr>
        <w:t>Súmula 282</w:t>
      </w:r>
      <w:r w:rsidRPr="00FE21D6">
        <w:rPr>
          <w:rFonts w:ascii="Times New Roman" w:hAnsi="Times New Roman"/>
          <w:sz w:val="20"/>
          <w:szCs w:val="20"/>
        </w:rPr>
        <w:t xml:space="preserve">. </w:t>
      </w:r>
      <w:r w:rsidRPr="00FE21D6">
        <w:rPr>
          <w:rFonts w:ascii="Times New Roman" w:eastAsia="Times New Roman" w:hAnsi="Times New Roman"/>
          <w:sz w:val="20"/>
          <w:szCs w:val="20"/>
          <w:lang w:eastAsia="pt-BR"/>
        </w:rPr>
        <w:t xml:space="preserve">É INADMISSÍVEL O RECURSO EXTRAORDINÁRIO, QUANDO NÃO VENTILADA, NA </w:t>
      </w:r>
      <w:r w:rsidRPr="00FE21D6">
        <w:rPr>
          <w:rFonts w:ascii="Times New Roman" w:hAnsi="Times New Roman"/>
          <w:sz w:val="20"/>
          <w:szCs w:val="20"/>
          <w:lang w:eastAsia="pt-BR"/>
        </w:rPr>
        <w:t>DECISÃO RECORRIDA, A QUESTÃO FEDERAL SUSCITADA.</w:t>
      </w:r>
    </w:p>
  </w:footnote>
  <w:footnote w:id="7">
    <w:p w:rsidR="003478E8" w:rsidRPr="00FE21D6" w:rsidRDefault="003478E8" w:rsidP="009F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FE21D6">
        <w:rPr>
          <w:rStyle w:val="Refdenotaderodap"/>
          <w:rFonts w:ascii="Times New Roman" w:hAnsi="Times New Roman"/>
          <w:sz w:val="20"/>
          <w:szCs w:val="20"/>
        </w:rPr>
        <w:footnoteRef/>
      </w:r>
      <w:r w:rsidRPr="00FE21D6">
        <w:rPr>
          <w:rFonts w:ascii="Times New Roman" w:hAnsi="Times New Roman"/>
          <w:sz w:val="20"/>
          <w:szCs w:val="20"/>
        </w:rPr>
        <w:t xml:space="preserve"> </w:t>
      </w:r>
      <w:r w:rsidRPr="00FE21D6">
        <w:rPr>
          <w:rFonts w:ascii="Times New Roman" w:hAnsi="Times New Roman"/>
          <w:b/>
          <w:sz w:val="20"/>
          <w:szCs w:val="20"/>
        </w:rPr>
        <w:t>Súmula 356</w:t>
      </w:r>
      <w:r w:rsidRPr="00FE21D6">
        <w:rPr>
          <w:rFonts w:ascii="Times New Roman" w:hAnsi="Times New Roman"/>
          <w:sz w:val="20"/>
          <w:szCs w:val="20"/>
        </w:rPr>
        <w:t xml:space="preserve">. </w:t>
      </w:r>
      <w:r w:rsidRPr="00FE21D6">
        <w:rPr>
          <w:rFonts w:ascii="Times New Roman" w:eastAsia="Times New Roman" w:hAnsi="Times New Roman"/>
          <w:sz w:val="20"/>
          <w:szCs w:val="20"/>
          <w:lang w:eastAsia="pt-BR"/>
        </w:rPr>
        <w:t xml:space="preserve">O PONTO OMISSO DA DECISÃO, SOBRE O QUAL NÃO FORAM OPOSTOS EMBARGOS DECLARATÓRIOS, NÃO PODE SER OBJETO DE RECURSO EXTRAORDINÁRIO, POR </w:t>
      </w:r>
      <w:r w:rsidRPr="00FE21D6">
        <w:rPr>
          <w:rFonts w:ascii="Times New Roman" w:hAnsi="Times New Roman"/>
          <w:sz w:val="20"/>
          <w:szCs w:val="20"/>
          <w:lang w:eastAsia="pt-BR"/>
        </w:rPr>
        <w:t>FALTAR O REQUISITO DO PREQUESTIONAMENTO.</w:t>
      </w:r>
    </w:p>
  </w:footnote>
  <w:footnote w:id="8">
    <w:p w:rsidR="003478E8" w:rsidRPr="00FE21D6" w:rsidRDefault="003478E8" w:rsidP="009F57C6">
      <w:pPr>
        <w:spacing w:after="0" w:line="240" w:lineRule="auto"/>
        <w:jc w:val="both"/>
        <w:rPr>
          <w:rFonts w:ascii="Times New Roman" w:hAnsi="Times New Roman"/>
          <w:sz w:val="20"/>
          <w:szCs w:val="20"/>
        </w:rPr>
      </w:pPr>
      <w:r w:rsidRPr="00FE21D6">
        <w:rPr>
          <w:rStyle w:val="Refdenotaderodap"/>
          <w:rFonts w:ascii="Times New Roman" w:hAnsi="Times New Roman"/>
          <w:sz w:val="20"/>
          <w:szCs w:val="20"/>
        </w:rPr>
        <w:footnoteRef/>
      </w:r>
      <w:r w:rsidRPr="00FE21D6">
        <w:rPr>
          <w:rFonts w:ascii="Times New Roman" w:hAnsi="Times New Roman"/>
          <w:sz w:val="20"/>
          <w:szCs w:val="20"/>
          <w:lang w:eastAsia="pt-BR"/>
        </w:rPr>
        <w:t xml:space="preserve"> </w:t>
      </w:r>
      <w:r>
        <w:rPr>
          <w:rFonts w:ascii="Times New Roman" w:hAnsi="Times New Roman"/>
          <w:b/>
          <w:sz w:val="20"/>
          <w:szCs w:val="20"/>
          <w:lang w:eastAsia="pt-BR"/>
        </w:rPr>
        <w:t xml:space="preserve">Súmula 98. </w:t>
      </w:r>
      <w:r w:rsidRPr="00FE21D6">
        <w:rPr>
          <w:rFonts w:ascii="Times New Roman" w:hAnsi="Times New Roman"/>
          <w:sz w:val="20"/>
          <w:szCs w:val="20"/>
          <w:lang w:eastAsia="pt-BR"/>
        </w:rPr>
        <w:t>EMBARGOS DE DECLARAÇÃO MANIFESTADOS COM NOTORIO PROPOSITO DE PREQUESTIONAMENTO NÃO TEM CARATER PROTELATORIO.</w:t>
      </w:r>
    </w:p>
  </w:footnote>
  <w:footnote w:id="9">
    <w:p w:rsidR="003478E8" w:rsidRPr="00FE21D6" w:rsidRDefault="003478E8" w:rsidP="009F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FE21D6">
        <w:rPr>
          <w:rStyle w:val="Refdenotaderodap"/>
          <w:rFonts w:ascii="Times New Roman" w:hAnsi="Times New Roman"/>
          <w:sz w:val="20"/>
          <w:szCs w:val="20"/>
        </w:rPr>
        <w:footnoteRef/>
      </w:r>
      <w:r w:rsidRPr="00FE21D6">
        <w:rPr>
          <w:rFonts w:ascii="Times New Roman" w:hAnsi="Times New Roman"/>
          <w:sz w:val="20"/>
          <w:szCs w:val="20"/>
        </w:rPr>
        <w:t xml:space="preserve"> </w:t>
      </w:r>
      <w:r>
        <w:rPr>
          <w:rFonts w:ascii="Times New Roman" w:hAnsi="Times New Roman"/>
          <w:b/>
          <w:sz w:val="20"/>
          <w:szCs w:val="20"/>
        </w:rPr>
        <w:t xml:space="preserve">Súmula 211. </w:t>
      </w:r>
      <w:r w:rsidRPr="00FE21D6">
        <w:rPr>
          <w:rFonts w:ascii="Times New Roman" w:hAnsi="Times New Roman"/>
          <w:sz w:val="20"/>
          <w:szCs w:val="20"/>
          <w:lang w:eastAsia="pt-BR"/>
        </w:rPr>
        <w:t>Inadmissível recurso especial quanto à questão que, a despeito da oposição de embargos declaratórios, não foi apreciada pelo Tribunal a quo.</w:t>
      </w:r>
    </w:p>
  </w:footnote>
  <w:footnote w:id="10">
    <w:p w:rsidR="003478E8" w:rsidRPr="00FE21D6" w:rsidRDefault="003478E8" w:rsidP="009F57C6">
      <w:pPr>
        <w:pStyle w:val="Textodenotaderodap"/>
        <w:spacing w:after="0" w:line="240" w:lineRule="auto"/>
        <w:jc w:val="both"/>
        <w:rPr>
          <w:rFonts w:ascii="Times New Roman" w:hAnsi="Times New Roman"/>
        </w:rPr>
      </w:pPr>
      <w:r w:rsidRPr="00FE21D6">
        <w:rPr>
          <w:rStyle w:val="Refdenotaderodap"/>
          <w:rFonts w:ascii="Times New Roman" w:hAnsi="Times New Roman"/>
        </w:rPr>
        <w:footnoteRef/>
      </w:r>
      <w:r w:rsidRPr="00001B32">
        <w:rPr>
          <w:rFonts w:ascii="Times New Roman" w:hAnsi="Times New Roman"/>
        </w:rPr>
        <w:t xml:space="preserve"> NERY JUNIOR, Nelson. </w:t>
      </w:r>
      <w:r w:rsidRPr="00FE21D6">
        <w:rPr>
          <w:rFonts w:ascii="Times New Roman" w:hAnsi="Times New Roman"/>
        </w:rPr>
        <w:t xml:space="preserve">Código de Processo Civil </w:t>
      </w:r>
      <w:proofErr w:type="gramStart"/>
      <w:r w:rsidRPr="00FE21D6">
        <w:rPr>
          <w:rFonts w:ascii="Times New Roman" w:hAnsi="Times New Roman"/>
        </w:rPr>
        <w:t>Comentado.</w:t>
      </w:r>
      <w:proofErr w:type="gramEnd"/>
      <w:r w:rsidRPr="00FE21D6">
        <w:rPr>
          <w:rFonts w:ascii="Times New Roman" w:hAnsi="Times New Roman"/>
        </w:rPr>
        <w:t>4ª edição, São Paulo – RT, 1999, pág. 179</w:t>
      </w:r>
    </w:p>
  </w:footnote>
  <w:footnote w:id="11">
    <w:p w:rsidR="003478E8" w:rsidRPr="00CC0B82" w:rsidRDefault="003478E8" w:rsidP="009F57C6">
      <w:pPr>
        <w:spacing w:after="0" w:line="240" w:lineRule="auto"/>
        <w:jc w:val="both"/>
        <w:rPr>
          <w:rFonts w:ascii="Times New Roman" w:hAnsi="Times New Roman"/>
          <w:sz w:val="20"/>
          <w:szCs w:val="20"/>
        </w:rPr>
      </w:pPr>
      <w:r w:rsidRPr="00CC0B82">
        <w:rPr>
          <w:rStyle w:val="Refdenotaderodap"/>
          <w:rFonts w:ascii="Times New Roman" w:hAnsi="Times New Roman"/>
          <w:sz w:val="20"/>
          <w:szCs w:val="20"/>
        </w:rPr>
        <w:footnoteRef/>
      </w:r>
      <w:r w:rsidRPr="00CC0B82">
        <w:rPr>
          <w:rFonts w:ascii="Times New Roman" w:hAnsi="Times New Roman"/>
          <w:sz w:val="20"/>
          <w:szCs w:val="20"/>
        </w:rPr>
        <w:t xml:space="preserve"> WAMBIER, Teresa Arruda Alvim. Omissão judicial e embargos de declaração. São Paulo:</w:t>
      </w:r>
      <w:proofErr w:type="gramStart"/>
      <w:r w:rsidRPr="00CC0B82">
        <w:rPr>
          <w:rFonts w:ascii="Times New Roman" w:hAnsi="Times New Roman"/>
          <w:sz w:val="20"/>
          <w:szCs w:val="20"/>
        </w:rPr>
        <w:t xml:space="preserve">  </w:t>
      </w:r>
      <w:proofErr w:type="gramEnd"/>
      <w:r w:rsidRPr="00CC0B82">
        <w:rPr>
          <w:rFonts w:ascii="Times New Roman" w:hAnsi="Times New Roman"/>
          <w:sz w:val="20"/>
          <w:szCs w:val="20"/>
        </w:rPr>
        <w:t>RT, 2005, p. 52</w:t>
      </w:r>
    </w:p>
  </w:footnote>
  <w:footnote w:id="12">
    <w:p w:rsidR="003478E8" w:rsidRPr="00FE21D6" w:rsidRDefault="003478E8" w:rsidP="009F57C6">
      <w:pPr>
        <w:pStyle w:val="Textodenotaderodap"/>
        <w:spacing w:after="0" w:line="240" w:lineRule="auto"/>
        <w:jc w:val="both"/>
        <w:rPr>
          <w:rFonts w:ascii="Times New Roman" w:hAnsi="Times New Roman"/>
        </w:rPr>
      </w:pPr>
      <w:r w:rsidRPr="00FE21D6">
        <w:rPr>
          <w:rStyle w:val="Refdenotaderodap"/>
          <w:rFonts w:ascii="Times New Roman" w:hAnsi="Times New Roman"/>
        </w:rPr>
        <w:footnoteRef/>
      </w:r>
      <w:r w:rsidRPr="00FE21D6">
        <w:rPr>
          <w:rFonts w:ascii="Times New Roman" w:hAnsi="Times New Roman"/>
        </w:rPr>
        <w:t xml:space="preserve"> Artigo </w:t>
      </w:r>
      <w:r w:rsidR="000873C7">
        <w:rPr>
          <w:rFonts w:ascii="Times New Roman" w:hAnsi="Times New Roman"/>
        </w:rPr>
        <w:t>1001</w:t>
      </w:r>
      <w:r w:rsidRPr="00FE21D6">
        <w:rPr>
          <w:rFonts w:ascii="Times New Roman" w:hAnsi="Times New Roman"/>
        </w:rPr>
        <w:t xml:space="preserve"> – Dos despachos não cabe recurso.</w:t>
      </w:r>
    </w:p>
  </w:footnote>
  <w:footnote w:id="13">
    <w:p w:rsidR="003478E8" w:rsidRPr="00FE21D6" w:rsidRDefault="003478E8" w:rsidP="009F57C6">
      <w:pPr>
        <w:spacing w:after="0" w:line="240" w:lineRule="auto"/>
        <w:jc w:val="both"/>
        <w:rPr>
          <w:rFonts w:ascii="Times New Roman" w:hAnsi="Times New Roman"/>
          <w:sz w:val="20"/>
          <w:szCs w:val="20"/>
        </w:rPr>
      </w:pPr>
      <w:r w:rsidRPr="00FE21D6">
        <w:rPr>
          <w:rStyle w:val="Refdenotaderodap"/>
          <w:rFonts w:ascii="Times New Roman" w:hAnsi="Times New Roman"/>
          <w:sz w:val="20"/>
          <w:szCs w:val="20"/>
        </w:rPr>
        <w:footnoteRef/>
      </w:r>
      <w:r w:rsidRPr="00FE21D6">
        <w:rPr>
          <w:rFonts w:ascii="Times New Roman" w:hAnsi="Times New Roman"/>
          <w:sz w:val="20"/>
          <w:szCs w:val="20"/>
        </w:rPr>
        <w:t xml:space="preserve"> “[...]. Negativa de prestação jurisdicional não configurada. Livre apreciação da prova. Fundamentação suficiente. Ação de investigação judicial eleitoral. Captação ilícita de sufrágio. Participação indireta. Prova robusta. </w:t>
      </w:r>
      <w:proofErr w:type="gramStart"/>
      <w:r w:rsidRPr="00FE21D6">
        <w:rPr>
          <w:rFonts w:ascii="Times New Roman" w:hAnsi="Times New Roman"/>
          <w:sz w:val="20"/>
          <w:szCs w:val="20"/>
        </w:rPr>
        <w:t>1</w:t>
      </w:r>
      <w:proofErr w:type="gramEnd"/>
      <w:r w:rsidRPr="00FE21D6">
        <w:rPr>
          <w:rFonts w:ascii="Times New Roman" w:hAnsi="Times New Roman"/>
          <w:sz w:val="20"/>
          <w:szCs w:val="20"/>
        </w:rPr>
        <w:t>. Não se verifica violação ao art. 275, I e II, do Código Eleitoral se o acórdão recorrido examina todas as questões postas à sua análise e se os embargos veiculam a mera pretensão de rediscussão dos fundamentos da decisão. [...]. 2. O julgador não está obrigado a emitir pronunciamento acerca de todas as provas produzidas nos autos, tampouco acerca de todos os argumentos lançados pelas partes. Permite-se que o julgador dê prevalência às provas e aos fundamentos que sejam suficientes à formação de sua convicção, desde que motivadamente. [...].”</w:t>
      </w:r>
      <w:hyperlink r:id="rId1" w:tgtFrame="_blank" w:history="1">
        <w:r w:rsidRPr="00FE21D6">
          <w:rPr>
            <w:rStyle w:val="Hyperlink"/>
            <w:rFonts w:ascii="Times New Roman" w:hAnsi="Times New Roman"/>
            <w:color w:val="auto"/>
            <w:sz w:val="20"/>
            <w:szCs w:val="20"/>
            <w:u w:val="none"/>
          </w:rPr>
          <w:t xml:space="preserve">(Ac. de 16.12.2010 no </w:t>
        </w:r>
        <w:proofErr w:type="spellStart"/>
        <w:r w:rsidRPr="00FE21D6">
          <w:rPr>
            <w:rStyle w:val="Hyperlink"/>
            <w:rFonts w:ascii="Times New Roman" w:hAnsi="Times New Roman"/>
            <w:color w:val="auto"/>
            <w:sz w:val="20"/>
            <w:szCs w:val="20"/>
            <w:u w:val="none"/>
          </w:rPr>
          <w:t>AgR-AI</w:t>
        </w:r>
        <w:proofErr w:type="spellEnd"/>
        <w:r w:rsidRPr="00FE21D6">
          <w:rPr>
            <w:rStyle w:val="Hyperlink"/>
            <w:rFonts w:ascii="Times New Roman" w:hAnsi="Times New Roman"/>
            <w:color w:val="auto"/>
            <w:sz w:val="20"/>
            <w:szCs w:val="20"/>
            <w:u w:val="none"/>
          </w:rPr>
          <w:t xml:space="preserve"> nº 123547, rel. Min. Aldir Passarinho Junior.)</w:t>
        </w:r>
      </w:hyperlink>
    </w:p>
    <w:p w:rsidR="003478E8" w:rsidRPr="00FE21D6" w:rsidRDefault="003478E8" w:rsidP="009F57C6">
      <w:pPr>
        <w:spacing w:after="0" w:line="240" w:lineRule="auto"/>
        <w:jc w:val="both"/>
        <w:rPr>
          <w:rFonts w:ascii="Times New Roman" w:hAnsi="Times New Roman"/>
          <w:b/>
          <w:sz w:val="20"/>
          <w:szCs w:val="20"/>
        </w:rPr>
      </w:pPr>
    </w:p>
    <w:p w:rsidR="003478E8" w:rsidRPr="00FE21D6" w:rsidRDefault="003478E8" w:rsidP="009F57C6">
      <w:pPr>
        <w:pStyle w:val="Textodenotaderodap"/>
        <w:spacing w:after="0" w:line="240" w:lineRule="auto"/>
        <w:jc w:val="both"/>
        <w:rPr>
          <w:rFonts w:ascii="Times New Roman" w:hAnsi="Times New Roman"/>
        </w:rPr>
      </w:pPr>
    </w:p>
  </w:footnote>
  <w:footnote w:id="14">
    <w:p w:rsidR="003478E8" w:rsidRPr="009F57C6" w:rsidRDefault="003478E8" w:rsidP="009F57C6">
      <w:pPr>
        <w:pStyle w:val="Textodenotaderodap"/>
        <w:spacing w:after="0" w:line="240" w:lineRule="auto"/>
        <w:rPr>
          <w:rFonts w:ascii="Times New Roman" w:hAnsi="Times New Roman"/>
        </w:rPr>
      </w:pPr>
      <w:r w:rsidRPr="009F57C6">
        <w:rPr>
          <w:rStyle w:val="Refdenotaderodap"/>
          <w:rFonts w:ascii="Times New Roman" w:hAnsi="Times New Roman"/>
        </w:rPr>
        <w:footnoteRef/>
      </w:r>
      <w:r w:rsidRPr="009F57C6">
        <w:rPr>
          <w:rFonts w:ascii="Times New Roman" w:hAnsi="Times New Roman"/>
        </w:rPr>
        <w:t xml:space="preserve"> WAMBIER, Teresa Arruda Alvim. Omissão judicial e embargos de declaração. São Paulo:</w:t>
      </w:r>
      <w:proofErr w:type="gramStart"/>
      <w:r w:rsidRPr="009F57C6">
        <w:rPr>
          <w:rFonts w:ascii="Times New Roman" w:hAnsi="Times New Roman"/>
        </w:rPr>
        <w:t xml:space="preserve">  </w:t>
      </w:r>
      <w:proofErr w:type="gramEnd"/>
      <w:r w:rsidRPr="009F57C6">
        <w:rPr>
          <w:rFonts w:ascii="Times New Roman" w:hAnsi="Times New Roman"/>
        </w:rPr>
        <w:t>RT, 2005, p. 386</w:t>
      </w:r>
    </w:p>
  </w:footnote>
  <w:footnote w:id="15">
    <w:p w:rsidR="003478E8" w:rsidRPr="009F57C6" w:rsidRDefault="003478E8" w:rsidP="009F57C6">
      <w:pPr>
        <w:spacing w:after="0" w:line="240" w:lineRule="auto"/>
        <w:jc w:val="both"/>
        <w:rPr>
          <w:rFonts w:ascii="Times New Roman" w:hAnsi="Times New Roman"/>
          <w:sz w:val="20"/>
          <w:szCs w:val="20"/>
        </w:rPr>
      </w:pPr>
      <w:r w:rsidRPr="009F57C6">
        <w:rPr>
          <w:rStyle w:val="Refdenotaderodap"/>
          <w:rFonts w:ascii="Times New Roman" w:hAnsi="Times New Roman"/>
          <w:sz w:val="20"/>
          <w:szCs w:val="20"/>
        </w:rPr>
        <w:footnoteRef/>
      </w:r>
      <w:r w:rsidRPr="009F57C6">
        <w:rPr>
          <w:rFonts w:ascii="Times New Roman" w:hAnsi="Times New Roman"/>
          <w:sz w:val="20"/>
          <w:szCs w:val="20"/>
        </w:rPr>
        <w:t xml:space="preserve"> ASSIS, </w:t>
      </w:r>
      <w:proofErr w:type="spellStart"/>
      <w:r w:rsidRPr="009F57C6">
        <w:rPr>
          <w:rFonts w:ascii="Times New Roman" w:hAnsi="Times New Roman"/>
          <w:sz w:val="20"/>
          <w:szCs w:val="20"/>
        </w:rPr>
        <w:t>Araken</w:t>
      </w:r>
      <w:proofErr w:type="spellEnd"/>
      <w:r w:rsidRPr="009F57C6">
        <w:rPr>
          <w:rFonts w:ascii="Times New Roman" w:hAnsi="Times New Roman"/>
          <w:sz w:val="20"/>
          <w:szCs w:val="20"/>
        </w:rPr>
        <w:t xml:space="preserve"> de. Manual dos recursos. São Paulo: RT, 2007, p. 606.</w:t>
      </w:r>
    </w:p>
  </w:footnote>
  <w:footnote w:id="16">
    <w:p w:rsidR="003478E8" w:rsidRPr="009F57C6" w:rsidRDefault="003478E8" w:rsidP="009F57C6">
      <w:pPr>
        <w:pStyle w:val="Textodenotaderodap"/>
        <w:spacing w:after="0" w:line="240" w:lineRule="auto"/>
        <w:jc w:val="both"/>
        <w:rPr>
          <w:rFonts w:ascii="Times New Roman" w:hAnsi="Times New Roman"/>
        </w:rPr>
      </w:pPr>
      <w:r w:rsidRPr="009F57C6">
        <w:rPr>
          <w:rStyle w:val="Refdenotaderodap"/>
          <w:rFonts w:ascii="Times New Roman" w:hAnsi="Times New Roman"/>
        </w:rPr>
        <w:footnoteRef/>
      </w:r>
      <w:r w:rsidRPr="009F57C6">
        <w:rPr>
          <w:rFonts w:ascii="Times New Roman" w:hAnsi="Times New Roman"/>
        </w:rPr>
        <w:t xml:space="preserve"> NERY JUNIOR, Nelson. Código de Processo Civil </w:t>
      </w:r>
      <w:proofErr w:type="gramStart"/>
      <w:r w:rsidRPr="009F57C6">
        <w:rPr>
          <w:rFonts w:ascii="Times New Roman" w:hAnsi="Times New Roman"/>
        </w:rPr>
        <w:t>Comentado.</w:t>
      </w:r>
      <w:proofErr w:type="gramEnd"/>
      <w:r w:rsidRPr="009F57C6">
        <w:rPr>
          <w:rFonts w:ascii="Times New Roman" w:hAnsi="Times New Roman"/>
        </w:rPr>
        <w:t>4ª edição, São Paulo – RT, 1999, pág. 1045</w:t>
      </w:r>
    </w:p>
  </w:footnote>
  <w:footnote w:id="17">
    <w:p w:rsidR="00F45B86" w:rsidRPr="00F45B86" w:rsidRDefault="00F45B86" w:rsidP="00F45B86">
      <w:pPr>
        <w:spacing w:after="0" w:line="240" w:lineRule="auto"/>
        <w:jc w:val="both"/>
        <w:rPr>
          <w:rFonts w:ascii="Times New Roman" w:hAnsi="Times New Roman"/>
          <w:sz w:val="20"/>
          <w:szCs w:val="20"/>
        </w:rPr>
      </w:pPr>
      <w:r>
        <w:rPr>
          <w:rStyle w:val="Refdenotaderodap"/>
        </w:rPr>
        <w:footnoteRef/>
      </w:r>
      <w:r>
        <w:t xml:space="preserve"> </w:t>
      </w:r>
      <w:r w:rsidRPr="00F45B86">
        <w:rPr>
          <w:rFonts w:ascii="Times New Roman" w:hAnsi="Times New Roman"/>
          <w:sz w:val="20"/>
          <w:szCs w:val="20"/>
        </w:rPr>
        <w:t xml:space="preserve">AGRAVO REGIMENTAL </w:t>
      </w:r>
      <w:smartTag w:uri="urn:schemas-microsoft-com:office:smarttags" w:element="PersonName">
        <w:smartTagPr>
          <w:attr w:name="ProductID" w:val="EM AGRAVO EM RECURSO"/>
        </w:smartTagPr>
        <w:r w:rsidRPr="00F45B86">
          <w:rPr>
            <w:rFonts w:ascii="Times New Roman" w:hAnsi="Times New Roman"/>
            <w:sz w:val="20"/>
            <w:szCs w:val="20"/>
          </w:rPr>
          <w:t>EM AGRAVO EM RECURSO</w:t>
        </w:r>
      </w:smartTag>
      <w:r w:rsidRPr="00F45B86">
        <w:rPr>
          <w:rFonts w:ascii="Times New Roman" w:hAnsi="Times New Roman"/>
          <w:sz w:val="20"/>
          <w:szCs w:val="20"/>
        </w:rPr>
        <w:t xml:space="preserve"> ESPECIAL. EMBARGOS DE DECLARAÇÃO. EFEITOS INFRINGENTES. AUSÊNCIA DE INTIMAÇÃO DA PARTE CONTRÁRIA. VÍCIO INSANÁVEL. NULIDADE.  PRECEDENTES. 1. O Superior Tribunal de Justiça tem entendimento firmado no sentido de que a atribuição de efeitos infringentes aos embargos de declaração supõe a prévia intimação da contraparte, visto que, sem o contraditório, o respectivo julgamento é nulo. 2. Os argumentos expendidos nas razões do regimental são insuficientes para autorizar a reforma da decisão agravada, de modo que esta merece ser mantida por seus próprios fundamentos. 3. Agravo regimental não provido. (</w:t>
      </w:r>
      <w:proofErr w:type="spellStart"/>
      <w:proofErr w:type="gramStart"/>
      <w:r w:rsidRPr="00F45B86">
        <w:rPr>
          <w:rFonts w:ascii="Times New Roman" w:hAnsi="Times New Roman"/>
          <w:sz w:val="20"/>
          <w:szCs w:val="20"/>
        </w:rPr>
        <w:t>AgRg</w:t>
      </w:r>
      <w:proofErr w:type="spellEnd"/>
      <w:proofErr w:type="gramEnd"/>
      <w:r w:rsidRPr="00F45B86">
        <w:rPr>
          <w:rFonts w:ascii="Times New Roman" w:hAnsi="Times New Roman"/>
          <w:sz w:val="20"/>
          <w:szCs w:val="20"/>
        </w:rPr>
        <w:t xml:space="preserve"> no </w:t>
      </w:r>
      <w:proofErr w:type="spellStart"/>
      <w:r w:rsidRPr="00F45B86">
        <w:rPr>
          <w:rFonts w:ascii="Times New Roman" w:hAnsi="Times New Roman"/>
          <w:sz w:val="20"/>
          <w:szCs w:val="20"/>
        </w:rPr>
        <w:t>AREsp</w:t>
      </w:r>
      <w:proofErr w:type="spellEnd"/>
      <w:r w:rsidRPr="00F45B86">
        <w:rPr>
          <w:rFonts w:ascii="Times New Roman" w:hAnsi="Times New Roman"/>
          <w:sz w:val="20"/>
          <w:szCs w:val="20"/>
        </w:rPr>
        <w:t xml:space="preserve"> 195344 / RJ AGRAVO REGIMENTAL NO AGRAVO </w:t>
      </w:r>
      <w:smartTag w:uri="urn:schemas-microsoft-com:office:smarttags" w:element="PersonName">
        <w:smartTagPr>
          <w:attr w:name="ProductID" w:val="EM RECURSO ESPECIAL"/>
        </w:smartTagPr>
        <w:r w:rsidRPr="00F45B86">
          <w:rPr>
            <w:rFonts w:ascii="Times New Roman" w:hAnsi="Times New Roman"/>
            <w:sz w:val="20"/>
            <w:szCs w:val="20"/>
          </w:rPr>
          <w:t>EM RECURSO ESPECIAL</w:t>
        </w:r>
      </w:smartTag>
      <w:r w:rsidRPr="00F45B86">
        <w:rPr>
          <w:rFonts w:ascii="Times New Roman" w:hAnsi="Times New Roman"/>
          <w:sz w:val="20"/>
          <w:szCs w:val="20"/>
        </w:rPr>
        <w:t xml:space="preserve"> 2012/0132979-8, Ministro RICARDO VILLAS BÔAS CUEVA, </w:t>
      </w:r>
      <w:proofErr w:type="spellStart"/>
      <w:r w:rsidRPr="00F45B86">
        <w:rPr>
          <w:rFonts w:ascii="Times New Roman" w:hAnsi="Times New Roman"/>
          <w:sz w:val="20"/>
          <w:szCs w:val="20"/>
        </w:rPr>
        <w:t>DJe</w:t>
      </w:r>
      <w:proofErr w:type="spellEnd"/>
      <w:r w:rsidRPr="00F45B86">
        <w:rPr>
          <w:rFonts w:ascii="Times New Roman" w:hAnsi="Times New Roman"/>
          <w:sz w:val="20"/>
          <w:szCs w:val="20"/>
        </w:rPr>
        <w:t xml:space="preserve"> 25/10/2012)</w:t>
      </w:r>
    </w:p>
    <w:p w:rsidR="00F45B86" w:rsidRDefault="00F45B86">
      <w:pPr>
        <w:pStyle w:val="Textodenotaderodap"/>
      </w:pPr>
    </w:p>
  </w:footnote>
  <w:footnote w:id="18">
    <w:p w:rsidR="00146716" w:rsidRDefault="00146716" w:rsidP="00146716">
      <w:pPr>
        <w:spacing w:after="0" w:line="240" w:lineRule="auto"/>
        <w:jc w:val="both"/>
      </w:pPr>
      <w:r>
        <w:rPr>
          <w:rStyle w:val="Refdenotaderodap"/>
        </w:rPr>
        <w:footnoteRef/>
      </w:r>
      <w:r>
        <w:t xml:space="preserve"> </w:t>
      </w:r>
      <w:r w:rsidRPr="00F45B86">
        <w:rPr>
          <w:rFonts w:ascii="Times New Roman" w:hAnsi="Times New Roman"/>
          <w:sz w:val="20"/>
          <w:szCs w:val="20"/>
        </w:rPr>
        <w:t xml:space="preserve">PROCESSUAL CIVIL. RECURSO ESPECIAL. AGRAVO REGIMENTAL. EMBARGOS DE DECLARAÇÃO OPOSTOS CONTRA DECISÃO </w:t>
      </w:r>
      <w:proofErr w:type="gramStart"/>
      <w:r w:rsidRPr="00F45B86">
        <w:rPr>
          <w:rFonts w:ascii="Times New Roman" w:hAnsi="Times New Roman"/>
          <w:sz w:val="20"/>
          <w:szCs w:val="20"/>
        </w:rPr>
        <w:t>MONOCRÁTICA JULGADOS COLEGIADAMENTE</w:t>
      </w:r>
      <w:proofErr w:type="gramEnd"/>
      <w:r w:rsidRPr="00F45B86">
        <w:rPr>
          <w:rFonts w:ascii="Times New Roman" w:hAnsi="Times New Roman"/>
          <w:sz w:val="20"/>
          <w:szCs w:val="20"/>
        </w:rPr>
        <w:t xml:space="preserve">. ERRO DE PROCEDIMENTO. NULIDADE RELATIVA. EFETIVA DEMONSTRAÇÃO DO PREJUÍZO. ALTERNATIVAS PROCESSUAIS EXISTENTES NO PRÓPRIO ORDENAMENTO JURÍDICO. 1. O julgamento colegiado de </w:t>
      </w:r>
      <w:proofErr w:type="spellStart"/>
      <w:r w:rsidRPr="00F45B86">
        <w:rPr>
          <w:rFonts w:ascii="Times New Roman" w:hAnsi="Times New Roman"/>
          <w:sz w:val="20"/>
          <w:szCs w:val="20"/>
        </w:rPr>
        <w:t>aclaratórios</w:t>
      </w:r>
      <w:proofErr w:type="spellEnd"/>
      <w:r w:rsidRPr="00F45B86">
        <w:rPr>
          <w:rFonts w:ascii="Times New Roman" w:hAnsi="Times New Roman"/>
          <w:sz w:val="20"/>
          <w:szCs w:val="20"/>
        </w:rPr>
        <w:t xml:space="preserve"> opostos contra decisão monocrática configura erro de procedimento, fato que gera nulidade apenas relativa do processo, devendo a parte que se sentir prejudicada demonstrar, efetivamente, o prejuízo. </w:t>
      </w:r>
      <w:smartTag w:uri="urn:schemas-microsoft-com:office:smarttags" w:element="metricconverter">
        <w:smartTagPr>
          <w:attr w:name="ProductID" w:val="2. A"/>
        </w:smartTagPr>
        <w:r w:rsidRPr="00F45B86">
          <w:rPr>
            <w:rFonts w:ascii="Times New Roman" w:hAnsi="Times New Roman"/>
            <w:sz w:val="20"/>
            <w:szCs w:val="20"/>
          </w:rPr>
          <w:t>2. A</w:t>
        </w:r>
      </w:smartTag>
      <w:r w:rsidRPr="00F45B86">
        <w:rPr>
          <w:rFonts w:ascii="Times New Roman" w:hAnsi="Times New Roman"/>
          <w:sz w:val="20"/>
          <w:szCs w:val="20"/>
        </w:rPr>
        <w:t xml:space="preserve"> nulidade não é absoluta, porque, </w:t>
      </w:r>
      <w:proofErr w:type="gramStart"/>
      <w:r w:rsidRPr="00F45B86">
        <w:rPr>
          <w:rFonts w:ascii="Times New Roman" w:hAnsi="Times New Roman"/>
          <w:sz w:val="20"/>
          <w:szCs w:val="20"/>
        </w:rPr>
        <w:t>via de regra</w:t>
      </w:r>
      <w:proofErr w:type="gramEnd"/>
      <w:r w:rsidRPr="00F45B86">
        <w:rPr>
          <w:rFonts w:ascii="Times New Roman" w:hAnsi="Times New Roman"/>
          <w:sz w:val="20"/>
          <w:szCs w:val="20"/>
        </w:rPr>
        <w:t xml:space="preserve">, há solução processual adequada no próprio ordenamento jurídico. 3. Nos termos do art. 538 do CPC, "os embargos de declaração interrompem o prazo para a interposição de outros recursos, por qualquer das partes". Assim, publicado o acórdão que julga os embargos, reinicia-se o prazo para impugnar a decisão monocrática embargada, que continua sujeita a agravo regimental. 4. Quando o órgão colegiado aprecia embargos de declaração opostos contra decisão monocrática, em verdade, não examina a controvérsia, mas apenas afere a presença, ou não, de um dos vícios indicados no art. 535, I e II, do CPC. Por conseguinte, o fato de existir decisão colegiada não impede nem inibe a subsequente interposição de agravo regimental, este sim, apto a levar ao órgão coletivo o exame da questão controvertida. Precedentes de todas as Turmas da Corte. 5. Há, também, outra solução processual no ordenamento jurídico. Julgados colegiadamente os embargos de declaração opostos contra decisão monocrática de relator, deve a parte interessada opor novos </w:t>
      </w:r>
      <w:proofErr w:type="spellStart"/>
      <w:r w:rsidRPr="00F45B86">
        <w:rPr>
          <w:rFonts w:ascii="Times New Roman" w:hAnsi="Times New Roman"/>
          <w:sz w:val="20"/>
          <w:szCs w:val="20"/>
        </w:rPr>
        <w:t>aclaratórios</w:t>
      </w:r>
      <w:proofErr w:type="spellEnd"/>
      <w:r w:rsidRPr="00F45B86">
        <w:rPr>
          <w:rFonts w:ascii="Times New Roman" w:hAnsi="Times New Roman"/>
          <w:sz w:val="20"/>
          <w:szCs w:val="20"/>
        </w:rPr>
        <w:t>, sob a alegação de erro no procedimento, viabilizando, assim, a interposição do recurso especial para que seja analisada, exclusivamente, a nulidade do julgado por ofensa ao art. 557 do CPC. 6. No caso, a ora agravante interpôs, diretamente, o recurso especial para discutir o próprio mérito da controvérsia, apreciado, exclusivamente, na decisão monocrática do relator. Não se tendo valido das alternativas processuais ofertadas pelo próprio sistema jurídico para debelar o erro de procedimento, nem tendo alegado, ou demonstrado, impedimento em fazê-lo, deve-se manter a decisão agravada, que negou seguimento ao recurso especial por ausência de exaurimento de instância. 7. Agravo regimental não provido. (</w:t>
      </w:r>
      <w:proofErr w:type="spellStart"/>
      <w:proofErr w:type="gramStart"/>
      <w:r w:rsidRPr="00F45B86">
        <w:rPr>
          <w:rFonts w:ascii="Times New Roman" w:hAnsi="Times New Roman"/>
          <w:sz w:val="20"/>
          <w:szCs w:val="20"/>
        </w:rPr>
        <w:t>AgRg</w:t>
      </w:r>
      <w:proofErr w:type="spellEnd"/>
      <w:proofErr w:type="gramEnd"/>
      <w:r w:rsidRPr="00F45B86">
        <w:rPr>
          <w:rFonts w:ascii="Times New Roman" w:hAnsi="Times New Roman"/>
          <w:sz w:val="20"/>
          <w:szCs w:val="20"/>
        </w:rPr>
        <w:t xml:space="preserve"> no </w:t>
      </w:r>
      <w:proofErr w:type="spellStart"/>
      <w:r w:rsidRPr="00F45B86">
        <w:rPr>
          <w:rFonts w:ascii="Times New Roman" w:hAnsi="Times New Roman"/>
          <w:sz w:val="20"/>
          <w:szCs w:val="20"/>
        </w:rPr>
        <w:t>REsp</w:t>
      </w:r>
      <w:proofErr w:type="spellEnd"/>
      <w:r w:rsidRPr="00F45B86">
        <w:rPr>
          <w:rFonts w:ascii="Times New Roman" w:hAnsi="Times New Roman"/>
          <w:sz w:val="20"/>
          <w:szCs w:val="20"/>
        </w:rPr>
        <w:t xml:space="preserve"> 1231070 / ES AGRAVO REGIMENTAL NO RECURSO ESPECIAL 2010/0229353-9, Ministro CASTRO MEIRA, </w:t>
      </w:r>
      <w:proofErr w:type="spellStart"/>
      <w:r w:rsidRPr="00F45B86">
        <w:rPr>
          <w:rFonts w:ascii="Times New Roman" w:hAnsi="Times New Roman"/>
          <w:sz w:val="20"/>
          <w:szCs w:val="20"/>
        </w:rPr>
        <w:t>DJe</w:t>
      </w:r>
      <w:proofErr w:type="spellEnd"/>
      <w:r w:rsidRPr="00F45B86">
        <w:rPr>
          <w:rFonts w:ascii="Times New Roman" w:hAnsi="Times New Roman"/>
          <w:sz w:val="20"/>
          <w:szCs w:val="20"/>
        </w:rPr>
        <w:t xml:space="preserve"> 10/10/2012)</w:t>
      </w:r>
    </w:p>
  </w:footnote>
  <w:footnote w:id="19">
    <w:p w:rsidR="003478E8" w:rsidRPr="00FE21D6" w:rsidRDefault="003478E8" w:rsidP="009F57C6">
      <w:pPr>
        <w:spacing w:after="0" w:line="240" w:lineRule="auto"/>
        <w:jc w:val="both"/>
        <w:rPr>
          <w:rFonts w:ascii="Times New Roman" w:hAnsi="Times New Roman"/>
          <w:sz w:val="20"/>
          <w:szCs w:val="20"/>
        </w:rPr>
      </w:pPr>
      <w:r w:rsidRPr="00FE21D6">
        <w:rPr>
          <w:rStyle w:val="Refdenotaderodap"/>
          <w:rFonts w:ascii="Times New Roman" w:hAnsi="Times New Roman"/>
          <w:sz w:val="20"/>
          <w:szCs w:val="20"/>
        </w:rPr>
        <w:footnoteRef/>
      </w:r>
      <w:r w:rsidRPr="00FE21D6">
        <w:rPr>
          <w:rFonts w:ascii="Times New Roman" w:hAnsi="Times New Roman"/>
          <w:sz w:val="20"/>
          <w:szCs w:val="20"/>
        </w:rPr>
        <w:t xml:space="preserve"> PROCESSUAL CIVIL. EMBARGOS DE DECLARAÇÃO NOS EMBARGOS DE DECLARAÇÃO NO AGRAVO REGIMENTAL NO AGRAVO </w:t>
      </w:r>
      <w:smartTag w:uri="urn:schemas-microsoft-com:office:smarttags" w:element="PersonName">
        <w:smartTagPr>
          <w:attr w:name="ProductID" w:val="EM RECURSO ESPECIAL. MULTA."/>
        </w:smartTagPr>
        <w:r w:rsidRPr="00FE21D6">
          <w:rPr>
            <w:rFonts w:ascii="Times New Roman" w:hAnsi="Times New Roman"/>
            <w:sz w:val="20"/>
            <w:szCs w:val="20"/>
          </w:rPr>
          <w:t>EM RECURSO ESPECIAL. MULTA.</w:t>
        </w:r>
      </w:smartTag>
      <w:r w:rsidRPr="00FE21D6">
        <w:rPr>
          <w:rFonts w:ascii="Times New Roman" w:hAnsi="Times New Roman"/>
          <w:sz w:val="20"/>
          <w:szCs w:val="20"/>
        </w:rPr>
        <w:t xml:space="preserve"> ART. 538 DO CPC. NECESSIDADE DE PRÉVIO RECOLHIMENTO. REQUISITO DE ADMISSIBILIDADE RECURSAL. NÃO CONHECIMENTO DO RECURSO. 1. O prévio recolhimento da multa imposta com fundamento no art. 538 do CPC, constitui requisito de admissibilidade da impugnação recursal, cuja ausência impede o conhecimento do recurso cabível. 2. No caso concreto, a ausência de depósito prévio da multa nos moldes delineados no art. 538 do CPC, conforme se infere da certidão (e-STJ fl. 1.832), impede o conhecimento dos embargos de declaração. 3. Embargos de declaração não conhecidos com determinação de certificação do trânsito em julgado do acórdão ora embargado (e-STJ</w:t>
      </w:r>
      <w:r>
        <w:rPr>
          <w:rFonts w:ascii="Times New Roman" w:hAnsi="Times New Roman"/>
          <w:sz w:val="20"/>
          <w:szCs w:val="20"/>
        </w:rPr>
        <w:t xml:space="preserve"> </w:t>
      </w:r>
      <w:r w:rsidRPr="00FE21D6">
        <w:rPr>
          <w:rFonts w:ascii="Times New Roman" w:hAnsi="Times New Roman"/>
          <w:sz w:val="20"/>
          <w:szCs w:val="20"/>
        </w:rPr>
        <w:t>fl. 1.819). (</w:t>
      </w:r>
      <w:proofErr w:type="spellStart"/>
      <w:proofErr w:type="gramStart"/>
      <w:r w:rsidRPr="00FE21D6">
        <w:rPr>
          <w:rFonts w:ascii="Times New Roman" w:hAnsi="Times New Roman"/>
          <w:sz w:val="20"/>
          <w:szCs w:val="20"/>
        </w:rPr>
        <w:t>EDcl</w:t>
      </w:r>
      <w:proofErr w:type="spellEnd"/>
      <w:proofErr w:type="gramEnd"/>
      <w:r w:rsidRPr="00FE21D6">
        <w:rPr>
          <w:rFonts w:ascii="Times New Roman" w:hAnsi="Times New Roman"/>
          <w:sz w:val="20"/>
          <w:szCs w:val="20"/>
        </w:rPr>
        <w:t xml:space="preserve"> nos </w:t>
      </w:r>
      <w:proofErr w:type="spellStart"/>
      <w:r w:rsidRPr="00FE21D6">
        <w:rPr>
          <w:rFonts w:ascii="Times New Roman" w:hAnsi="Times New Roman"/>
          <w:sz w:val="20"/>
          <w:szCs w:val="20"/>
        </w:rPr>
        <w:t>EDcl</w:t>
      </w:r>
      <w:proofErr w:type="spellEnd"/>
      <w:r w:rsidRPr="00FE21D6">
        <w:rPr>
          <w:rFonts w:ascii="Times New Roman" w:hAnsi="Times New Roman"/>
          <w:sz w:val="20"/>
          <w:szCs w:val="20"/>
        </w:rPr>
        <w:t xml:space="preserve"> no </w:t>
      </w:r>
      <w:proofErr w:type="spellStart"/>
      <w:r w:rsidRPr="00FE21D6">
        <w:rPr>
          <w:rFonts w:ascii="Times New Roman" w:hAnsi="Times New Roman"/>
          <w:sz w:val="20"/>
          <w:szCs w:val="20"/>
        </w:rPr>
        <w:t>AgRg</w:t>
      </w:r>
      <w:proofErr w:type="spellEnd"/>
      <w:r w:rsidRPr="00FE21D6">
        <w:rPr>
          <w:rFonts w:ascii="Times New Roman" w:hAnsi="Times New Roman"/>
          <w:sz w:val="20"/>
          <w:szCs w:val="20"/>
        </w:rPr>
        <w:t xml:space="preserve"> no </w:t>
      </w:r>
      <w:proofErr w:type="spellStart"/>
      <w:r w:rsidRPr="00FE21D6">
        <w:rPr>
          <w:rFonts w:ascii="Times New Roman" w:hAnsi="Times New Roman"/>
          <w:sz w:val="20"/>
          <w:szCs w:val="20"/>
        </w:rPr>
        <w:t>AREsp</w:t>
      </w:r>
      <w:proofErr w:type="spellEnd"/>
      <w:r w:rsidRPr="00FE21D6">
        <w:rPr>
          <w:rFonts w:ascii="Times New Roman" w:hAnsi="Times New Roman"/>
          <w:sz w:val="20"/>
          <w:szCs w:val="20"/>
        </w:rPr>
        <w:t xml:space="preserve"> 50672 / PR</w:t>
      </w:r>
      <w:r>
        <w:rPr>
          <w:rFonts w:ascii="Times New Roman" w:hAnsi="Times New Roman"/>
          <w:sz w:val="20"/>
          <w:szCs w:val="20"/>
        </w:rPr>
        <w:t xml:space="preserve"> </w:t>
      </w:r>
      <w:r w:rsidRPr="00FE21D6">
        <w:rPr>
          <w:rFonts w:ascii="Times New Roman" w:hAnsi="Times New Roman"/>
          <w:sz w:val="20"/>
          <w:szCs w:val="20"/>
        </w:rPr>
        <w:t xml:space="preserve">EMBARGOS DE DECLARAÇÃO NOS EMBARGOS DE DECLARAÇÃO NO AGRAVO REGIMENTAL NO AGRAVO </w:t>
      </w:r>
      <w:smartTag w:uri="urn:schemas-microsoft-com:office:smarttags" w:element="PersonName">
        <w:smartTagPr>
          <w:attr w:name="ProductID" w:val="EM RECURSO ESPECIAL"/>
        </w:smartTagPr>
        <w:r w:rsidRPr="00FE21D6">
          <w:rPr>
            <w:rFonts w:ascii="Times New Roman" w:hAnsi="Times New Roman"/>
            <w:sz w:val="20"/>
            <w:szCs w:val="20"/>
          </w:rPr>
          <w:t>EM RECURSO ESPECIAL</w:t>
        </w:r>
      </w:smartTag>
      <w:r w:rsidRPr="00FE21D6">
        <w:rPr>
          <w:rFonts w:ascii="Times New Roman" w:hAnsi="Times New Roman"/>
          <w:sz w:val="20"/>
          <w:szCs w:val="20"/>
        </w:rPr>
        <w:t xml:space="preserve"> 2011/0155576-0, Ministro ANTONIO CARLOS FERREIRA, </w:t>
      </w:r>
      <w:proofErr w:type="spellStart"/>
      <w:r w:rsidRPr="00FE21D6">
        <w:rPr>
          <w:rFonts w:ascii="Times New Roman" w:hAnsi="Times New Roman"/>
          <w:sz w:val="20"/>
          <w:szCs w:val="20"/>
        </w:rPr>
        <w:t>DJe</w:t>
      </w:r>
      <w:proofErr w:type="spellEnd"/>
      <w:r w:rsidRPr="00FE21D6">
        <w:rPr>
          <w:rFonts w:ascii="Times New Roman" w:hAnsi="Times New Roman"/>
          <w:sz w:val="20"/>
          <w:szCs w:val="20"/>
        </w:rPr>
        <w:t xml:space="preserve"> 23/10/2012)</w:t>
      </w:r>
    </w:p>
    <w:p w:rsidR="003478E8" w:rsidRPr="00FE21D6" w:rsidRDefault="003478E8" w:rsidP="009F57C6">
      <w:pPr>
        <w:pStyle w:val="Textodenotaderodap"/>
        <w:spacing w:after="0" w:line="240" w:lineRule="auto"/>
        <w:jc w:val="both"/>
        <w:rPr>
          <w:rFonts w:ascii="Times New Roman" w:hAnsi="Times New Roman"/>
        </w:rPr>
      </w:pPr>
    </w:p>
  </w:footnote>
  <w:footnote w:id="20">
    <w:p w:rsidR="00146716" w:rsidRDefault="00146716" w:rsidP="00146716">
      <w:pPr>
        <w:spacing w:after="0" w:line="240" w:lineRule="auto"/>
        <w:jc w:val="both"/>
      </w:pPr>
      <w:r>
        <w:rPr>
          <w:rStyle w:val="Refdenotaderodap"/>
        </w:rPr>
        <w:footnoteRef/>
      </w:r>
      <w:r>
        <w:t xml:space="preserve"> </w:t>
      </w:r>
      <w:r w:rsidRPr="00146716">
        <w:rPr>
          <w:rFonts w:ascii="Times New Roman" w:hAnsi="Times New Roman"/>
          <w:sz w:val="20"/>
          <w:szCs w:val="20"/>
        </w:rPr>
        <w:t xml:space="preserve">PROCESSUAL CIVIL. AGRAVO REGIMENTAL CONTRA DECISÃO QUE DETERMINOU A CONVERSÃO DOS AUTOS DE AGRAVO </w:t>
      </w:r>
      <w:smartTag w:uri="urn:schemas-microsoft-com:office:smarttags" w:element="PersonName">
        <w:smartTagPr>
          <w:attr w:name="ProductID" w:val="EM RECURSO ESPECIAL. IMPOSSIBILIDADE."/>
        </w:smartTagPr>
        <w:r w:rsidRPr="00146716">
          <w:rPr>
            <w:rFonts w:ascii="Times New Roman" w:hAnsi="Times New Roman"/>
            <w:sz w:val="20"/>
            <w:szCs w:val="20"/>
          </w:rPr>
          <w:t>EM RECURSO ESPECIAL. IMPOSSIBILIDADE.</w:t>
        </w:r>
      </w:smartTag>
      <w:r w:rsidRPr="00146716">
        <w:rPr>
          <w:rFonts w:ascii="Times New Roman" w:hAnsi="Times New Roman"/>
          <w:sz w:val="20"/>
          <w:szCs w:val="20"/>
        </w:rPr>
        <w:t xml:space="preserve"> 1. O cabimento do agravo regimental contra decisão que determina a conversão dos autos do agravo em autos de recurso especial se restringe às hipóteses de irregularidade relacionada com os pressupostos de admissibilidade do próprio agravo. 2. Não hipótese dos autos, alega-se que a ausência de recolhimento prévio da sanção processual aplicada quando do julgamento dos embargos de declaração na origem obsta o conhecimento do agravo de decisão de inadmissão do recurso especial. 3. O art. 538, parágrafo único, tem duas partes: 1) a apresentação de embargos de declaração protelatórios autoriza que o órgão julgador condene o embargante a pagar ao embargado multa não excedente de 1% (um por cento) sobre o valor da causa; 2) a reiteração de embargos protelatórios autoriza a majoração da multa a até 10% (dez por cento), ficando condicionada a interposição de qualquer outro recurso ao depósito do valor respectivo. 4. Justifica-se a aplicação da penalidade prevista na segunda parte do dispositivo apenas quando há reiteração de embargos de declaração manifestamente protelatórios. Ainda que se trate de sucessivos embargos, não é possível a imposição de multa em percentual superior a 1% (um por cento), se em momento anterior não houve o reconhecimento do intuito protelatório. Nessa hipótese primeiros embargos tidos por protelatórios, também não incide a condicionante prevista na parte final do parágrafo único do art. 538 do CPC. 5. No caso em exame, o Tribunal de origem aplicou a multa prevista na primeira parte do referido dispositivo, pela apresentação de primeiros embargos de declaração tidos como protelatórios, razão pela qual não assiste razão à parte ora agravante no sentido de que o recolhimento prévio da sanção processual aplicada é pressuposto objetivo de admissibilidade  para qualquer outro recurso aviado após a condenação. 6. Agravo regimental não conhecido. (</w:t>
      </w:r>
      <w:proofErr w:type="spellStart"/>
      <w:proofErr w:type="gramStart"/>
      <w:r w:rsidRPr="00146716">
        <w:rPr>
          <w:rFonts w:ascii="Times New Roman" w:hAnsi="Times New Roman"/>
          <w:sz w:val="20"/>
          <w:szCs w:val="20"/>
        </w:rPr>
        <w:t>AgRg</w:t>
      </w:r>
      <w:proofErr w:type="spellEnd"/>
      <w:proofErr w:type="gramEnd"/>
      <w:r w:rsidRPr="00146716">
        <w:rPr>
          <w:rFonts w:ascii="Times New Roman" w:hAnsi="Times New Roman"/>
          <w:sz w:val="20"/>
          <w:szCs w:val="20"/>
        </w:rPr>
        <w:t xml:space="preserve"> no </w:t>
      </w:r>
      <w:proofErr w:type="spellStart"/>
      <w:r w:rsidRPr="00146716">
        <w:rPr>
          <w:rFonts w:ascii="Times New Roman" w:hAnsi="Times New Roman"/>
          <w:sz w:val="20"/>
          <w:szCs w:val="20"/>
        </w:rPr>
        <w:t>AREsp</w:t>
      </w:r>
      <w:proofErr w:type="spellEnd"/>
      <w:r w:rsidRPr="00146716">
        <w:rPr>
          <w:rFonts w:ascii="Times New Roman" w:hAnsi="Times New Roman"/>
          <w:sz w:val="20"/>
          <w:szCs w:val="20"/>
        </w:rPr>
        <w:t xml:space="preserve"> 87812 / RS AGRAVO REGIMENTAL NO AGRAVO </w:t>
      </w:r>
      <w:smartTag w:uri="urn:schemas-microsoft-com:office:smarttags" w:element="PersonName">
        <w:smartTagPr>
          <w:attr w:name="ProductID" w:val="EM RECURSO ESPECIAL"/>
        </w:smartTagPr>
        <w:r w:rsidRPr="00146716">
          <w:rPr>
            <w:rFonts w:ascii="Times New Roman" w:hAnsi="Times New Roman"/>
            <w:sz w:val="20"/>
            <w:szCs w:val="20"/>
          </w:rPr>
          <w:t>EM RECURSO ESPECIAL</w:t>
        </w:r>
      </w:smartTag>
      <w:r w:rsidRPr="00146716">
        <w:rPr>
          <w:rFonts w:ascii="Times New Roman" w:hAnsi="Times New Roman"/>
          <w:sz w:val="20"/>
          <w:szCs w:val="20"/>
        </w:rPr>
        <w:t xml:space="preserve"> 2011/0209219-9, Ministro MAURO CAMPBELL MARQUES, </w:t>
      </w:r>
      <w:proofErr w:type="spellStart"/>
      <w:r w:rsidRPr="00146716">
        <w:rPr>
          <w:rFonts w:ascii="Times New Roman" w:hAnsi="Times New Roman"/>
          <w:sz w:val="20"/>
          <w:szCs w:val="20"/>
        </w:rPr>
        <w:t>DJe</w:t>
      </w:r>
      <w:proofErr w:type="spellEnd"/>
      <w:r w:rsidRPr="00146716">
        <w:rPr>
          <w:rFonts w:ascii="Times New Roman" w:hAnsi="Times New Roman"/>
          <w:sz w:val="20"/>
          <w:szCs w:val="20"/>
        </w:rPr>
        <w:t xml:space="preserve"> 27/06/2012)</w:t>
      </w:r>
    </w:p>
  </w:footnote>
  <w:footnote w:id="21">
    <w:p w:rsidR="003478E8" w:rsidRPr="00FE21D6" w:rsidRDefault="003478E8" w:rsidP="009F57C6">
      <w:pPr>
        <w:spacing w:after="0" w:line="240" w:lineRule="auto"/>
        <w:jc w:val="both"/>
        <w:rPr>
          <w:rFonts w:ascii="Times New Roman" w:hAnsi="Times New Roman"/>
          <w:sz w:val="20"/>
          <w:szCs w:val="20"/>
        </w:rPr>
      </w:pPr>
      <w:r w:rsidRPr="00FE21D6">
        <w:rPr>
          <w:rStyle w:val="Refdenotaderodap"/>
          <w:rFonts w:ascii="Times New Roman" w:hAnsi="Times New Roman"/>
          <w:sz w:val="20"/>
          <w:szCs w:val="20"/>
        </w:rPr>
        <w:footnoteRef/>
      </w:r>
      <w:r w:rsidRPr="00FE21D6">
        <w:rPr>
          <w:rFonts w:ascii="Times New Roman" w:hAnsi="Times New Roman"/>
          <w:sz w:val="20"/>
          <w:szCs w:val="20"/>
        </w:rPr>
        <w:t xml:space="preserve"> AGRAVO REGIMENTAL NO RECURSO EXTRAORDINÁRIO COM AGRAVO. PROCESSUAL CIVIL. AUSÊNCIA DE PREQUESTIONAMENTO DA MATÉRIA CONSTITUCIONAL. SÚMULA N. 282 DO SUPREMO TRIBUNAL FEDERAL. A inovação da matéria em embargos de declaração é juridicamente inaceitável para os fins de comprovação de </w:t>
      </w:r>
      <w:proofErr w:type="spellStart"/>
      <w:proofErr w:type="gramStart"/>
      <w:r w:rsidRPr="00FE21D6">
        <w:rPr>
          <w:rFonts w:ascii="Times New Roman" w:hAnsi="Times New Roman"/>
          <w:sz w:val="20"/>
          <w:szCs w:val="20"/>
        </w:rPr>
        <w:t>prequestionamento.</w:t>
      </w:r>
      <w:proofErr w:type="gramEnd"/>
      <w:r w:rsidRPr="00FE21D6">
        <w:rPr>
          <w:rFonts w:ascii="Times New Roman" w:hAnsi="Times New Roman"/>
          <w:sz w:val="20"/>
          <w:szCs w:val="20"/>
        </w:rPr>
        <w:t>Precedentes</w:t>
      </w:r>
      <w:proofErr w:type="spellEnd"/>
      <w:r w:rsidRPr="00FE21D6">
        <w:rPr>
          <w:rFonts w:ascii="Times New Roman" w:hAnsi="Times New Roman"/>
          <w:sz w:val="20"/>
          <w:szCs w:val="20"/>
        </w:rPr>
        <w:t xml:space="preserve">. Agravo regimental ao qual se nega provimento. (ARE 712687 </w:t>
      </w:r>
      <w:proofErr w:type="spellStart"/>
      <w:proofErr w:type="gramStart"/>
      <w:r w:rsidRPr="00FE21D6">
        <w:rPr>
          <w:rFonts w:ascii="Times New Roman" w:hAnsi="Times New Roman"/>
          <w:sz w:val="20"/>
          <w:szCs w:val="20"/>
        </w:rPr>
        <w:t>AgR</w:t>
      </w:r>
      <w:proofErr w:type="spellEnd"/>
      <w:proofErr w:type="gramEnd"/>
      <w:r w:rsidRPr="00FE21D6">
        <w:rPr>
          <w:rFonts w:ascii="Times New Roman" w:hAnsi="Times New Roman"/>
          <w:sz w:val="20"/>
          <w:szCs w:val="20"/>
        </w:rPr>
        <w:t xml:space="preserve"> / MS - MATO GROSSO DO SUL AG.REG. NO RECURSO EXTRAORDINÁRIO COM AGRAVO, DJe-227 DIVULG 19-11-2012 PUBLIC 20-11-2012)</w:t>
      </w:r>
    </w:p>
    <w:p w:rsidR="003478E8" w:rsidRPr="00FE21D6" w:rsidRDefault="003478E8" w:rsidP="009F57C6">
      <w:pPr>
        <w:pStyle w:val="Textodenotaderodap"/>
        <w:spacing w:after="0" w:line="240" w:lineRule="auto"/>
        <w:jc w:val="both"/>
        <w:rPr>
          <w:rFonts w:ascii="Times New Roman" w:hAnsi="Times New Roman"/>
        </w:rPr>
      </w:pPr>
    </w:p>
  </w:footnote>
  <w:footnote w:id="22">
    <w:p w:rsidR="003478E8" w:rsidRDefault="003478E8" w:rsidP="009F57C6">
      <w:pPr>
        <w:pStyle w:val="Textodenotaderodap"/>
        <w:spacing w:after="0" w:line="240" w:lineRule="auto"/>
        <w:jc w:val="both"/>
      </w:pPr>
      <w:r w:rsidRPr="00FE21D6">
        <w:rPr>
          <w:rStyle w:val="Refdenotaderodap"/>
          <w:rFonts w:ascii="Times New Roman" w:hAnsi="Times New Roman"/>
        </w:rPr>
        <w:footnoteRef/>
      </w:r>
      <w:r w:rsidRPr="00FE21D6">
        <w:rPr>
          <w:rFonts w:ascii="Times New Roman" w:hAnsi="Times New Roman"/>
        </w:rPr>
        <w:t xml:space="preserve"> “RECURSO ESPECIAL. PROCESSUAL CIVIL. VIOLAÇÃO DO ARTIGO 535 DO CÓDIGO DE PROCESSO CIVIL. PREQUESTIONAMENTO EXPLÍCITO. DESNECESSIDADE. JUROS DE MORA. PRECATÓRIO COMPLEMENTAR. INCIDÊNCIA. PRECEDENTES DO STF E STJ. </w:t>
      </w:r>
      <w:smartTag w:uri="urn:schemas-microsoft-com:office:smarttags" w:element="metricconverter">
        <w:smartTagPr>
          <w:attr w:name="ProductID" w:val="1. A"/>
        </w:smartTagPr>
        <w:r w:rsidRPr="00FE21D6">
          <w:rPr>
            <w:rFonts w:ascii="Times New Roman" w:hAnsi="Times New Roman"/>
          </w:rPr>
          <w:t>1. A</w:t>
        </w:r>
      </w:smartTag>
      <w:r w:rsidRPr="00FE21D6">
        <w:rPr>
          <w:rFonts w:ascii="Times New Roman" w:hAnsi="Times New Roman"/>
        </w:rPr>
        <w:t xml:space="preserve"> jurisprudência deste Superior Tribunal de Justiça é firme no entendimento de que deve a parte vincular a interposição do recurso especial à violação do artigo 535 do Código de Processo Civil, quando, mesmo após a oposição de embargos declaratórios, o tribunal a quo persiste em não decidir questões que lhe foram submetidas a julgamento, por força do princípio tantum </w:t>
      </w:r>
      <w:proofErr w:type="spellStart"/>
      <w:r w:rsidRPr="00FE21D6">
        <w:rPr>
          <w:rFonts w:ascii="Times New Roman" w:hAnsi="Times New Roman"/>
        </w:rPr>
        <w:t>devolutum</w:t>
      </w:r>
      <w:proofErr w:type="spellEnd"/>
      <w:r w:rsidRPr="00FE21D6">
        <w:rPr>
          <w:rFonts w:ascii="Times New Roman" w:hAnsi="Times New Roman"/>
        </w:rPr>
        <w:t xml:space="preserve"> quantum </w:t>
      </w:r>
      <w:proofErr w:type="spellStart"/>
      <w:r w:rsidRPr="00FE21D6">
        <w:rPr>
          <w:rFonts w:ascii="Times New Roman" w:hAnsi="Times New Roman"/>
        </w:rPr>
        <w:t>appellatum</w:t>
      </w:r>
      <w:proofErr w:type="spellEnd"/>
      <w:r w:rsidRPr="00FE21D6">
        <w:rPr>
          <w:rFonts w:ascii="Times New Roman" w:hAnsi="Times New Roman"/>
        </w:rPr>
        <w:t xml:space="preserve"> ou, ainda, quando persista desconhecendo obscuridade ou contradição </w:t>
      </w:r>
      <w:proofErr w:type="spellStart"/>
      <w:r w:rsidRPr="00FE21D6">
        <w:rPr>
          <w:rFonts w:ascii="Times New Roman" w:hAnsi="Times New Roman"/>
        </w:rPr>
        <w:t>argüidas</w:t>
      </w:r>
      <w:proofErr w:type="spellEnd"/>
      <w:r w:rsidRPr="00FE21D6">
        <w:rPr>
          <w:rFonts w:ascii="Times New Roman" w:hAnsi="Times New Roman"/>
        </w:rPr>
        <w:t xml:space="preserve"> como existentes no decisum. 2. Decidida a questão suscitada, qual seja, a da possibilidade do agravo de instrumento ser julgado monocraticamente pelo Relator, não há falar em violação do artigo 535 do Código de Processo Civil, à ausência de omissão, contradição ou obscuridade a ser suprida ou dirimida, eis que os embargos de declaração não se destinam ao prequestionamento explícito. 3. "1. O Pleno do Supremo Tribunal Federal firmou entendimento no sentido de que não são devidos juros moratórios no período compreendido entre a data de expedição do precatório judicial e a do seu efetivo pagamento no prazo estabelecido na Constituição Federal, por não se caracterizar inadimplemento por parte do Poder Público (cf. RE nº 298.616/SP, Relator Ministro Gilmar Mendes, in DJ 3/10/2003).2. A contrario sensu, se não houver o pagamento do valor consignado no precatório até o mês de dezembro do ano seguinte ao da sua apresentação, é de se reconhecer a incidência dos juros de mora a partir de 1º de janeiro </w:t>
      </w:r>
      <w:proofErr w:type="spellStart"/>
      <w:r w:rsidRPr="00FE21D6">
        <w:rPr>
          <w:rFonts w:ascii="Times New Roman" w:hAnsi="Times New Roman"/>
        </w:rPr>
        <w:t>subseqüente</w:t>
      </w:r>
      <w:proofErr w:type="spellEnd"/>
      <w:r w:rsidRPr="00FE21D6">
        <w:rPr>
          <w:rFonts w:ascii="Times New Roman" w:hAnsi="Times New Roman"/>
        </w:rPr>
        <w:t xml:space="preserve"> até a data do efetivo pagamento da obrigação (cf. </w:t>
      </w:r>
      <w:proofErr w:type="spellStart"/>
      <w:r w:rsidRPr="00FE21D6">
        <w:rPr>
          <w:rFonts w:ascii="Times New Roman" w:hAnsi="Times New Roman"/>
        </w:rPr>
        <w:t>EREsp</w:t>
      </w:r>
      <w:proofErr w:type="spellEnd"/>
      <w:r w:rsidRPr="00FE21D6">
        <w:rPr>
          <w:rFonts w:ascii="Times New Roman" w:hAnsi="Times New Roman"/>
        </w:rPr>
        <w:t xml:space="preserve"> nº 449.848/MG, Relator Ministro </w:t>
      </w:r>
      <w:proofErr w:type="spellStart"/>
      <w:r w:rsidRPr="00FE21D6">
        <w:rPr>
          <w:rFonts w:ascii="Times New Roman" w:hAnsi="Times New Roman"/>
        </w:rPr>
        <w:t>Teori</w:t>
      </w:r>
      <w:proofErr w:type="spellEnd"/>
      <w:r w:rsidRPr="00FE21D6">
        <w:rPr>
          <w:rFonts w:ascii="Times New Roman" w:hAnsi="Times New Roman"/>
        </w:rPr>
        <w:t xml:space="preserve"> Albino Zavascki, in DJ 19/12/2003). (...)" (</w:t>
      </w:r>
      <w:proofErr w:type="spellStart"/>
      <w:r w:rsidRPr="00FE21D6">
        <w:rPr>
          <w:rFonts w:ascii="Times New Roman" w:hAnsi="Times New Roman"/>
        </w:rPr>
        <w:t>REsp</w:t>
      </w:r>
      <w:proofErr w:type="spellEnd"/>
      <w:r w:rsidRPr="00FE21D6">
        <w:rPr>
          <w:rFonts w:ascii="Times New Roman" w:hAnsi="Times New Roman"/>
        </w:rPr>
        <w:t xml:space="preserve"> 544.167/SP, da minha Relatoria, in DJ 21/6/2004). 4. Recurso provido. (RESP 669707 / SP; RECURSO ESPECIAL 2004/0099047-6 – RELATOR Ministro HAMILTON CARVALHIDO – Órgão Julgador: SEXTA TURMA – Julgamento 07/10/2004 – Publicação DJ 17.12.2004.)”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22CE68"/>
    <w:lvl w:ilvl="0">
      <w:start w:val="1"/>
      <w:numFmt w:val="decimal"/>
      <w:lvlText w:val="%1."/>
      <w:lvlJc w:val="left"/>
      <w:pPr>
        <w:tabs>
          <w:tab w:val="num" w:pos="1492"/>
        </w:tabs>
        <w:ind w:left="1492" w:hanging="360"/>
      </w:pPr>
    </w:lvl>
  </w:abstractNum>
  <w:abstractNum w:abstractNumId="1">
    <w:nsid w:val="FFFFFF7D"/>
    <w:multiLevelType w:val="singleLevel"/>
    <w:tmpl w:val="C010ACBA"/>
    <w:lvl w:ilvl="0">
      <w:start w:val="1"/>
      <w:numFmt w:val="decimal"/>
      <w:lvlText w:val="%1."/>
      <w:lvlJc w:val="left"/>
      <w:pPr>
        <w:tabs>
          <w:tab w:val="num" w:pos="1209"/>
        </w:tabs>
        <w:ind w:left="1209" w:hanging="360"/>
      </w:pPr>
    </w:lvl>
  </w:abstractNum>
  <w:abstractNum w:abstractNumId="2">
    <w:nsid w:val="FFFFFF7E"/>
    <w:multiLevelType w:val="singleLevel"/>
    <w:tmpl w:val="83A6F24A"/>
    <w:lvl w:ilvl="0">
      <w:start w:val="1"/>
      <w:numFmt w:val="decimal"/>
      <w:lvlText w:val="%1."/>
      <w:lvlJc w:val="left"/>
      <w:pPr>
        <w:tabs>
          <w:tab w:val="num" w:pos="926"/>
        </w:tabs>
        <w:ind w:left="926" w:hanging="360"/>
      </w:pPr>
    </w:lvl>
  </w:abstractNum>
  <w:abstractNum w:abstractNumId="3">
    <w:nsid w:val="FFFFFF7F"/>
    <w:multiLevelType w:val="singleLevel"/>
    <w:tmpl w:val="D85A7AE0"/>
    <w:lvl w:ilvl="0">
      <w:start w:val="1"/>
      <w:numFmt w:val="decimal"/>
      <w:lvlText w:val="%1."/>
      <w:lvlJc w:val="left"/>
      <w:pPr>
        <w:tabs>
          <w:tab w:val="num" w:pos="643"/>
        </w:tabs>
        <w:ind w:left="643" w:hanging="360"/>
      </w:pPr>
    </w:lvl>
  </w:abstractNum>
  <w:abstractNum w:abstractNumId="4">
    <w:nsid w:val="FFFFFF80"/>
    <w:multiLevelType w:val="singleLevel"/>
    <w:tmpl w:val="BABA0C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AE0B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C4A1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C80B8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4C3934"/>
    <w:lvl w:ilvl="0">
      <w:start w:val="1"/>
      <w:numFmt w:val="decimal"/>
      <w:lvlText w:val="%1."/>
      <w:lvlJc w:val="left"/>
      <w:pPr>
        <w:tabs>
          <w:tab w:val="num" w:pos="360"/>
        </w:tabs>
        <w:ind w:left="360" w:hanging="360"/>
      </w:pPr>
    </w:lvl>
  </w:abstractNum>
  <w:abstractNum w:abstractNumId="9">
    <w:nsid w:val="FFFFFF89"/>
    <w:multiLevelType w:val="singleLevel"/>
    <w:tmpl w:val="903005AC"/>
    <w:lvl w:ilvl="0">
      <w:start w:val="1"/>
      <w:numFmt w:val="bullet"/>
      <w:lvlText w:val=""/>
      <w:lvlJc w:val="left"/>
      <w:pPr>
        <w:tabs>
          <w:tab w:val="num" w:pos="360"/>
        </w:tabs>
        <w:ind w:left="360" w:hanging="360"/>
      </w:pPr>
      <w:rPr>
        <w:rFonts w:ascii="Symbol" w:hAnsi="Symbol" w:hint="default"/>
      </w:rPr>
    </w:lvl>
  </w:abstractNum>
  <w:abstractNum w:abstractNumId="10">
    <w:nsid w:val="3C442D54"/>
    <w:multiLevelType w:val="hybridMultilevel"/>
    <w:tmpl w:val="33AA7C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E3D"/>
    <w:rsid w:val="00001B32"/>
    <w:rsid w:val="000109DE"/>
    <w:rsid w:val="00014EBD"/>
    <w:rsid w:val="000632D8"/>
    <w:rsid w:val="000873C7"/>
    <w:rsid w:val="000B0C95"/>
    <w:rsid w:val="001033BA"/>
    <w:rsid w:val="00146716"/>
    <w:rsid w:val="00165BFD"/>
    <w:rsid w:val="00193764"/>
    <w:rsid w:val="001B0098"/>
    <w:rsid w:val="001B41F2"/>
    <w:rsid w:val="001C38DB"/>
    <w:rsid w:val="001E466E"/>
    <w:rsid w:val="001F3E40"/>
    <w:rsid w:val="00256ABF"/>
    <w:rsid w:val="00262373"/>
    <w:rsid w:val="00263B9A"/>
    <w:rsid w:val="00264B19"/>
    <w:rsid w:val="00275D5B"/>
    <w:rsid w:val="00290DCA"/>
    <w:rsid w:val="002A288D"/>
    <w:rsid w:val="002D3BE3"/>
    <w:rsid w:val="002F55F8"/>
    <w:rsid w:val="003329F3"/>
    <w:rsid w:val="00340BD2"/>
    <w:rsid w:val="00341FAA"/>
    <w:rsid w:val="003478E8"/>
    <w:rsid w:val="00363218"/>
    <w:rsid w:val="00390EAD"/>
    <w:rsid w:val="003A06B9"/>
    <w:rsid w:val="003C26AB"/>
    <w:rsid w:val="003E4F97"/>
    <w:rsid w:val="003F6CC2"/>
    <w:rsid w:val="00411275"/>
    <w:rsid w:val="00432B62"/>
    <w:rsid w:val="004944C3"/>
    <w:rsid w:val="0049618C"/>
    <w:rsid w:val="004A785B"/>
    <w:rsid w:val="004B0234"/>
    <w:rsid w:val="004B0C38"/>
    <w:rsid w:val="004B44E5"/>
    <w:rsid w:val="004E0290"/>
    <w:rsid w:val="004F53E6"/>
    <w:rsid w:val="0051112A"/>
    <w:rsid w:val="00520CDF"/>
    <w:rsid w:val="005278B8"/>
    <w:rsid w:val="005363FB"/>
    <w:rsid w:val="00582874"/>
    <w:rsid w:val="005927AC"/>
    <w:rsid w:val="00595E8D"/>
    <w:rsid w:val="005B7911"/>
    <w:rsid w:val="00603F66"/>
    <w:rsid w:val="006100FC"/>
    <w:rsid w:val="00610CB9"/>
    <w:rsid w:val="00632E20"/>
    <w:rsid w:val="00677FDD"/>
    <w:rsid w:val="00693E0B"/>
    <w:rsid w:val="00694C14"/>
    <w:rsid w:val="006B1188"/>
    <w:rsid w:val="006B2038"/>
    <w:rsid w:val="006D6DF4"/>
    <w:rsid w:val="00722F94"/>
    <w:rsid w:val="007529ED"/>
    <w:rsid w:val="007A0B3E"/>
    <w:rsid w:val="007A618A"/>
    <w:rsid w:val="007B3D9D"/>
    <w:rsid w:val="007B3F45"/>
    <w:rsid w:val="007B6443"/>
    <w:rsid w:val="007C6134"/>
    <w:rsid w:val="007F2474"/>
    <w:rsid w:val="007F614B"/>
    <w:rsid w:val="007F7E7E"/>
    <w:rsid w:val="008250D5"/>
    <w:rsid w:val="00847FD2"/>
    <w:rsid w:val="00857905"/>
    <w:rsid w:val="00860F43"/>
    <w:rsid w:val="008633EC"/>
    <w:rsid w:val="0087230C"/>
    <w:rsid w:val="00883334"/>
    <w:rsid w:val="008A596C"/>
    <w:rsid w:val="008F603E"/>
    <w:rsid w:val="00902FB6"/>
    <w:rsid w:val="00907FED"/>
    <w:rsid w:val="00955ED3"/>
    <w:rsid w:val="00965B97"/>
    <w:rsid w:val="009C2943"/>
    <w:rsid w:val="009C43A3"/>
    <w:rsid w:val="009E1B46"/>
    <w:rsid w:val="009F57C6"/>
    <w:rsid w:val="009F7155"/>
    <w:rsid w:val="00A034AF"/>
    <w:rsid w:val="00A10193"/>
    <w:rsid w:val="00A17A28"/>
    <w:rsid w:val="00A24E3D"/>
    <w:rsid w:val="00A3174F"/>
    <w:rsid w:val="00A35C64"/>
    <w:rsid w:val="00A52E78"/>
    <w:rsid w:val="00A5358A"/>
    <w:rsid w:val="00A5417C"/>
    <w:rsid w:val="00A541D7"/>
    <w:rsid w:val="00A61EA8"/>
    <w:rsid w:val="00A720B9"/>
    <w:rsid w:val="00A80D5C"/>
    <w:rsid w:val="00A81A79"/>
    <w:rsid w:val="00A9082D"/>
    <w:rsid w:val="00A971D4"/>
    <w:rsid w:val="00AD2CFE"/>
    <w:rsid w:val="00AE19CA"/>
    <w:rsid w:val="00B011A7"/>
    <w:rsid w:val="00B40308"/>
    <w:rsid w:val="00B8326A"/>
    <w:rsid w:val="00B97944"/>
    <w:rsid w:val="00BE1ADB"/>
    <w:rsid w:val="00BE2776"/>
    <w:rsid w:val="00BE3FBD"/>
    <w:rsid w:val="00C06251"/>
    <w:rsid w:val="00C073FB"/>
    <w:rsid w:val="00C3608F"/>
    <w:rsid w:val="00C404B8"/>
    <w:rsid w:val="00C44F0B"/>
    <w:rsid w:val="00C54471"/>
    <w:rsid w:val="00C569BA"/>
    <w:rsid w:val="00C637C5"/>
    <w:rsid w:val="00CA1E22"/>
    <w:rsid w:val="00CB689B"/>
    <w:rsid w:val="00CB6BE7"/>
    <w:rsid w:val="00CC0B82"/>
    <w:rsid w:val="00CD14C2"/>
    <w:rsid w:val="00D26B8D"/>
    <w:rsid w:val="00D36C71"/>
    <w:rsid w:val="00D5090F"/>
    <w:rsid w:val="00D72951"/>
    <w:rsid w:val="00D938E6"/>
    <w:rsid w:val="00DA39B6"/>
    <w:rsid w:val="00DD69E2"/>
    <w:rsid w:val="00DE049E"/>
    <w:rsid w:val="00DE71B0"/>
    <w:rsid w:val="00DF0687"/>
    <w:rsid w:val="00DF5DAB"/>
    <w:rsid w:val="00E16879"/>
    <w:rsid w:val="00E21838"/>
    <w:rsid w:val="00E75385"/>
    <w:rsid w:val="00E81A52"/>
    <w:rsid w:val="00E85248"/>
    <w:rsid w:val="00E92ABE"/>
    <w:rsid w:val="00E94245"/>
    <w:rsid w:val="00E958B4"/>
    <w:rsid w:val="00F1262E"/>
    <w:rsid w:val="00F16C17"/>
    <w:rsid w:val="00F176B6"/>
    <w:rsid w:val="00F2632A"/>
    <w:rsid w:val="00F27327"/>
    <w:rsid w:val="00F42BB8"/>
    <w:rsid w:val="00F45B86"/>
    <w:rsid w:val="00F46BE3"/>
    <w:rsid w:val="00F62973"/>
    <w:rsid w:val="00F74471"/>
    <w:rsid w:val="00F77750"/>
    <w:rsid w:val="00F85D8E"/>
    <w:rsid w:val="00FD27B4"/>
    <w:rsid w:val="00FD3A9B"/>
    <w:rsid w:val="00FE21D6"/>
    <w:rsid w:val="00FF391E"/>
    <w:rsid w:val="00FF3E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dm"/>
  <w:smartTagType w:namespaceuri="schemas-houaiss/mini" w:name="verbet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6B9"/>
    <w:pPr>
      <w:spacing w:after="200" w:line="276" w:lineRule="auto"/>
    </w:pPr>
    <w:rPr>
      <w:sz w:val="22"/>
      <w:szCs w:val="22"/>
      <w:lang w:eastAsia="en-US"/>
    </w:rPr>
  </w:style>
  <w:style w:type="paragraph" w:styleId="Ttulo2">
    <w:name w:val="heading 2"/>
    <w:basedOn w:val="Normal"/>
    <w:link w:val="Ttulo2Char"/>
    <w:uiPriority w:val="9"/>
    <w:qFormat/>
    <w:rsid w:val="00D5090F"/>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4">
    <w:name w:val="heading 4"/>
    <w:basedOn w:val="Normal"/>
    <w:next w:val="Normal"/>
    <w:qFormat/>
    <w:rsid w:val="00E92ABE"/>
    <w:pPr>
      <w:keepNext/>
      <w:spacing w:before="240" w:after="60"/>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A971D4"/>
    <w:rPr>
      <w:color w:val="0000FF"/>
      <w:u w:val="single"/>
    </w:rPr>
  </w:style>
  <w:style w:type="paragraph" w:styleId="Pr-formataoHTML">
    <w:name w:val="HTML Preformatted"/>
    <w:basedOn w:val="Normal"/>
    <w:link w:val="Pr-formataoHTMLChar"/>
    <w:uiPriority w:val="99"/>
    <w:unhideWhenUsed/>
    <w:rsid w:val="00A9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A971D4"/>
    <w:rPr>
      <w:rFonts w:ascii="Courier New" w:eastAsia="Times New Roman" w:hAnsi="Courier New" w:cs="Courier New"/>
    </w:rPr>
  </w:style>
  <w:style w:type="paragraph" w:styleId="NormalWeb">
    <w:name w:val="Normal (Web)"/>
    <w:basedOn w:val="Normal"/>
    <w:uiPriority w:val="99"/>
    <w:unhideWhenUsed/>
    <w:rsid w:val="00A971D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highlightbrs">
    <w:name w:val="highlightbrs"/>
    <w:basedOn w:val="Fontepargpadro"/>
    <w:rsid w:val="00A971D4"/>
  </w:style>
  <w:style w:type="character" w:customStyle="1" w:styleId="apple-converted-space">
    <w:name w:val="apple-converted-space"/>
    <w:basedOn w:val="Fontepargpadro"/>
    <w:rsid w:val="00A971D4"/>
  </w:style>
  <w:style w:type="character" w:styleId="Forte">
    <w:name w:val="Strong"/>
    <w:uiPriority w:val="22"/>
    <w:qFormat/>
    <w:rsid w:val="00A971D4"/>
    <w:rPr>
      <w:b/>
      <w:bCs/>
    </w:rPr>
  </w:style>
  <w:style w:type="character" w:customStyle="1" w:styleId="Ttulo2Char">
    <w:name w:val="Título 2 Char"/>
    <w:link w:val="Ttulo2"/>
    <w:uiPriority w:val="9"/>
    <w:rsid w:val="00D5090F"/>
    <w:rPr>
      <w:rFonts w:ascii="Times New Roman" w:eastAsia="Times New Roman" w:hAnsi="Times New Roman"/>
      <w:b/>
      <w:bCs/>
      <w:sz w:val="36"/>
      <w:szCs w:val="36"/>
    </w:rPr>
  </w:style>
  <w:style w:type="character" w:customStyle="1" w:styleId="nome-autor">
    <w:name w:val="nome-autor"/>
    <w:basedOn w:val="Fontepargpadro"/>
    <w:rsid w:val="00D5090F"/>
  </w:style>
  <w:style w:type="character" w:styleId="nfase">
    <w:name w:val="Emphasis"/>
    <w:uiPriority w:val="20"/>
    <w:qFormat/>
    <w:rsid w:val="00B97944"/>
    <w:rPr>
      <w:i/>
      <w:iCs/>
    </w:rPr>
  </w:style>
  <w:style w:type="paragraph" w:styleId="Cabealho">
    <w:name w:val="header"/>
    <w:basedOn w:val="Normal"/>
    <w:link w:val="CabealhoChar"/>
    <w:uiPriority w:val="99"/>
    <w:semiHidden/>
    <w:unhideWhenUsed/>
    <w:rsid w:val="00AE19CA"/>
    <w:pPr>
      <w:tabs>
        <w:tab w:val="center" w:pos="4252"/>
        <w:tab w:val="right" w:pos="8504"/>
      </w:tabs>
    </w:pPr>
  </w:style>
  <w:style w:type="character" w:customStyle="1" w:styleId="CabealhoChar">
    <w:name w:val="Cabeçalho Char"/>
    <w:link w:val="Cabealho"/>
    <w:uiPriority w:val="99"/>
    <w:semiHidden/>
    <w:rsid w:val="00AE19CA"/>
    <w:rPr>
      <w:sz w:val="22"/>
      <w:szCs w:val="22"/>
      <w:lang w:eastAsia="en-US"/>
    </w:rPr>
  </w:style>
  <w:style w:type="paragraph" w:styleId="Rodap">
    <w:name w:val="footer"/>
    <w:basedOn w:val="Normal"/>
    <w:link w:val="RodapChar"/>
    <w:uiPriority w:val="99"/>
    <w:unhideWhenUsed/>
    <w:rsid w:val="00AE19CA"/>
    <w:pPr>
      <w:tabs>
        <w:tab w:val="center" w:pos="4252"/>
        <w:tab w:val="right" w:pos="8504"/>
      </w:tabs>
    </w:pPr>
  </w:style>
  <w:style w:type="character" w:customStyle="1" w:styleId="RodapChar">
    <w:name w:val="Rodapé Char"/>
    <w:link w:val="Rodap"/>
    <w:uiPriority w:val="99"/>
    <w:rsid w:val="00AE19CA"/>
    <w:rPr>
      <w:sz w:val="22"/>
      <w:szCs w:val="22"/>
      <w:lang w:eastAsia="en-US"/>
    </w:rPr>
  </w:style>
  <w:style w:type="paragraph" w:styleId="Textodebalo">
    <w:name w:val="Balloon Text"/>
    <w:basedOn w:val="Normal"/>
    <w:link w:val="TextodebaloChar"/>
    <w:uiPriority w:val="99"/>
    <w:semiHidden/>
    <w:unhideWhenUsed/>
    <w:rsid w:val="00AE19CA"/>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E19CA"/>
    <w:rPr>
      <w:rFonts w:ascii="Tahoma" w:hAnsi="Tahoma" w:cs="Tahoma"/>
      <w:sz w:val="16"/>
      <w:szCs w:val="16"/>
      <w:lang w:eastAsia="en-US"/>
    </w:rPr>
  </w:style>
  <w:style w:type="character" w:customStyle="1" w:styleId="a">
    <w:name w:val="a"/>
    <w:basedOn w:val="Fontepargpadro"/>
    <w:rsid w:val="00907FED"/>
  </w:style>
  <w:style w:type="character" w:customStyle="1" w:styleId="l6">
    <w:name w:val="l6"/>
    <w:basedOn w:val="Fontepargpadro"/>
    <w:rsid w:val="00907FED"/>
  </w:style>
  <w:style w:type="character" w:customStyle="1" w:styleId="l7">
    <w:name w:val="l7"/>
    <w:basedOn w:val="Fontepargpadro"/>
    <w:rsid w:val="00907FED"/>
  </w:style>
  <w:style w:type="character" w:customStyle="1" w:styleId="l8">
    <w:name w:val="l8"/>
    <w:basedOn w:val="Fontepargpadro"/>
    <w:rsid w:val="00907FED"/>
  </w:style>
  <w:style w:type="paragraph" w:styleId="Textodenotaderodap">
    <w:name w:val="footnote text"/>
    <w:basedOn w:val="Normal"/>
    <w:semiHidden/>
    <w:rsid w:val="00FF3ED4"/>
    <w:rPr>
      <w:sz w:val="20"/>
      <w:szCs w:val="20"/>
    </w:rPr>
  </w:style>
  <w:style w:type="character" w:styleId="Refdenotaderodap">
    <w:name w:val="footnote reference"/>
    <w:semiHidden/>
    <w:rsid w:val="00FF3ED4"/>
    <w:rPr>
      <w:vertAlign w:val="superscript"/>
    </w:rPr>
  </w:style>
  <w:style w:type="paragraph" w:styleId="Corpodetexto">
    <w:name w:val="Body Text"/>
    <w:basedOn w:val="Normal"/>
    <w:link w:val="CorpodetextoChar"/>
    <w:rsid w:val="00D938E6"/>
    <w:pPr>
      <w:suppressAutoHyphens/>
      <w:spacing w:after="0" w:line="240" w:lineRule="auto"/>
      <w:jc w:val="both"/>
    </w:pPr>
    <w:rPr>
      <w:rFonts w:ascii="Arial" w:eastAsia="Times New Roman" w:hAnsi="Arial"/>
      <w:b/>
      <w:bCs/>
      <w:color w:val="CC9900"/>
      <w:sz w:val="20"/>
      <w:szCs w:val="24"/>
      <w:lang w:eastAsia="ar-SA"/>
    </w:rPr>
  </w:style>
  <w:style w:type="character" w:customStyle="1" w:styleId="CorpodetextoChar">
    <w:name w:val="Corpo de texto Char"/>
    <w:link w:val="Corpodetexto"/>
    <w:locked/>
    <w:rsid w:val="00D938E6"/>
    <w:rPr>
      <w:rFonts w:ascii="Arial" w:hAnsi="Arial"/>
      <w:b/>
      <w:bCs/>
      <w:color w:val="CC9900"/>
      <w:szCs w:val="24"/>
      <w:lang w:val="pt-BR" w:eastAsia="ar-SA" w:bidi="ar-SA"/>
    </w:rPr>
  </w:style>
  <w:style w:type="character" w:styleId="Nmerodepgina">
    <w:name w:val="page number"/>
    <w:basedOn w:val="Fontepargpadro"/>
    <w:rsid w:val="00F46BE3"/>
  </w:style>
  <w:style w:type="paragraph" w:customStyle="1" w:styleId="ecxmsonormal">
    <w:name w:val="ecxmsonormal"/>
    <w:basedOn w:val="Normal"/>
    <w:rsid w:val="00CA1E2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rtigo">
    <w:name w:val="artigo"/>
    <w:basedOn w:val="Normal"/>
    <w:rsid w:val="00632E20"/>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6B9"/>
    <w:pPr>
      <w:spacing w:after="200" w:line="276" w:lineRule="auto"/>
    </w:pPr>
    <w:rPr>
      <w:sz w:val="22"/>
      <w:szCs w:val="22"/>
      <w:lang w:eastAsia="en-US"/>
    </w:rPr>
  </w:style>
  <w:style w:type="paragraph" w:styleId="Ttulo2">
    <w:name w:val="heading 2"/>
    <w:basedOn w:val="Normal"/>
    <w:link w:val="Ttulo2Char"/>
    <w:uiPriority w:val="9"/>
    <w:qFormat/>
    <w:rsid w:val="00D5090F"/>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4">
    <w:name w:val="heading 4"/>
    <w:basedOn w:val="Normal"/>
    <w:next w:val="Normal"/>
    <w:qFormat/>
    <w:rsid w:val="00E92ABE"/>
    <w:pPr>
      <w:keepNext/>
      <w:spacing w:before="240" w:after="60"/>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A971D4"/>
    <w:rPr>
      <w:color w:val="0000FF"/>
      <w:u w:val="single"/>
    </w:rPr>
  </w:style>
  <w:style w:type="paragraph" w:styleId="Pr-formataoHTML">
    <w:name w:val="HTML Preformatted"/>
    <w:basedOn w:val="Normal"/>
    <w:link w:val="Pr-formataoHTMLChar"/>
    <w:uiPriority w:val="99"/>
    <w:unhideWhenUsed/>
    <w:rsid w:val="00A97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A971D4"/>
    <w:rPr>
      <w:rFonts w:ascii="Courier New" w:eastAsia="Times New Roman" w:hAnsi="Courier New" w:cs="Courier New"/>
    </w:rPr>
  </w:style>
  <w:style w:type="paragraph" w:styleId="NormalWeb">
    <w:name w:val="Normal (Web)"/>
    <w:basedOn w:val="Normal"/>
    <w:uiPriority w:val="99"/>
    <w:unhideWhenUsed/>
    <w:rsid w:val="00A971D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highlightbrs">
    <w:name w:val="highlightbrs"/>
    <w:basedOn w:val="Fontepargpadro"/>
    <w:rsid w:val="00A971D4"/>
  </w:style>
  <w:style w:type="character" w:customStyle="1" w:styleId="apple-converted-space">
    <w:name w:val="apple-converted-space"/>
    <w:basedOn w:val="Fontepargpadro"/>
    <w:rsid w:val="00A971D4"/>
  </w:style>
  <w:style w:type="character" w:styleId="Forte">
    <w:name w:val="Strong"/>
    <w:uiPriority w:val="22"/>
    <w:qFormat/>
    <w:rsid w:val="00A971D4"/>
    <w:rPr>
      <w:b/>
      <w:bCs/>
    </w:rPr>
  </w:style>
  <w:style w:type="character" w:customStyle="1" w:styleId="Ttulo2Char">
    <w:name w:val="Título 2 Char"/>
    <w:link w:val="Ttulo2"/>
    <w:uiPriority w:val="9"/>
    <w:rsid w:val="00D5090F"/>
    <w:rPr>
      <w:rFonts w:ascii="Times New Roman" w:eastAsia="Times New Roman" w:hAnsi="Times New Roman"/>
      <w:b/>
      <w:bCs/>
      <w:sz w:val="36"/>
      <w:szCs w:val="36"/>
    </w:rPr>
  </w:style>
  <w:style w:type="character" w:customStyle="1" w:styleId="nome-autor">
    <w:name w:val="nome-autor"/>
    <w:basedOn w:val="Fontepargpadro"/>
    <w:rsid w:val="00D5090F"/>
  </w:style>
  <w:style w:type="character" w:styleId="nfase">
    <w:name w:val="Emphasis"/>
    <w:uiPriority w:val="20"/>
    <w:qFormat/>
    <w:rsid w:val="00B97944"/>
    <w:rPr>
      <w:i/>
      <w:iCs/>
    </w:rPr>
  </w:style>
  <w:style w:type="paragraph" w:styleId="Cabealho">
    <w:name w:val="header"/>
    <w:basedOn w:val="Normal"/>
    <w:link w:val="CabealhoChar"/>
    <w:uiPriority w:val="99"/>
    <w:semiHidden/>
    <w:unhideWhenUsed/>
    <w:rsid w:val="00AE19CA"/>
    <w:pPr>
      <w:tabs>
        <w:tab w:val="center" w:pos="4252"/>
        <w:tab w:val="right" w:pos="8504"/>
      </w:tabs>
    </w:pPr>
  </w:style>
  <w:style w:type="character" w:customStyle="1" w:styleId="CabealhoChar">
    <w:name w:val="Cabeçalho Char"/>
    <w:link w:val="Cabealho"/>
    <w:uiPriority w:val="99"/>
    <w:semiHidden/>
    <w:rsid w:val="00AE19CA"/>
    <w:rPr>
      <w:sz w:val="22"/>
      <w:szCs w:val="22"/>
      <w:lang w:eastAsia="en-US"/>
    </w:rPr>
  </w:style>
  <w:style w:type="paragraph" w:styleId="Rodap">
    <w:name w:val="footer"/>
    <w:basedOn w:val="Normal"/>
    <w:link w:val="RodapChar"/>
    <w:uiPriority w:val="99"/>
    <w:unhideWhenUsed/>
    <w:rsid w:val="00AE19CA"/>
    <w:pPr>
      <w:tabs>
        <w:tab w:val="center" w:pos="4252"/>
        <w:tab w:val="right" w:pos="8504"/>
      </w:tabs>
    </w:pPr>
  </w:style>
  <w:style w:type="character" w:customStyle="1" w:styleId="RodapChar">
    <w:name w:val="Rodapé Char"/>
    <w:link w:val="Rodap"/>
    <w:uiPriority w:val="99"/>
    <w:rsid w:val="00AE19CA"/>
    <w:rPr>
      <w:sz w:val="22"/>
      <w:szCs w:val="22"/>
      <w:lang w:eastAsia="en-US"/>
    </w:rPr>
  </w:style>
  <w:style w:type="paragraph" w:styleId="Textodebalo">
    <w:name w:val="Balloon Text"/>
    <w:basedOn w:val="Normal"/>
    <w:link w:val="TextodebaloChar"/>
    <w:uiPriority w:val="99"/>
    <w:semiHidden/>
    <w:unhideWhenUsed/>
    <w:rsid w:val="00AE19CA"/>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E19CA"/>
    <w:rPr>
      <w:rFonts w:ascii="Tahoma" w:hAnsi="Tahoma" w:cs="Tahoma"/>
      <w:sz w:val="16"/>
      <w:szCs w:val="16"/>
      <w:lang w:eastAsia="en-US"/>
    </w:rPr>
  </w:style>
  <w:style w:type="character" w:customStyle="1" w:styleId="a">
    <w:name w:val="a"/>
    <w:basedOn w:val="Fontepargpadro"/>
    <w:rsid w:val="00907FED"/>
  </w:style>
  <w:style w:type="character" w:customStyle="1" w:styleId="l6">
    <w:name w:val="l6"/>
    <w:basedOn w:val="Fontepargpadro"/>
    <w:rsid w:val="00907FED"/>
  </w:style>
  <w:style w:type="character" w:customStyle="1" w:styleId="l7">
    <w:name w:val="l7"/>
    <w:basedOn w:val="Fontepargpadro"/>
    <w:rsid w:val="00907FED"/>
  </w:style>
  <w:style w:type="character" w:customStyle="1" w:styleId="l8">
    <w:name w:val="l8"/>
    <w:basedOn w:val="Fontepargpadro"/>
    <w:rsid w:val="00907FED"/>
  </w:style>
  <w:style w:type="paragraph" w:styleId="Textodenotaderodap">
    <w:name w:val="footnote text"/>
    <w:basedOn w:val="Normal"/>
    <w:semiHidden/>
    <w:rsid w:val="00FF3ED4"/>
    <w:rPr>
      <w:sz w:val="20"/>
      <w:szCs w:val="20"/>
    </w:rPr>
  </w:style>
  <w:style w:type="character" w:styleId="Refdenotaderodap">
    <w:name w:val="footnote reference"/>
    <w:semiHidden/>
    <w:rsid w:val="00FF3ED4"/>
    <w:rPr>
      <w:vertAlign w:val="superscript"/>
    </w:rPr>
  </w:style>
  <w:style w:type="paragraph" w:styleId="Corpodetexto">
    <w:name w:val="Body Text"/>
    <w:basedOn w:val="Normal"/>
    <w:link w:val="CorpodetextoChar"/>
    <w:rsid w:val="00D938E6"/>
    <w:pPr>
      <w:suppressAutoHyphens/>
      <w:spacing w:after="0" w:line="240" w:lineRule="auto"/>
      <w:jc w:val="both"/>
    </w:pPr>
    <w:rPr>
      <w:rFonts w:ascii="Arial" w:eastAsia="Times New Roman" w:hAnsi="Arial"/>
      <w:b/>
      <w:bCs/>
      <w:color w:val="CC9900"/>
      <w:sz w:val="20"/>
      <w:szCs w:val="24"/>
      <w:lang w:eastAsia="ar-SA"/>
    </w:rPr>
  </w:style>
  <w:style w:type="character" w:customStyle="1" w:styleId="CorpodetextoChar">
    <w:name w:val="Corpo de texto Char"/>
    <w:link w:val="Corpodetexto"/>
    <w:locked/>
    <w:rsid w:val="00D938E6"/>
    <w:rPr>
      <w:rFonts w:ascii="Arial" w:hAnsi="Arial"/>
      <w:b/>
      <w:bCs/>
      <w:color w:val="CC9900"/>
      <w:szCs w:val="24"/>
      <w:lang w:val="pt-BR" w:eastAsia="ar-SA" w:bidi="ar-SA"/>
    </w:rPr>
  </w:style>
  <w:style w:type="character" w:styleId="Nmerodepgina">
    <w:name w:val="page number"/>
    <w:basedOn w:val="Fontepargpadro"/>
    <w:rsid w:val="00F46BE3"/>
  </w:style>
  <w:style w:type="paragraph" w:customStyle="1" w:styleId="ecxmsonormal">
    <w:name w:val="ecxmsonormal"/>
    <w:basedOn w:val="Normal"/>
    <w:rsid w:val="00CA1E2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rtigo">
    <w:name w:val="artigo"/>
    <w:basedOn w:val="Normal"/>
    <w:rsid w:val="00632E20"/>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4479">
      <w:bodyDiv w:val="1"/>
      <w:marLeft w:val="0"/>
      <w:marRight w:val="0"/>
      <w:marTop w:val="0"/>
      <w:marBottom w:val="0"/>
      <w:divBdr>
        <w:top w:val="none" w:sz="0" w:space="0" w:color="auto"/>
        <w:left w:val="none" w:sz="0" w:space="0" w:color="auto"/>
        <w:bottom w:val="none" w:sz="0" w:space="0" w:color="auto"/>
        <w:right w:val="none" w:sz="0" w:space="0" w:color="auto"/>
      </w:divBdr>
      <w:divsChild>
        <w:div w:id="355428196">
          <w:marLeft w:val="0"/>
          <w:marRight w:val="0"/>
          <w:marTop w:val="0"/>
          <w:marBottom w:val="0"/>
          <w:divBdr>
            <w:top w:val="none" w:sz="0" w:space="0" w:color="auto"/>
            <w:left w:val="none" w:sz="0" w:space="0" w:color="auto"/>
            <w:bottom w:val="none" w:sz="0" w:space="0" w:color="auto"/>
            <w:right w:val="none" w:sz="0" w:space="0" w:color="auto"/>
          </w:divBdr>
        </w:div>
        <w:div w:id="475954611">
          <w:marLeft w:val="0"/>
          <w:marRight w:val="0"/>
          <w:marTop w:val="0"/>
          <w:marBottom w:val="0"/>
          <w:divBdr>
            <w:top w:val="none" w:sz="0" w:space="0" w:color="auto"/>
            <w:left w:val="none" w:sz="0" w:space="0" w:color="auto"/>
            <w:bottom w:val="none" w:sz="0" w:space="0" w:color="auto"/>
            <w:right w:val="none" w:sz="0" w:space="0" w:color="auto"/>
          </w:divBdr>
        </w:div>
        <w:div w:id="718286063">
          <w:marLeft w:val="0"/>
          <w:marRight w:val="0"/>
          <w:marTop w:val="0"/>
          <w:marBottom w:val="0"/>
          <w:divBdr>
            <w:top w:val="none" w:sz="0" w:space="0" w:color="auto"/>
            <w:left w:val="none" w:sz="0" w:space="0" w:color="auto"/>
            <w:bottom w:val="none" w:sz="0" w:space="0" w:color="auto"/>
            <w:right w:val="none" w:sz="0" w:space="0" w:color="auto"/>
          </w:divBdr>
        </w:div>
        <w:div w:id="1348871080">
          <w:marLeft w:val="0"/>
          <w:marRight w:val="0"/>
          <w:marTop w:val="0"/>
          <w:marBottom w:val="0"/>
          <w:divBdr>
            <w:top w:val="none" w:sz="0" w:space="0" w:color="auto"/>
            <w:left w:val="none" w:sz="0" w:space="0" w:color="auto"/>
            <w:bottom w:val="none" w:sz="0" w:space="0" w:color="auto"/>
            <w:right w:val="none" w:sz="0" w:space="0" w:color="auto"/>
          </w:divBdr>
        </w:div>
        <w:div w:id="1688561210">
          <w:marLeft w:val="0"/>
          <w:marRight w:val="0"/>
          <w:marTop w:val="0"/>
          <w:marBottom w:val="0"/>
          <w:divBdr>
            <w:top w:val="none" w:sz="0" w:space="0" w:color="auto"/>
            <w:left w:val="none" w:sz="0" w:space="0" w:color="auto"/>
            <w:bottom w:val="none" w:sz="0" w:space="0" w:color="auto"/>
            <w:right w:val="none" w:sz="0" w:space="0" w:color="auto"/>
          </w:divBdr>
        </w:div>
        <w:div w:id="1818497102">
          <w:marLeft w:val="0"/>
          <w:marRight w:val="0"/>
          <w:marTop w:val="0"/>
          <w:marBottom w:val="0"/>
          <w:divBdr>
            <w:top w:val="none" w:sz="0" w:space="0" w:color="auto"/>
            <w:left w:val="none" w:sz="0" w:space="0" w:color="auto"/>
            <w:bottom w:val="none" w:sz="0" w:space="0" w:color="auto"/>
            <w:right w:val="none" w:sz="0" w:space="0" w:color="auto"/>
          </w:divBdr>
        </w:div>
        <w:div w:id="1942446741">
          <w:marLeft w:val="0"/>
          <w:marRight w:val="0"/>
          <w:marTop w:val="0"/>
          <w:marBottom w:val="0"/>
          <w:divBdr>
            <w:top w:val="none" w:sz="0" w:space="0" w:color="auto"/>
            <w:left w:val="none" w:sz="0" w:space="0" w:color="auto"/>
            <w:bottom w:val="none" w:sz="0" w:space="0" w:color="auto"/>
            <w:right w:val="none" w:sz="0" w:space="0" w:color="auto"/>
          </w:divBdr>
        </w:div>
      </w:divsChild>
    </w:div>
    <w:div w:id="162405266">
      <w:bodyDiv w:val="1"/>
      <w:marLeft w:val="0"/>
      <w:marRight w:val="0"/>
      <w:marTop w:val="0"/>
      <w:marBottom w:val="0"/>
      <w:divBdr>
        <w:top w:val="none" w:sz="0" w:space="0" w:color="auto"/>
        <w:left w:val="none" w:sz="0" w:space="0" w:color="auto"/>
        <w:bottom w:val="none" w:sz="0" w:space="0" w:color="auto"/>
        <w:right w:val="none" w:sz="0" w:space="0" w:color="auto"/>
      </w:divBdr>
    </w:div>
    <w:div w:id="242759778">
      <w:bodyDiv w:val="1"/>
      <w:marLeft w:val="0"/>
      <w:marRight w:val="0"/>
      <w:marTop w:val="0"/>
      <w:marBottom w:val="0"/>
      <w:divBdr>
        <w:top w:val="none" w:sz="0" w:space="0" w:color="auto"/>
        <w:left w:val="none" w:sz="0" w:space="0" w:color="auto"/>
        <w:bottom w:val="none" w:sz="0" w:space="0" w:color="auto"/>
        <w:right w:val="none" w:sz="0" w:space="0" w:color="auto"/>
      </w:divBdr>
    </w:div>
    <w:div w:id="449475830">
      <w:bodyDiv w:val="1"/>
      <w:marLeft w:val="0"/>
      <w:marRight w:val="0"/>
      <w:marTop w:val="0"/>
      <w:marBottom w:val="0"/>
      <w:divBdr>
        <w:top w:val="none" w:sz="0" w:space="0" w:color="auto"/>
        <w:left w:val="none" w:sz="0" w:space="0" w:color="auto"/>
        <w:bottom w:val="none" w:sz="0" w:space="0" w:color="auto"/>
        <w:right w:val="none" w:sz="0" w:space="0" w:color="auto"/>
      </w:divBdr>
      <w:divsChild>
        <w:div w:id="954143767">
          <w:marLeft w:val="0"/>
          <w:marRight w:val="0"/>
          <w:marTop w:val="0"/>
          <w:marBottom w:val="0"/>
          <w:divBdr>
            <w:top w:val="none" w:sz="0" w:space="0" w:color="auto"/>
            <w:left w:val="none" w:sz="0" w:space="0" w:color="auto"/>
            <w:bottom w:val="none" w:sz="0" w:space="0" w:color="auto"/>
            <w:right w:val="none" w:sz="0" w:space="0" w:color="auto"/>
          </w:divBdr>
        </w:div>
        <w:div w:id="1125806093">
          <w:marLeft w:val="0"/>
          <w:marRight w:val="0"/>
          <w:marTop w:val="0"/>
          <w:marBottom w:val="0"/>
          <w:divBdr>
            <w:top w:val="none" w:sz="0" w:space="0" w:color="auto"/>
            <w:left w:val="none" w:sz="0" w:space="0" w:color="auto"/>
            <w:bottom w:val="none" w:sz="0" w:space="0" w:color="auto"/>
            <w:right w:val="none" w:sz="0" w:space="0" w:color="auto"/>
          </w:divBdr>
        </w:div>
        <w:div w:id="1585258329">
          <w:marLeft w:val="0"/>
          <w:marRight w:val="0"/>
          <w:marTop w:val="0"/>
          <w:marBottom w:val="0"/>
          <w:divBdr>
            <w:top w:val="none" w:sz="0" w:space="0" w:color="auto"/>
            <w:left w:val="none" w:sz="0" w:space="0" w:color="auto"/>
            <w:bottom w:val="none" w:sz="0" w:space="0" w:color="auto"/>
            <w:right w:val="none" w:sz="0" w:space="0" w:color="auto"/>
          </w:divBdr>
        </w:div>
      </w:divsChild>
    </w:div>
    <w:div w:id="710421341">
      <w:bodyDiv w:val="1"/>
      <w:marLeft w:val="0"/>
      <w:marRight w:val="0"/>
      <w:marTop w:val="0"/>
      <w:marBottom w:val="0"/>
      <w:divBdr>
        <w:top w:val="none" w:sz="0" w:space="0" w:color="auto"/>
        <w:left w:val="none" w:sz="0" w:space="0" w:color="auto"/>
        <w:bottom w:val="none" w:sz="0" w:space="0" w:color="auto"/>
        <w:right w:val="none" w:sz="0" w:space="0" w:color="auto"/>
      </w:divBdr>
    </w:div>
    <w:div w:id="800612865">
      <w:bodyDiv w:val="1"/>
      <w:marLeft w:val="0"/>
      <w:marRight w:val="0"/>
      <w:marTop w:val="0"/>
      <w:marBottom w:val="0"/>
      <w:divBdr>
        <w:top w:val="none" w:sz="0" w:space="0" w:color="auto"/>
        <w:left w:val="none" w:sz="0" w:space="0" w:color="auto"/>
        <w:bottom w:val="none" w:sz="0" w:space="0" w:color="auto"/>
        <w:right w:val="none" w:sz="0" w:space="0" w:color="auto"/>
      </w:divBdr>
    </w:div>
    <w:div w:id="836651434">
      <w:bodyDiv w:val="1"/>
      <w:marLeft w:val="0"/>
      <w:marRight w:val="0"/>
      <w:marTop w:val="0"/>
      <w:marBottom w:val="0"/>
      <w:divBdr>
        <w:top w:val="none" w:sz="0" w:space="0" w:color="auto"/>
        <w:left w:val="none" w:sz="0" w:space="0" w:color="auto"/>
        <w:bottom w:val="none" w:sz="0" w:space="0" w:color="auto"/>
        <w:right w:val="none" w:sz="0" w:space="0" w:color="auto"/>
      </w:divBdr>
    </w:div>
    <w:div w:id="1075594557">
      <w:bodyDiv w:val="1"/>
      <w:marLeft w:val="0"/>
      <w:marRight w:val="0"/>
      <w:marTop w:val="0"/>
      <w:marBottom w:val="0"/>
      <w:divBdr>
        <w:top w:val="none" w:sz="0" w:space="0" w:color="auto"/>
        <w:left w:val="none" w:sz="0" w:space="0" w:color="auto"/>
        <w:bottom w:val="none" w:sz="0" w:space="0" w:color="auto"/>
        <w:right w:val="none" w:sz="0" w:space="0" w:color="auto"/>
      </w:divBdr>
    </w:div>
    <w:div w:id="1246766034">
      <w:bodyDiv w:val="1"/>
      <w:marLeft w:val="0"/>
      <w:marRight w:val="0"/>
      <w:marTop w:val="0"/>
      <w:marBottom w:val="0"/>
      <w:divBdr>
        <w:top w:val="none" w:sz="0" w:space="0" w:color="auto"/>
        <w:left w:val="none" w:sz="0" w:space="0" w:color="auto"/>
        <w:bottom w:val="none" w:sz="0" w:space="0" w:color="auto"/>
        <w:right w:val="none" w:sz="0" w:space="0" w:color="auto"/>
      </w:divBdr>
    </w:div>
    <w:div w:id="1400051617">
      <w:bodyDiv w:val="1"/>
      <w:marLeft w:val="0"/>
      <w:marRight w:val="0"/>
      <w:marTop w:val="0"/>
      <w:marBottom w:val="0"/>
      <w:divBdr>
        <w:top w:val="none" w:sz="0" w:space="0" w:color="auto"/>
        <w:left w:val="none" w:sz="0" w:space="0" w:color="auto"/>
        <w:bottom w:val="none" w:sz="0" w:space="0" w:color="auto"/>
        <w:right w:val="none" w:sz="0" w:space="0" w:color="auto"/>
      </w:divBdr>
    </w:div>
    <w:div w:id="1652709391">
      <w:bodyDiv w:val="1"/>
      <w:marLeft w:val="0"/>
      <w:marRight w:val="0"/>
      <w:marTop w:val="0"/>
      <w:marBottom w:val="0"/>
      <w:divBdr>
        <w:top w:val="none" w:sz="0" w:space="0" w:color="auto"/>
        <w:left w:val="none" w:sz="0" w:space="0" w:color="auto"/>
        <w:bottom w:val="none" w:sz="0" w:space="0" w:color="auto"/>
        <w:right w:val="none" w:sz="0" w:space="0" w:color="auto"/>
      </w:divBdr>
    </w:div>
    <w:div w:id="1652827356">
      <w:bodyDiv w:val="1"/>
      <w:marLeft w:val="0"/>
      <w:marRight w:val="0"/>
      <w:marTop w:val="0"/>
      <w:marBottom w:val="0"/>
      <w:divBdr>
        <w:top w:val="none" w:sz="0" w:space="0" w:color="auto"/>
        <w:left w:val="none" w:sz="0" w:space="0" w:color="auto"/>
        <w:bottom w:val="none" w:sz="0" w:space="0" w:color="auto"/>
        <w:right w:val="none" w:sz="0" w:space="0" w:color="auto"/>
      </w:divBdr>
    </w:div>
    <w:div w:id="1773160056">
      <w:bodyDiv w:val="1"/>
      <w:marLeft w:val="0"/>
      <w:marRight w:val="0"/>
      <w:marTop w:val="0"/>
      <w:marBottom w:val="0"/>
      <w:divBdr>
        <w:top w:val="none" w:sz="0" w:space="0" w:color="auto"/>
        <w:left w:val="none" w:sz="0" w:space="0" w:color="auto"/>
        <w:bottom w:val="none" w:sz="0" w:space="0" w:color="auto"/>
        <w:right w:val="none" w:sz="0" w:space="0" w:color="auto"/>
      </w:divBdr>
    </w:div>
    <w:div w:id="1795252034">
      <w:bodyDiv w:val="1"/>
      <w:marLeft w:val="0"/>
      <w:marRight w:val="0"/>
      <w:marTop w:val="0"/>
      <w:marBottom w:val="0"/>
      <w:divBdr>
        <w:top w:val="none" w:sz="0" w:space="0" w:color="auto"/>
        <w:left w:val="none" w:sz="0" w:space="0" w:color="auto"/>
        <w:bottom w:val="none" w:sz="0" w:space="0" w:color="auto"/>
        <w:right w:val="none" w:sz="0" w:space="0" w:color="auto"/>
      </w:divBdr>
      <w:divsChild>
        <w:div w:id="13650688">
          <w:marLeft w:val="0"/>
          <w:marRight w:val="0"/>
          <w:marTop w:val="0"/>
          <w:marBottom w:val="0"/>
          <w:divBdr>
            <w:top w:val="none" w:sz="0" w:space="0" w:color="auto"/>
            <w:left w:val="none" w:sz="0" w:space="0" w:color="auto"/>
            <w:bottom w:val="dotted" w:sz="4" w:space="0" w:color="AAA68D"/>
            <w:right w:val="none" w:sz="0" w:space="0" w:color="auto"/>
          </w:divBdr>
        </w:div>
        <w:div w:id="87508668">
          <w:marLeft w:val="0"/>
          <w:marRight w:val="0"/>
          <w:marTop w:val="0"/>
          <w:marBottom w:val="0"/>
          <w:divBdr>
            <w:top w:val="none" w:sz="0" w:space="0" w:color="auto"/>
            <w:left w:val="none" w:sz="0" w:space="0" w:color="auto"/>
            <w:bottom w:val="dotted" w:sz="4" w:space="0" w:color="AAA68D"/>
            <w:right w:val="none" w:sz="0" w:space="0" w:color="auto"/>
          </w:divBdr>
        </w:div>
        <w:div w:id="875042704">
          <w:marLeft w:val="0"/>
          <w:marRight w:val="0"/>
          <w:marTop w:val="0"/>
          <w:marBottom w:val="0"/>
          <w:divBdr>
            <w:top w:val="none" w:sz="0" w:space="0" w:color="auto"/>
            <w:left w:val="none" w:sz="0" w:space="0" w:color="auto"/>
            <w:bottom w:val="none" w:sz="0" w:space="0" w:color="auto"/>
            <w:right w:val="none" w:sz="0" w:space="0" w:color="auto"/>
          </w:divBdr>
        </w:div>
        <w:div w:id="1043674204">
          <w:marLeft w:val="0"/>
          <w:marRight w:val="0"/>
          <w:marTop w:val="0"/>
          <w:marBottom w:val="0"/>
          <w:divBdr>
            <w:top w:val="none" w:sz="0" w:space="0" w:color="auto"/>
            <w:left w:val="none" w:sz="0" w:space="0" w:color="auto"/>
            <w:bottom w:val="none" w:sz="0" w:space="0" w:color="auto"/>
            <w:right w:val="none" w:sz="0" w:space="0" w:color="auto"/>
          </w:divBdr>
        </w:div>
        <w:div w:id="1224021532">
          <w:marLeft w:val="0"/>
          <w:marRight w:val="0"/>
          <w:marTop w:val="0"/>
          <w:marBottom w:val="0"/>
          <w:divBdr>
            <w:top w:val="none" w:sz="0" w:space="0" w:color="auto"/>
            <w:left w:val="none" w:sz="0" w:space="0" w:color="auto"/>
            <w:bottom w:val="none" w:sz="0" w:space="0" w:color="auto"/>
            <w:right w:val="none" w:sz="0" w:space="0" w:color="auto"/>
          </w:divBdr>
        </w:div>
        <w:div w:id="1229612022">
          <w:marLeft w:val="0"/>
          <w:marRight w:val="0"/>
          <w:marTop w:val="0"/>
          <w:marBottom w:val="0"/>
          <w:divBdr>
            <w:top w:val="none" w:sz="0" w:space="0" w:color="auto"/>
            <w:left w:val="none" w:sz="0" w:space="0" w:color="auto"/>
            <w:bottom w:val="none" w:sz="0" w:space="0" w:color="auto"/>
            <w:right w:val="none" w:sz="0" w:space="0" w:color="auto"/>
          </w:divBdr>
        </w:div>
        <w:div w:id="1233857702">
          <w:marLeft w:val="0"/>
          <w:marRight w:val="0"/>
          <w:marTop w:val="0"/>
          <w:marBottom w:val="0"/>
          <w:divBdr>
            <w:top w:val="none" w:sz="0" w:space="0" w:color="auto"/>
            <w:left w:val="none" w:sz="0" w:space="0" w:color="auto"/>
            <w:bottom w:val="none" w:sz="0" w:space="0" w:color="auto"/>
            <w:right w:val="none" w:sz="0" w:space="0" w:color="auto"/>
          </w:divBdr>
        </w:div>
        <w:div w:id="1626623707">
          <w:marLeft w:val="0"/>
          <w:marRight w:val="0"/>
          <w:marTop w:val="0"/>
          <w:marBottom w:val="0"/>
          <w:divBdr>
            <w:top w:val="none" w:sz="0" w:space="0" w:color="auto"/>
            <w:left w:val="none" w:sz="0" w:space="0" w:color="auto"/>
            <w:bottom w:val="none" w:sz="0" w:space="0" w:color="auto"/>
            <w:right w:val="none" w:sz="0" w:space="0" w:color="auto"/>
          </w:divBdr>
        </w:div>
        <w:div w:id="1626693569">
          <w:marLeft w:val="0"/>
          <w:marRight w:val="0"/>
          <w:marTop w:val="0"/>
          <w:marBottom w:val="0"/>
          <w:divBdr>
            <w:top w:val="none" w:sz="0" w:space="0" w:color="auto"/>
            <w:left w:val="none" w:sz="0" w:space="0" w:color="auto"/>
            <w:bottom w:val="none" w:sz="0" w:space="0" w:color="auto"/>
            <w:right w:val="none" w:sz="0" w:space="0" w:color="auto"/>
          </w:divBdr>
          <w:divsChild>
            <w:div w:id="526069369">
              <w:marLeft w:val="0"/>
              <w:marRight w:val="0"/>
              <w:marTop w:val="0"/>
              <w:marBottom w:val="0"/>
              <w:divBdr>
                <w:top w:val="none" w:sz="0" w:space="0" w:color="auto"/>
                <w:left w:val="none" w:sz="0" w:space="0" w:color="auto"/>
                <w:bottom w:val="none" w:sz="0" w:space="0" w:color="auto"/>
                <w:right w:val="none" w:sz="0" w:space="0" w:color="auto"/>
              </w:divBdr>
            </w:div>
            <w:div w:id="831212717">
              <w:marLeft w:val="0"/>
              <w:marRight w:val="0"/>
              <w:marTop w:val="0"/>
              <w:marBottom w:val="0"/>
              <w:divBdr>
                <w:top w:val="none" w:sz="0" w:space="0" w:color="auto"/>
                <w:left w:val="none" w:sz="0" w:space="0" w:color="auto"/>
                <w:bottom w:val="none" w:sz="0" w:space="0" w:color="auto"/>
                <w:right w:val="none" w:sz="0" w:space="0" w:color="auto"/>
              </w:divBdr>
            </w:div>
          </w:divsChild>
        </w:div>
        <w:div w:id="1879662839">
          <w:marLeft w:val="0"/>
          <w:marRight w:val="0"/>
          <w:marTop w:val="0"/>
          <w:marBottom w:val="0"/>
          <w:divBdr>
            <w:top w:val="none" w:sz="0" w:space="0" w:color="auto"/>
            <w:left w:val="none" w:sz="0" w:space="0" w:color="auto"/>
            <w:bottom w:val="none" w:sz="0" w:space="0" w:color="auto"/>
            <w:right w:val="none" w:sz="0" w:space="0" w:color="auto"/>
          </w:divBdr>
        </w:div>
        <w:div w:id="2064254528">
          <w:marLeft w:val="0"/>
          <w:marRight w:val="0"/>
          <w:marTop w:val="0"/>
          <w:marBottom w:val="0"/>
          <w:divBdr>
            <w:top w:val="none" w:sz="0" w:space="0" w:color="auto"/>
            <w:left w:val="none" w:sz="0" w:space="0" w:color="auto"/>
            <w:bottom w:val="none" w:sz="0" w:space="0" w:color="auto"/>
            <w:right w:val="none" w:sz="0" w:space="0" w:color="auto"/>
          </w:divBdr>
        </w:div>
        <w:div w:id="2125880712">
          <w:marLeft w:val="0"/>
          <w:marRight w:val="0"/>
          <w:marTop w:val="0"/>
          <w:marBottom w:val="0"/>
          <w:divBdr>
            <w:top w:val="none" w:sz="0" w:space="0" w:color="auto"/>
            <w:left w:val="none" w:sz="0" w:space="0" w:color="auto"/>
            <w:bottom w:val="none" w:sz="0" w:space="0" w:color="auto"/>
            <w:right w:val="none" w:sz="0" w:space="0" w:color="auto"/>
          </w:divBdr>
        </w:div>
      </w:divsChild>
    </w:div>
    <w:div w:id="1825007674">
      <w:bodyDiv w:val="1"/>
      <w:marLeft w:val="0"/>
      <w:marRight w:val="0"/>
      <w:marTop w:val="0"/>
      <w:marBottom w:val="0"/>
      <w:divBdr>
        <w:top w:val="none" w:sz="0" w:space="0" w:color="auto"/>
        <w:left w:val="none" w:sz="0" w:space="0" w:color="auto"/>
        <w:bottom w:val="none" w:sz="0" w:space="0" w:color="auto"/>
        <w:right w:val="none" w:sz="0" w:space="0" w:color="auto"/>
      </w:divBdr>
    </w:div>
    <w:div w:id="1830319069">
      <w:bodyDiv w:val="1"/>
      <w:marLeft w:val="0"/>
      <w:marRight w:val="0"/>
      <w:marTop w:val="0"/>
      <w:marBottom w:val="0"/>
      <w:divBdr>
        <w:top w:val="none" w:sz="0" w:space="0" w:color="auto"/>
        <w:left w:val="none" w:sz="0" w:space="0" w:color="auto"/>
        <w:bottom w:val="none" w:sz="0" w:space="0" w:color="auto"/>
        <w:right w:val="none" w:sz="0" w:space="0" w:color="auto"/>
      </w:divBdr>
    </w:div>
    <w:div w:id="1833107973">
      <w:bodyDiv w:val="1"/>
      <w:marLeft w:val="0"/>
      <w:marRight w:val="0"/>
      <w:marTop w:val="0"/>
      <w:marBottom w:val="0"/>
      <w:divBdr>
        <w:top w:val="none" w:sz="0" w:space="0" w:color="auto"/>
        <w:left w:val="none" w:sz="0" w:space="0" w:color="auto"/>
        <w:bottom w:val="none" w:sz="0" w:space="0" w:color="auto"/>
        <w:right w:val="none" w:sz="0" w:space="0" w:color="auto"/>
      </w:divBdr>
    </w:div>
    <w:div w:id="1875925945">
      <w:bodyDiv w:val="1"/>
      <w:marLeft w:val="0"/>
      <w:marRight w:val="0"/>
      <w:marTop w:val="0"/>
      <w:marBottom w:val="0"/>
      <w:divBdr>
        <w:top w:val="none" w:sz="0" w:space="0" w:color="auto"/>
        <w:left w:val="none" w:sz="0" w:space="0" w:color="auto"/>
        <w:bottom w:val="none" w:sz="0" w:space="0" w:color="auto"/>
        <w:right w:val="none" w:sz="0" w:space="0" w:color="auto"/>
      </w:divBdr>
    </w:div>
    <w:div w:id="207632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se.jus.br/sadJudInteiroTeor/pesquisa/actionGetBinary.do?tribunal=TSE&amp;processoNumero=123547&amp;processoClasse=AI&amp;decisaoData=20101216&amp;decisaoNumer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se.jus.br/sadJudInteiroTeor/pesquisa/actionGetBinary.do?tribunal=TSE&amp;processoNumero=123547&amp;processoClasse=AI&amp;decisaoData=20101216&amp;decisaoNumer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166EB-A37E-4595-954A-3D322188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9634</Words>
  <Characters>52024</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O presente estudo tem por objetivo analisar o prequestionamento, enquanto requisito para admissão dos recursos excepcionais, e a utilização dos embargos de declaração chamados prequestionadores, tendo em vista especialmente o Projeto do Novo Código de Pr</vt:lpstr>
    </vt:vector>
  </TitlesOfParts>
  <Company/>
  <LinksUpToDate>false</LinksUpToDate>
  <CharactersWithSpaces>61535</CharactersWithSpaces>
  <SharedDoc>false</SharedDoc>
  <HLinks>
    <vt:vector size="12" baseType="variant">
      <vt:variant>
        <vt:i4>5636173</vt:i4>
      </vt:variant>
      <vt:variant>
        <vt:i4>0</vt:i4>
      </vt:variant>
      <vt:variant>
        <vt:i4>0</vt:i4>
      </vt:variant>
      <vt:variant>
        <vt:i4>5</vt:i4>
      </vt:variant>
      <vt:variant>
        <vt:lpwstr>http://www.tse.jus.br/sadJudInteiroTeor/pesquisa/actionGetBinary.do?tribunal=TSE&amp;processoNumero=123547&amp;processoClasse=AI&amp;decisaoData=20101216&amp;decisaoNumero=</vt:lpwstr>
      </vt:variant>
      <vt:variant>
        <vt:lpwstr/>
      </vt:variant>
      <vt:variant>
        <vt:i4>5636173</vt:i4>
      </vt:variant>
      <vt:variant>
        <vt:i4>0</vt:i4>
      </vt:variant>
      <vt:variant>
        <vt:i4>0</vt:i4>
      </vt:variant>
      <vt:variant>
        <vt:i4>5</vt:i4>
      </vt:variant>
      <vt:variant>
        <vt:lpwstr>http://www.tse.jus.br/sadJudInteiroTeor/pesquisa/actionGetBinary.do?tribunal=TSE&amp;processoNumero=123547&amp;processoClasse=AI&amp;decisaoData=20101216&amp;decisaoNumero=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presente estudo tem por objetivo analisar o prequestionamento, enquanto requisito para admissão dos recursos excepcionais, e a utilização dos embargos de declaração chamados prequestionadores, tendo em vista especialmente o Projeto do Novo Código de Pr</dc:title>
  <dc:creator>Toshiba</dc:creator>
  <cp:lastModifiedBy>Feriani</cp:lastModifiedBy>
  <cp:revision>5</cp:revision>
  <cp:lastPrinted>2013-03-04T13:34:00Z</cp:lastPrinted>
  <dcterms:created xsi:type="dcterms:W3CDTF">2015-09-06T22:06:00Z</dcterms:created>
  <dcterms:modified xsi:type="dcterms:W3CDTF">2015-09-06T22:08:00Z</dcterms:modified>
</cp:coreProperties>
</file>