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BE" w:rsidRDefault="00BB251C" w:rsidP="00370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TUTELA ANTECIPADA E MEDIDA CAUTELAR</w:t>
      </w:r>
      <w:r w:rsidR="00EF10D6" w:rsidRPr="003F5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 Possibilidades e Limites da Fungibilidade dos Institutos Processuais</w:t>
      </w:r>
      <w:r w:rsidRPr="003F5D23">
        <w:rPr>
          <w:rStyle w:val="Refdenotaderodap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1"/>
      </w:r>
      <w:r w:rsidR="00EF10D6" w:rsidRPr="003F5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F5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E942C4" w:rsidRDefault="00E942C4" w:rsidP="00E942C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942C4" w:rsidRPr="00370B03" w:rsidRDefault="00E942C4" w:rsidP="00E942C4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B251C" w:rsidRPr="003F5D23" w:rsidRDefault="00BB251C" w:rsidP="00370B03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Débora Costa Sousa Barros</w:t>
      </w:r>
      <w:r w:rsidRPr="003F5D23">
        <w:rPr>
          <w:rStyle w:val="Refdenotaderodap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footnoteReference w:id="2"/>
      </w:r>
    </w:p>
    <w:p w:rsidR="00D348BB" w:rsidRPr="003F5D23" w:rsidRDefault="00D348BB" w:rsidP="00370B03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i/>
          <w:color w:val="000000" w:themeColor="text1"/>
          <w:sz w:val="24"/>
        </w:rPr>
        <w:t>Larissa Oliveira Coelho</w:t>
      </w:r>
      <w:r w:rsidRPr="003F5D23">
        <w:rPr>
          <w:rStyle w:val="Refdenotaderodap"/>
          <w:rFonts w:ascii="Times New Roman" w:hAnsi="Times New Roman" w:cs="Times New Roman"/>
          <w:i/>
          <w:color w:val="000000" w:themeColor="text1"/>
          <w:sz w:val="24"/>
        </w:rPr>
        <w:footnoteReference w:id="3"/>
      </w:r>
    </w:p>
    <w:p w:rsidR="00746DBE" w:rsidRDefault="00BB251C" w:rsidP="00370B03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3F5D2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Hugo Passos</w:t>
      </w:r>
      <w:r w:rsidRPr="003F5D23">
        <w:rPr>
          <w:rStyle w:val="Refdenotaderodap"/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footnoteReference w:id="4"/>
      </w:r>
    </w:p>
    <w:p w:rsidR="00E942C4" w:rsidRDefault="00E942C4" w:rsidP="00E942C4">
      <w:pPr>
        <w:spacing w:after="0" w:line="360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E942C4" w:rsidRPr="00370B03" w:rsidRDefault="00E942C4" w:rsidP="00E942C4">
      <w:pPr>
        <w:spacing w:after="0"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EB3B83" w:rsidRPr="00370B03" w:rsidRDefault="00D348BB" w:rsidP="00370B03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Sumário: </w:t>
      </w:r>
      <w:r w:rsidR="001A27B1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Introdução; </w:t>
      </w:r>
      <w:proofErr w:type="gramStart"/>
      <w:r w:rsidR="001A27B1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proofErr w:type="gramEnd"/>
      <w:r w:rsidR="001A27B1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911ED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Efetiva</w:t>
      </w:r>
      <w:r w:rsidR="001A27B1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tutela de direito por meio do processo</w:t>
      </w:r>
      <w:r w:rsidR="005F525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556D5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1.1 Flexibilização procedimental como direito à tutela jurisdicional efetiva; 1.2 A </w:t>
      </w:r>
      <w:r w:rsidR="00B911ED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técnica </w:t>
      </w:r>
      <w:r w:rsidR="002C612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processual </w:t>
      </w:r>
      <w:r w:rsidR="00B911ED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da cognição</w:t>
      </w:r>
      <w:r w:rsidR="00B420FE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101A">
        <w:rPr>
          <w:rFonts w:ascii="Times New Roman" w:hAnsi="Times New Roman" w:cs="Times New Roman"/>
          <w:color w:val="000000" w:themeColor="text1"/>
          <w:sz w:val="20"/>
          <w:szCs w:val="20"/>
        </w:rPr>
        <w:t>sumária</w:t>
      </w:r>
      <w:r w:rsidR="007556D5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proofErr w:type="gramStart"/>
      <w:r w:rsidR="001A27B1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proofErr w:type="gramEnd"/>
      <w:r w:rsidR="001A27B1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F525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introdução da Tutela Antecipada no direito processual brasileiro; </w:t>
      </w:r>
      <w:proofErr w:type="gramStart"/>
      <w:r w:rsidR="005F525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2.1 Antecipad</w:t>
      </w:r>
      <w:r w:rsidR="00BD3A00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="00BD3A00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Cautelar: Funções distintas; 2.2. </w:t>
      </w:r>
      <w:r w:rsidR="005F525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Fungibilidade da Antecipada pela Cautelar; </w:t>
      </w:r>
      <w:proofErr w:type="gramStart"/>
      <w:r w:rsidR="00BD3A00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proofErr w:type="gramEnd"/>
      <w:r w:rsidR="005F525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. Fungibilidade de mão</w:t>
      </w:r>
      <w:r w:rsidR="007556D5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dupla</w:t>
      </w:r>
      <w:r w:rsidR="002C6126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os graus de cognição</w:t>
      </w:r>
      <w:r w:rsidR="007556D5"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Conclusão; Referências. </w:t>
      </w:r>
    </w:p>
    <w:p w:rsidR="00E942C4" w:rsidRDefault="00E942C4" w:rsidP="00E942C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2C4" w:rsidRDefault="00E942C4" w:rsidP="00E942C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2C4" w:rsidRDefault="00BB251C" w:rsidP="00E942C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E942C4" w:rsidRPr="00E942C4" w:rsidRDefault="00E942C4" w:rsidP="00E942C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27B1" w:rsidRPr="003F5D23" w:rsidRDefault="001A27B1" w:rsidP="00E942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trabalho tem como preocupação a efetiva tutela jurisdicional por meio do processo, </w:t>
      </w:r>
      <w:r w:rsidR="00417669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que, contraditoriamente, pode ser comprometida tanto pela escolha do procedimento equivocado</w:t>
      </w:r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isto é, por critérios de rigidez procedimental, quanto pela </w:t>
      </w:r>
      <w:proofErr w:type="gramStart"/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 w:rsidR="00417669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do mesmo</w:t>
      </w:r>
      <w:r w:rsidR="00417669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Investigando se é a rigidez ou a flexibilidade do procedimento que proporciona o direito à tutela efetiva, utilizará </w:t>
      </w:r>
      <w:r w:rsidR="00417669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como objeto</w:t>
      </w:r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17669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institutos processuais da Tutela Antecipada e d</w:t>
      </w:r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a Medida Cautelar;</w:t>
      </w:r>
      <w:r w:rsidR="00417669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analisá-los-á destacando suas finalidades e cabimento; e evidenciará a razão da dificuldade de distinção entre amb</w:t>
      </w:r>
      <w:r w:rsidR="00EF10D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os que se dá na prática forense, motivo pelo qual foi introduzida no Código de Processo Civil brasileiro a fungibilidade de um instrumento pelo outro.</w:t>
      </w:r>
    </w:p>
    <w:p w:rsidR="00EB3B83" w:rsidRDefault="00EB3B83" w:rsidP="00370B0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6DBE" w:rsidRDefault="00EF10D6" w:rsidP="00370B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Palavras-chave: </w:t>
      </w:r>
      <w:r w:rsidR="00910121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Tutela. </w:t>
      </w:r>
      <w:proofErr w:type="gramStart"/>
      <w:r w:rsidR="00910121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 w:rsidR="00910121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Antecipada. Cautelar. Fungibilidade. </w:t>
      </w:r>
    </w:p>
    <w:p w:rsidR="00EB3B83" w:rsidRPr="00EB3B83" w:rsidRDefault="00EB3B83" w:rsidP="00EB3B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DBE" w:rsidRDefault="00746D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0D6" w:rsidRPr="003F5D23" w:rsidRDefault="00BB2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5F5256" w:rsidRPr="003F5D23" w:rsidRDefault="005F5256" w:rsidP="00EF10D6">
      <w:pPr>
        <w:pStyle w:val="Default"/>
        <w:spacing w:line="360" w:lineRule="auto"/>
        <w:ind w:firstLine="1134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F10D6" w:rsidRPr="003F5D23" w:rsidRDefault="005F5256" w:rsidP="00746DBE">
      <w:pPr>
        <w:pStyle w:val="Default"/>
        <w:spacing w:after="100"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5D23">
        <w:rPr>
          <w:rFonts w:ascii="Times New Roman" w:hAnsi="Times New Roman" w:cs="Times New Roman"/>
          <w:bCs/>
          <w:color w:val="000000" w:themeColor="text1"/>
        </w:rPr>
        <w:t xml:space="preserve">Devido à proibição da autotutela, para que um sujeito seja efetivamente titular de um direito material, faz-se necessário que ele tenha uma forma de tutela que seja adequada à </w:t>
      </w:r>
      <w:r w:rsidRPr="003F5D23">
        <w:rPr>
          <w:rFonts w:ascii="Times New Roman" w:hAnsi="Times New Roman" w:cs="Times New Roman"/>
          <w:bCs/>
          <w:color w:val="000000" w:themeColor="text1"/>
        </w:rPr>
        <w:lastRenderedPageBreak/>
        <w:t xml:space="preserve">sua proteção. Entretanto, o rito ordinário encontrado no Código de Processo Civil </w:t>
      </w:r>
      <w:r w:rsidR="007829B1" w:rsidRPr="003F5D23">
        <w:rPr>
          <w:rFonts w:ascii="Times New Roman" w:hAnsi="Times New Roman" w:cs="Times New Roman"/>
          <w:bCs/>
          <w:color w:val="000000" w:themeColor="text1"/>
        </w:rPr>
        <w:t xml:space="preserve">de 1973 </w:t>
      </w:r>
      <w:r w:rsidR="007556D5" w:rsidRPr="003F5D23">
        <w:rPr>
          <w:rFonts w:ascii="Times New Roman" w:hAnsi="Times New Roman" w:cs="Times New Roman"/>
          <w:bCs/>
          <w:color w:val="000000" w:themeColor="text1"/>
        </w:rPr>
        <w:t xml:space="preserve">(CPC/73) </w:t>
      </w:r>
      <w:r w:rsidRPr="003F5D23">
        <w:rPr>
          <w:rFonts w:ascii="Times New Roman" w:hAnsi="Times New Roman" w:cs="Times New Roman"/>
          <w:bCs/>
          <w:color w:val="000000" w:themeColor="text1"/>
        </w:rPr>
        <w:t>mostrava-se insuficientemente dotado de procedimentos aptos a uma não só adequada, mas também célere tutela jurisdicional, o que inviabilizava a satisfação efetiva de casos concretos que, por exemplo, necessitavam de antecipação dos ef</w:t>
      </w:r>
      <w:r w:rsidR="001A31FE">
        <w:rPr>
          <w:rFonts w:ascii="Times New Roman" w:hAnsi="Times New Roman" w:cs="Times New Roman"/>
          <w:bCs/>
          <w:color w:val="000000" w:themeColor="text1"/>
        </w:rPr>
        <w:t>eitos de uma provável sentença.</w:t>
      </w:r>
    </w:p>
    <w:p w:rsidR="00EF10D6" w:rsidRPr="003F5D23" w:rsidRDefault="005F5256" w:rsidP="00746DBE">
      <w:pPr>
        <w:pStyle w:val="Default"/>
        <w:spacing w:after="100"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5D23">
        <w:rPr>
          <w:rFonts w:ascii="Times New Roman" w:hAnsi="Times New Roman" w:cs="Times New Roman"/>
          <w:bCs/>
          <w:color w:val="000000" w:themeColor="text1"/>
        </w:rPr>
        <w:t xml:space="preserve">A Tutela Antecipada, introduzida posteriormente à edição do </w:t>
      </w:r>
      <w:r w:rsidR="007556D5" w:rsidRPr="003F5D23">
        <w:rPr>
          <w:rFonts w:ascii="Times New Roman" w:hAnsi="Times New Roman" w:cs="Times New Roman"/>
          <w:bCs/>
          <w:color w:val="000000" w:themeColor="text1"/>
        </w:rPr>
        <w:t>CPC/73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, foi capaz de vislumbrar essa necessidade de jurisdição efetiva, pois abriu possibilidades para a realização antecipada e necessária dos direitos em casos em que haja fundado receio de dano irreparável ou de difícil reparação, bem como nos em que haja abuso de direito de defesa e parcela incontroversa da demanda. </w:t>
      </w:r>
    </w:p>
    <w:p w:rsidR="005F5256" w:rsidRPr="003F5D23" w:rsidRDefault="007829B1" w:rsidP="00746DBE">
      <w:pPr>
        <w:pStyle w:val="Default"/>
        <w:spacing w:after="100"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5D23">
        <w:rPr>
          <w:rFonts w:ascii="Times New Roman" w:hAnsi="Times New Roman" w:cs="Times New Roman"/>
          <w:bCs/>
          <w:color w:val="000000" w:themeColor="text1"/>
        </w:rPr>
        <w:t>Antes</w:t>
      </w:r>
      <w:r w:rsidR="005F5256" w:rsidRPr="003F5D23">
        <w:rPr>
          <w:rFonts w:ascii="Times New Roman" w:hAnsi="Times New Roman" w:cs="Times New Roman"/>
          <w:bCs/>
          <w:color w:val="000000" w:themeColor="text1"/>
        </w:rPr>
        <w:t xml:space="preserve"> da sua introdução no ordenamento jurídico,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 entretanto,</w:t>
      </w:r>
      <w:r w:rsidR="005F5256" w:rsidRPr="003F5D23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="007556D5" w:rsidRPr="003F5D23">
        <w:rPr>
          <w:rFonts w:ascii="Times New Roman" w:hAnsi="Times New Roman" w:cs="Times New Roman"/>
          <w:bCs/>
          <w:color w:val="000000" w:themeColor="text1"/>
        </w:rPr>
        <w:t>flexibilizava</w:t>
      </w:r>
      <w:proofErr w:type="gramEnd"/>
      <w:r w:rsidR="007556D5" w:rsidRPr="003F5D23">
        <w:rPr>
          <w:rFonts w:ascii="Times New Roman" w:hAnsi="Times New Roman" w:cs="Times New Roman"/>
          <w:bCs/>
          <w:color w:val="000000" w:themeColor="text1"/>
        </w:rPr>
        <w:t xml:space="preserve">-se o CPC e </w:t>
      </w:r>
      <w:r w:rsidR="005F5256" w:rsidRPr="003F5D23">
        <w:rPr>
          <w:rFonts w:ascii="Times New Roman" w:hAnsi="Times New Roman" w:cs="Times New Roman"/>
          <w:bCs/>
          <w:color w:val="000000" w:themeColor="text1"/>
        </w:rPr>
        <w:t>utilizava-se na prática forense a Medida Cautelar – e diga-se que equivocadamente – no intu</w:t>
      </w:r>
      <w:r w:rsidR="001A31FE">
        <w:rPr>
          <w:rFonts w:ascii="Times New Roman" w:hAnsi="Times New Roman" w:cs="Times New Roman"/>
          <w:bCs/>
          <w:color w:val="000000" w:themeColor="text1"/>
        </w:rPr>
        <w:t>ito de salvaguardar situações</w:t>
      </w:r>
      <w:r w:rsidR="005F5256" w:rsidRPr="003F5D23">
        <w:rPr>
          <w:rFonts w:ascii="Times New Roman" w:hAnsi="Times New Roman" w:cs="Times New Roman"/>
          <w:bCs/>
          <w:color w:val="000000" w:themeColor="text1"/>
        </w:rPr>
        <w:t xml:space="preserve"> que a Antecipada veio posteriormente a abranger. A Cautelar, contudo, não se prestava a esses fins, razão pela qual era uma prática equivocada e que poderia comprometer a efetiva tutela jurisdicional.</w:t>
      </w:r>
    </w:p>
    <w:p w:rsidR="005F5256" w:rsidRPr="003F5D23" w:rsidRDefault="005F5256" w:rsidP="00746DBE">
      <w:pPr>
        <w:pStyle w:val="Default"/>
        <w:spacing w:after="100"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5D23">
        <w:rPr>
          <w:rFonts w:ascii="Times New Roman" w:hAnsi="Times New Roman" w:cs="Times New Roman"/>
          <w:bCs/>
          <w:color w:val="000000" w:themeColor="text1"/>
        </w:rPr>
        <w:t xml:space="preserve">Pelo fato de que a Antecipada e a </w:t>
      </w:r>
      <w:r w:rsidR="00910121" w:rsidRPr="003F5D23">
        <w:rPr>
          <w:rFonts w:ascii="Times New Roman" w:hAnsi="Times New Roman" w:cs="Times New Roman"/>
          <w:bCs/>
          <w:color w:val="000000" w:themeColor="text1"/>
        </w:rPr>
        <w:t>Cautelar possuem finalidades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 específicas e distintas, não haveria qualquer razão para que, quando da posterior inclusão da Antecipada no ordenamento, continuassem a utilizar a Cautelar – repita-se que equivocadamente –, para obter o resultado que a Antecipada proporcionaria</w:t>
      </w:r>
      <w:r w:rsidR="006D7BF3">
        <w:rPr>
          <w:rFonts w:ascii="Times New Roman" w:hAnsi="Times New Roman" w:cs="Times New Roman"/>
          <w:bCs/>
          <w:color w:val="000000" w:themeColor="text1"/>
        </w:rPr>
        <w:t>, e vice-versa.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 Não foi o que ocorreu, porém. </w:t>
      </w:r>
    </w:p>
    <w:p w:rsidR="00EF10D6" w:rsidRPr="003F5D23" w:rsidRDefault="00EF10D6" w:rsidP="00EE61FA">
      <w:pPr>
        <w:pStyle w:val="Default"/>
        <w:jc w:val="both"/>
        <w:rPr>
          <w:b/>
          <w:bCs/>
          <w:color w:val="000000" w:themeColor="text1"/>
        </w:rPr>
      </w:pPr>
    </w:p>
    <w:p w:rsidR="005F5256" w:rsidRPr="003F5D23" w:rsidRDefault="005F5256" w:rsidP="00EF10D6">
      <w:pPr>
        <w:pStyle w:val="Default"/>
        <w:jc w:val="both"/>
        <w:rPr>
          <w:b/>
          <w:bCs/>
          <w:color w:val="000000" w:themeColor="text1"/>
        </w:rPr>
      </w:pPr>
    </w:p>
    <w:p w:rsidR="005F5256" w:rsidRPr="003F5D23" w:rsidRDefault="005F5256" w:rsidP="00B911E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911ED"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EFETIVA TUTELA DO DIREITO POR MEIO DO PROCESSO</w:t>
      </w:r>
    </w:p>
    <w:p w:rsidR="00B911ED" w:rsidRPr="003F5D23" w:rsidRDefault="00B911ED" w:rsidP="00B911E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Uma das preocupações mais significativas dos processualistas contemporâneos, segundo Watanabe (2012), é a da efetividade do processo como instrumento da tutela de direitos. Marinoni (2011), nesse sentido, explica que essa preocupação está fundada na concepção de que a titularidade de um direito fica na dependência de que lhe seja garantida a disponibilidade de uma forma de tutela que seja adequada à necessidade da sua proteção. Para o autor, não há apenas o direito de ação, mas sim o “direito à ação adequada à tutela do direito material a qual pode ser construída conforme as nece</w:t>
      </w:r>
      <w:r w:rsidR="00122593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ssidades do caso concreto” (2011,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p. 28).</w:t>
      </w:r>
    </w:p>
    <w:p w:rsidR="00B911ED" w:rsidRPr="003F5D23" w:rsidRDefault="00B911ED" w:rsidP="00072A0A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Ora, se é inquestionável que o autor tem o direito de exercer a pretensão à tutela jurisdicional do direito através da ação, é evidente o seu direito de exercer a ação processual que lhe permita obter a tutela jurisdicional do direito. Quer dizer que o autor </w:t>
      </w:r>
      <w:proofErr w:type="gramStart"/>
      <w:r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tem,</w:t>
      </w:r>
      <w:proofErr w:type="gramEnd"/>
      <w:r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ao lado do direito à tutela jurisdicional do direito decorrente do próprio </w:t>
      </w:r>
      <w:r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direito material, o direito à ação adequada à tutela do direito (ou direito à tutela jurisdicional efetiva) garantido pelo art. 5º, XXXV da CF. Portanto, tem os direitos de influir sobre o convencimento do juiz e de utilizar as técnicas processuais capazes de permitir a efetiva tutela do direito material (MARINONI, 2011, p. 27). </w:t>
      </w:r>
    </w:p>
    <w:p w:rsidR="00746DBE" w:rsidRDefault="00746DBE" w:rsidP="00746DBE">
      <w:pPr>
        <w:spacing w:before="200"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2A0A" w:rsidRPr="003F5D23" w:rsidRDefault="00072A0A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a análise da </w:t>
      </w:r>
      <w:r w:rsidR="00411043">
        <w:rPr>
          <w:rFonts w:ascii="Times New Roman" w:hAnsi="Times New Roman" w:cs="Times New Roman"/>
          <w:color w:val="000000" w:themeColor="text1"/>
          <w:sz w:val="24"/>
          <w:szCs w:val="24"/>
        </w:rPr>
        <w:t>questão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aduz Watanabe (2012) que existem duas perspectivas desenvolvidas em busca da maior aproximação entre o direito material e o direito processual. A primeira perspectiva é a de </w:t>
      </w:r>
      <w:r w:rsidRPr="003F5D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direito material,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propõe que a cada ação de direito material, corresponde, de ordinário, uma “ação” de direito processual e uma pretensão processual. Dessa forma, o processo seria um bem aderente ao direito material, pois a pretensão processual estaria perfeitamente ajustada à peculiaridade e à exigência da pretensão material. </w:t>
      </w:r>
    </w:p>
    <w:p w:rsidR="00FC3412" w:rsidRPr="003F5D23" w:rsidRDefault="00072A0A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segunda perspectiva é a de </w:t>
      </w:r>
      <w:r w:rsidRPr="003F5D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direito processual,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que, segundo Watanabe (2012), procura aprofundar os estudos dos vários institutos e técnicas processuais, no intuito de buscar a melhor tutela dos direitos por meio do processo. </w:t>
      </w:r>
      <w:r w:rsidR="00FC3412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2C6126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o autor,</w:t>
      </w:r>
      <w:r w:rsidR="00910121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todavia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, ambas as perspectivas são igualmente relevantes</w:t>
      </w:r>
      <w:r w:rsidR="00FC3412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têm um objetivo comum: a tutela efetiva de todos os direitos. </w:t>
      </w:r>
    </w:p>
    <w:p w:rsidR="002C6126" w:rsidRDefault="00FC3412" w:rsidP="002C6126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5D23">
        <w:rPr>
          <w:rFonts w:ascii="Times New Roman" w:hAnsi="Times New Roman" w:cs="Times New Roman"/>
          <w:color w:val="000000" w:themeColor="text1"/>
          <w:sz w:val="20"/>
          <w:szCs w:val="20"/>
        </w:rPr>
        <w:t>Se de um lado há exigências próprias do direito material por uma adequada tutela, há de outro as técnicas e soluções específicas do direito processual, não somente quanto à natureza do provimento, como também no tocante à duração do processo, à eventual antecipação da tutela, à intensidade e amplitude da cognição, e a muitos outros aspectos (WATANABE, 2012, p. 24).</w:t>
      </w:r>
    </w:p>
    <w:p w:rsidR="006350D2" w:rsidRDefault="006350D2" w:rsidP="00B911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6126" w:rsidRPr="00746DBE" w:rsidRDefault="002C6126" w:rsidP="00B911E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 </w:t>
      </w:r>
      <w:proofErr w:type="gramStart"/>
      <w:r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FLEXIBILIZAÇÃO</w:t>
      </w:r>
      <w:proofErr w:type="gramEnd"/>
      <w:r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PROCEDIMENTAL COMO DIREITO À TUTELA JURISDICIONAL EFETIVA.</w:t>
      </w:r>
      <w:r w:rsidR="00C74CA6"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350D2" w:rsidRPr="006350D2" w:rsidRDefault="006350D2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já afirmado anteriormente, na visão de Watanabe (2012), tanto a perspectivas de </w:t>
      </w:r>
      <w:r w:rsidRPr="006350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direito material </w:t>
      </w: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quanto a perspectiva de </w:t>
      </w:r>
      <w:r w:rsidRPr="006350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direito processual</w:t>
      </w:r>
      <w:r w:rsidR="00411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relevantes </w:t>
      </w:r>
      <w:r w:rsidR="00C507E4">
        <w:rPr>
          <w:rFonts w:ascii="Times New Roman" w:hAnsi="Times New Roman" w:cs="Times New Roman"/>
          <w:color w:val="000000" w:themeColor="text1"/>
          <w:sz w:val="24"/>
          <w:szCs w:val="24"/>
        </w:rPr>
        <w:t>e estão atreladas</w:t>
      </w: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Todavia, como o Poder Judiciário pode </w:t>
      </w:r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>atuar</w:t>
      </w: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diante da omissão </w:t>
      </w:r>
      <w:r w:rsidR="00302746">
        <w:rPr>
          <w:rFonts w:ascii="Times New Roman" w:hAnsi="Times New Roman" w:cs="Times New Roman"/>
          <w:color w:val="000000" w:themeColor="text1"/>
          <w:sz w:val="24"/>
          <w:szCs w:val="24"/>
        </w:rPr>
        <w:t>legislativa de conceber</w:t>
      </w: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>, para cada ação de direito material, uma correspondência de ação de direito processual e uma pretensão processual (</w:t>
      </w:r>
      <w:r w:rsidRPr="006350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perspectiva material), </w:t>
      </w: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>ou quando não regula as técnicas e soluções específicas do direito processual (</w:t>
      </w:r>
      <w:r w:rsidRPr="003027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perspectiva processual</w:t>
      </w:r>
      <w:r w:rsidRPr="006350D2">
        <w:rPr>
          <w:rFonts w:ascii="Times New Roman" w:hAnsi="Times New Roman" w:cs="Times New Roman"/>
          <w:color w:val="000000" w:themeColor="text1"/>
          <w:sz w:val="24"/>
          <w:szCs w:val="24"/>
        </w:rPr>
        <w:t>)?</w:t>
      </w:r>
    </w:p>
    <w:p w:rsidR="006350D2" w:rsidRDefault="00302746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Gajardoni (2008) aduz que, c</w:t>
      </w:r>
      <w:r w:rsidR="006350D2">
        <w:rPr>
          <w:rFonts w:ascii="Times New Roman" w:hAnsi="Times New Roman" w:cs="Times New Roman"/>
          <w:color w:val="000000" w:themeColor="text1"/>
          <w:sz w:val="24"/>
          <w:szCs w:val="24"/>
        </w:rPr>
        <w:t>onforme o entendimento da maioria da doutrina, as normas de direito processual, em regra, são de ordem pública e cogentes, 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pecialmente quando tratam de forma ou de prazos, “e assim é porque o procedimento, no direito processual eminentemente publicístico como o atual, atende, sobretudo, a interesses públicos” (p. 80). P</w:t>
      </w:r>
      <w:r w:rsidR="00C50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doutrina tradicional, não há como a parte ou o juiz, conforme sua conveniência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pessoa, dispor de um rito;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atuação 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t>jurisdicional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seguir um procedimento rígido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definido em lei. Assim, a adaptação d</w:t>
      </w:r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>o procedimento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magistrado ao caso concreto seria incabível,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diante de uma omissão legislativa, o Judiciário teria de se conter em u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t>tilizar as regra</w:t>
      </w:r>
      <w:r w:rsidR="001E35C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32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 existentes. </w:t>
      </w:r>
    </w:p>
    <w:p w:rsidR="00A22736" w:rsidRDefault="00C507E4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>Certamente</w:t>
      </w:r>
      <w:r w:rsidR="00A22736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procedimento rígido é um fato de segurança e previsibilidade do sistema. “Desde Montesquieu já se ouve referência de que as formalidades da justiça são necessárias à liberdade, pois, sem elas, não há como se controlar a atividade judicial, evitar o arbítrio </w:t>
      </w:r>
      <w:r w:rsidR="00CD54E9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>e tampouco se permitir um processo com julgamento justo”, comenta Gajardoni (2008, p. 82)</w:t>
      </w:r>
      <w:r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e diz </w:t>
      </w:r>
      <w:r w:rsidR="001E35CE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ainda </w:t>
      </w:r>
      <w:r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autor que, por isso, legislador estipulou exigências técnicas a regras legais e subordinou a eficácia dos atos processuais à observância dos requisitos de forma. </w:t>
      </w:r>
      <w:r w:rsidR="002A7345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>Nesse sentido</w:t>
      </w:r>
      <w:r w:rsidR="001E35CE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esses requisitos seriam formalidades que presidiriam todo o processo, e indispensáveis para </w:t>
      </w:r>
      <w:r w:rsidR="002A7345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>o cumprimento integral</w:t>
      </w:r>
      <w:r w:rsidR="001E35CE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345" w:rsidRPr="002A734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prestação jurisdicional. </w:t>
      </w:r>
    </w:p>
    <w:p w:rsidR="001E35CE" w:rsidRDefault="001E35CE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para a doutrina tradicional, os atos processuais devem estar previstos expressamente em lei, </w:t>
      </w:r>
      <w:r w:rsidR="002A734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pois</w:t>
      </w:r>
      <w:r w:rsidR="002A7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previsibilidade e a anterioridade do procedimento é que conferem à decisão judicial os penhores de legalidade e legitimidade, sendo dele requisitos inafastáveis” (GAJARDONI, 2008, p. 83</w:t>
      </w:r>
      <w:proofErr w:type="gramStart"/>
      <w:r w:rsidR="002A73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="002A734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32167" w:rsidRDefault="00E91144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Apesar da concepção </w:t>
      </w:r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>da doutrina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clássica</w:t>
      </w:r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foi responsável pela construção de um sistema processual </w:t>
      </w:r>
      <w:r w:rsidR="00C76905">
        <w:rPr>
          <w:rFonts w:ascii="Times New Roman" w:hAnsi="Times New Roman" w:cs="Times New Roman"/>
          <w:color w:val="000000" w:themeColor="text1"/>
          <w:sz w:val="24"/>
          <w:szCs w:val="24"/>
        </w:rPr>
        <w:t>moldado com rigidez,</w:t>
      </w:r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entendimento doutrinário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está sendo </w:t>
      </w:r>
      <w:r w:rsidR="00C76905">
        <w:rPr>
          <w:rFonts w:ascii="Times New Roman" w:hAnsi="Times New Roman" w:cs="Times New Roman"/>
          <w:color w:val="000000" w:themeColor="text1"/>
          <w:sz w:val="24"/>
          <w:szCs w:val="24"/>
        </w:rPr>
        <w:t>desenvolvido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atualmente </w:t>
      </w:r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de que é e possível </w:t>
      </w:r>
      <w:proofErr w:type="gramStart"/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>flexibilizar</w:t>
      </w:r>
      <w:proofErr w:type="gramEnd"/>
      <w:r w:rsidR="00A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procedimento sem perder a previsib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ilidade e segurança do sistema, atribuindo maior destaque para o princípio da instrumentalidade das formas.</w:t>
      </w:r>
    </w:p>
    <w:p w:rsidR="00353D5F" w:rsidRDefault="00353D5F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Expliquemos melhor. </w:t>
      </w:r>
    </w:p>
    <w:p w:rsidR="00786051" w:rsidRDefault="00786051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Segundo Gajardoni (2008), é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cediço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>pela índole do nosso sistema processual rígido, as normas do procedimento só podem ser adaptadas à tutela do direito material por força de disposição legal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Em contrapartida, o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processo legislativo demanda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é 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>incompatível com a ânsia pela tutela adequada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Dessa forma, </w:t>
      </w:r>
      <w:r w:rsidR="00337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aduz a moderna doutrina que, </w:t>
      </w:r>
      <w:r w:rsidR="0035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inexistindo adequação procedimental no plano normativo, </w:t>
      </w:r>
      <w:r w:rsidRPr="00337E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 variações rituais podem ser autorizadas judicialmente</w:t>
      </w:r>
      <w:r w:rsidR="00337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37EBB" w:rsidRDefault="00337EBB" w:rsidP="00337EBB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7EBB">
        <w:rPr>
          <w:rFonts w:ascii="Times New Roman" w:hAnsi="Times New Roman" w:cs="Times New Roman"/>
          <w:color w:val="000000" w:themeColor="text1"/>
          <w:sz w:val="20"/>
          <w:szCs w:val="20"/>
        </w:rPr>
        <w:t>O legislador não consegue prever todas as situações para o presente e para o futuro, pois o direito é dinâmico e está em constante movimento, acompanhando a evolução da vida social, que traz em si novos fatos e novos conflitos. Tal estado de coisas provoca a existência de situações não previstas de modo específico pelo legislador e que reclamam solução por parte do juiz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(GONÇALVES, 2013, p.70). </w:t>
      </w:r>
    </w:p>
    <w:p w:rsidR="00337EBB" w:rsidRPr="00337EBB" w:rsidRDefault="00337EBB" w:rsidP="00746DBE">
      <w:pPr>
        <w:spacing w:after="100" w:line="240" w:lineRule="auto"/>
        <w:ind w:left="226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37EBB" w:rsidRDefault="00786051" w:rsidP="00746DBE">
      <w:pPr>
        <w:spacing w:after="10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Ora, pelo princípio constitucional do direito processual da inafastabilidade do controle jurisdicional</w:t>
      </w:r>
      <w:r w:rsidR="00337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juiz </w:t>
      </w:r>
      <w:r w:rsidR="005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pode eximir-se de </w:t>
      </w:r>
      <w:r w:rsidR="00337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prestar sua tutela </w:t>
      </w:r>
      <w:r w:rsidR="005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 o pretexto de que a </w:t>
      </w:r>
      <w:r w:rsidR="00593A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lei é omissa. </w:t>
      </w:r>
      <w:r w:rsidR="00337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âmbito do </w:t>
      </w:r>
      <w:r w:rsidR="00337EBB" w:rsidRPr="00337EBB">
        <w:rPr>
          <w:rFonts w:ascii="Times New Roman" w:hAnsi="Times New Roman" w:cs="Times New Roman"/>
          <w:color w:val="000000" w:themeColor="text1"/>
          <w:sz w:val="24"/>
          <w:szCs w:val="24"/>
        </w:rPr>
        <w:t>direito material</w:t>
      </w:r>
      <w:r w:rsidR="00337EBB">
        <w:rPr>
          <w:rFonts w:ascii="Times New Roman" w:hAnsi="Times New Roman" w:cs="Times New Roman"/>
          <w:color w:val="000000" w:themeColor="text1"/>
          <w:sz w:val="24"/>
          <w:szCs w:val="24"/>
        </w:rPr>
        <w:t>, quando existem lacunas que impossibili</w:t>
      </w:r>
      <w:r w:rsidR="005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 o julgamento, o juiz deve valer-se dos mecanismos destinados a supri-las, que são a analogia, os costumes e os princípios gerais no direito. Mas em se tratando do âmbito do direito processual, isto é, quando as lacunas dizem respeito ao próprio procedimento, poderia o juiz eximir-se de sua responsabilidade? A resposta aqui só pode ser negativa. </w:t>
      </w:r>
    </w:p>
    <w:p w:rsidR="006527A7" w:rsidRDefault="006527A7" w:rsidP="00746DBE">
      <w:pPr>
        <w:spacing w:after="10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Gajardoni (2008), a relação entre justiça e forma criou a ilusão de que a legalidade e a rigidez do procedimento são sinônimas de previsibilidade e de segurança jurídica, sem que haja margem para o arbítrio. Todavia, diz o autor que, partindo do pressuposto de que a segurança jurídica reside na previsibilidade das ações futuras e de suas consequências, basta que as normas procedimentais sejam de conhecimento dos litigantes antes de sua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curso do processo, sendo de pouca importância a fonte de onde provenham. Em outras palavras, “sendo as variações rituais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implementadas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apenas após a participação das partes sobre elas em pleno contraditório, não se vê como a segurança jurídica seja abalada, já que o desenvolvimento do processo está sendo regrado e predeterminado judicialmente” (GAJARDONI, 2008, p. 85). </w:t>
      </w:r>
    </w:p>
    <w:p w:rsidR="006527A7" w:rsidRDefault="006527A7" w:rsidP="00746DBE">
      <w:pPr>
        <w:spacing w:after="10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sociedade moderna, onde os confli</w:t>
      </w:r>
      <w:r w:rsidR="00DE7279">
        <w:rPr>
          <w:rFonts w:ascii="Times New Roman" w:hAnsi="Times New Roman" w:cs="Times New Roman"/>
          <w:color w:val="000000" w:themeColor="text1"/>
          <w:sz w:val="24"/>
          <w:szCs w:val="24"/>
        </w:rPr>
        <w:t>tos são cada vez mais complexos e não são acompanhados simultaneamente por alterações legisla</w:t>
      </w:r>
      <w:r w:rsidR="00411043">
        <w:rPr>
          <w:rFonts w:ascii="Times New Roman" w:hAnsi="Times New Roman" w:cs="Times New Roman"/>
          <w:color w:val="000000" w:themeColor="text1"/>
          <w:sz w:val="24"/>
          <w:szCs w:val="24"/>
        </w:rPr>
        <w:t>tivas, explica Gajardoni (2008)</w:t>
      </w:r>
      <w:r w:rsidR="00DE7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absoluta rigidez formal é regra estéril que dissipa os fins do processo, que é o de oferecer em cada caso, processado individualmente e conforme suas particularidades, a tutela mais justa. “A preocupação do processo há de se ater aos resultados, e não com as formas preestabelecidas e engessadas com o passar dos séculos” (p. 86). </w:t>
      </w:r>
    </w:p>
    <w:p w:rsidR="006D4A76" w:rsidRDefault="00DE7279" w:rsidP="00746DBE">
      <w:pPr>
        <w:spacing w:after="10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certo que seria incabível o processo sem certo rigor formal. O que não parece certo é, segundo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Bedaque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(2001,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apud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GAJARDONI, 2008), vincular a fonte de emissão destas regras exclusivamente à norma cogente, ou estabelecer que só assim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há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previsibilidade, como se o juiz fosse um ser inanimado incapaz de ordenar adequadamente o rito processual. É preciso, pois, reconhecer no julgador a capacidade para adequar o mecanismo às especificidades da situação. </w:t>
      </w:r>
    </w:p>
    <w:p w:rsidR="00746DBE" w:rsidRDefault="00746DBE" w:rsidP="00746DBE">
      <w:pPr>
        <w:spacing w:after="10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6126" w:rsidRPr="00746DBE" w:rsidRDefault="002C6126" w:rsidP="00B911E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 A TÉCNICA PROCESSUAL DA COGNIÇÃO</w:t>
      </w:r>
      <w:r w:rsidR="00B420FE"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1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SUMÁRIA</w:t>
      </w:r>
    </w:p>
    <w:p w:rsidR="006A2993" w:rsidRDefault="006A2993" w:rsidP="003743AE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Didier</w:t>
      </w:r>
      <w:r w:rsidR="00C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utilizando o conceito de Watanabe de 1987</w:t>
      </w:r>
      <w:r w:rsidR="00C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ainda váli</w:t>
      </w:r>
      <w:r w:rsidR="00C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esclarece </w:t>
      </w:r>
      <w:r w:rsidR="00C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EE61FA">
        <w:rPr>
          <w:rFonts w:ascii="Times New Roman" w:hAnsi="Times New Roman" w:cs="Times New Roman"/>
          <w:color w:val="000000" w:themeColor="text1"/>
          <w:sz w:val="24"/>
          <w:szCs w:val="24"/>
        </w:rPr>
        <w:t>que é</w:t>
      </w:r>
      <w:r w:rsidR="00C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cognição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A2993" w:rsidRPr="00CA4E25" w:rsidRDefault="006A2993" w:rsidP="006A2993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2993">
        <w:rPr>
          <w:rFonts w:ascii="Times New Roman" w:hAnsi="Times New Roman" w:cs="Times New Roman"/>
          <w:color w:val="000000" w:themeColor="text1"/>
          <w:sz w:val="20"/>
          <w:szCs w:val="20"/>
        </w:rPr>
        <w:t>A cognição é prevalentemente um ato de inteligência consistente em considerar, analisar e valorar as alegações e as provas produzidas pelas partes</w:t>
      </w:r>
      <w:proofErr w:type="gramStart"/>
      <w:r w:rsidRPr="006A2993">
        <w:rPr>
          <w:rFonts w:ascii="Times New Roman" w:hAnsi="Times New Roman" w:cs="Times New Roman"/>
          <w:color w:val="000000" w:themeColor="text1"/>
          <w:sz w:val="20"/>
          <w:szCs w:val="20"/>
        </w:rPr>
        <w:t>, vale</w:t>
      </w:r>
      <w:proofErr w:type="gramEnd"/>
      <w:r w:rsidRPr="006A29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dizer, as questões de fato e as de direito que são deduzidas no processo e cujo resultado é o </w:t>
      </w:r>
      <w:r w:rsidRPr="006A299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alicerce, o fundamento do </w:t>
      </w:r>
      <w:proofErr w:type="spellStart"/>
      <w:r w:rsidRPr="006A299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iudicium</w:t>
      </w:r>
      <w:proofErr w:type="spellEnd"/>
      <w:r w:rsidRPr="006A299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  <w:r w:rsidRPr="006A2993">
        <w:rPr>
          <w:rFonts w:ascii="Times New Roman" w:hAnsi="Times New Roman" w:cs="Times New Roman"/>
          <w:color w:val="000000" w:themeColor="text1"/>
          <w:sz w:val="20"/>
          <w:szCs w:val="20"/>
        </w:rPr>
        <w:t>do julgamento do objeto litigioso do processo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(WATANABE, 1987, p. 41</w:t>
      </w:r>
      <w:r w:rsidR="00CA4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A4E2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apud </w:t>
      </w:r>
      <w:r w:rsidR="00CA4E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DIDIER, 2012, p. 319). </w:t>
      </w:r>
    </w:p>
    <w:p w:rsidR="003743AE" w:rsidRDefault="003743AE" w:rsidP="003743AE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Watanabe (2012)</w:t>
      </w:r>
      <w:r w:rsidR="00AD0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A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é </w:t>
      </w:r>
      <w:r w:rsidR="00AD0C02">
        <w:rPr>
          <w:rFonts w:ascii="Times New Roman" w:hAnsi="Times New Roman" w:cs="Times New Roman"/>
          <w:color w:val="000000" w:themeColor="text1"/>
          <w:sz w:val="24"/>
          <w:szCs w:val="24"/>
        </w:rPr>
        <w:t>um dos principais processualistas a tratar da cognição e sua importância como técnica processual, acredita que é inegável a utilidade d</w:t>
      </w:r>
      <w:r w:rsidR="00865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 </w:t>
      </w:r>
      <w:r w:rsidR="00AD0C02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8651F5">
        <w:rPr>
          <w:rFonts w:ascii="Times New Roman" w:hAnsi="Times New Roman" w:cs="Times New Roman"/>
          <w:color w:val="000000" w:themeColor="text1"/>
          <w:sz w:val="24"/>
          <w:szCs w:val="24"/>
        </w:rPr>
        <w:t>o um</w:t>
      </w:r>
      <w:r w:rsidR="00AD0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meio </w:t>
      </w:r>
      <w:r w:rsidR="00AD0C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concepção de diferentes tipos de procedimento, com vistas à instrumentalidade do processo. </w:t>
      </w:r>
      <w:r w:rsidR="00570067">
        <w:rPr>
          <w:rFonts w:ascii="Times New Roman" w:hAnsi="Times New Roman" w:cs="Times New Roman"/>
          <w:color w:val="000000" w:themeColor="text1"/>
          <w:sz w:val="24"/>
          <w:szCs w:val="24"/>
        </w:rPr>
        <w:t>Destarte, a importância da cognição reside na própria natureza da atividade do juiz, que:</w:t>
      </w:r>
    </w:p>
    <w:p w:rsidR="006A2993" w:rsidRPr="006A2993" w:rsidRDefault="00570067" w:rsidP="006A2993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00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Para conceder a prestação jurisdicional precisa, na condição de terceiro que se interpõe entre as partes, conhecer primeiro das razões (em profundidade, ou apenas superficialmente, ou parcialmente, ou definitivamente, ou em caráter provisório; tudo isso se põe no plano da técnica de utilização da cognição) para depois adotar as providências voltadas à realização prática do direito da parte. </w:t>
      </w:r>
      <w:r w:rsidRPr="0057006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 decorre da intensa utilização que o legislador dela faz para conceber procedimentos diferenciados para a melhor e efetiva tutela de direitos </w:t>
      </w:r>
      <w:r w:rsidRPr="00570067">
        <w:rPr>
          <w:rFonts w:ascii="Times New Roman" w:hAnsi="Times New Roman" w:cs="Times New Roman"/>
          <w:color w:val="000000" w:themeColor="text1"/>
          <w:sz w:val="20"/>
          <w:szCs w:val="20"/>
        </w:rPr>
        <w:t>(WATANABE, 2012, p. 55)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564FDE" w:rsidRDefault="00CA4E25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Didier (2012), nesse sentido, afirma que a cognição é um dos mais importantes núcleos metodológicos para o estudo do processo moderno, junto com o procedimento e a tutela jurisdicional, cujos conceitos estão intimamente relacionados com o de cognição. Basta ver, aduz, que a própria noção que se tem de cada tipo de processo – conhecimento, cautelar e execução – estrutura-se a partir do grau de cognição judicial que se estabelece em cada um deles. </w:t>
      </w:r>
    </w:p>
    <w:p w:rsidR="006A2993" w:rsidRDefault="00564FDE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o estudo de Watanabe (2012), e aqui concordam Marinoni (2011) e Didier (2012), o fenômeno cognitivo pode ser visualizado em dois planos: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horizontal,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diz respeito à extensão/amplitude, 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vertical,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diz respeito à profundidade. No plano horizontal, a cognição pode ser </w:t>
      </w:r>
      <w:r w:rsidRPr="00C92E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plena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(não há limitação ao que o juiz conhecer)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</w:t>
      </w:r>
      <w:r w:rsidRPr="00C92E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limitada</w:t>
      </w:r>
      <w:r w:rsidR="00C9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(limita-se o que o juiz pode conhecer)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segundo a extensão permitida. </w:t>
      </w:r>
      <w:r w:rsidR="00C92E01">
        <w:rPr>
          <w:rFonts w:ascii="Times New Roman" w:hAnsi="Times New Roman" w:cs="Times New Roman"/>
          <w:color w:val="000000" w:themeColor="text1"/>
          <w:sz w:val="24"/>
          <w:szCs w:val="24"/>
        </w:rPr>
        <w:t>No plano vertical, a cognição pode ser</w:t>
      </w:r>
      <w:r w:rsidR="00C92E01" w:rsidRPr="00C92E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92E01" w:rsidRPr="00C92E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exauriente</w:t>
      </w:r>
      <w:proofErr w:type="spellEnd"/>
      <w:r w:rsidR="00C9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(completa) e </w:t>
      </w:r>
      <w:r w:rsidR="00C92E01" w:rsidRPr="00C92E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sumária</w:t>
      </w:r>
      <w:r w:rsidR="00C9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(incompleta). </w:t>
      </w:r>
    </w:p>
    <w:p w:rsidR="00596785" w:rsidRDefault="00596785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conceito de Watanabe (2012), a cognição sumária, objeto deste capítulo, é uma cognição superficial menos aprofundada em sentido vertical, isto é, a possibilidade de o magistrado decidir sem exame profundo. Essa restrição no plano vertical, segundo Didier (2012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>, p. 332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conduz aos chamados juízos de probabilidade e verossimilhança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conduz às decisões que ficam limitadas a afirmar o </w:t>
      </w:r>
      <w:r w:rsidRPr="00B56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provável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que, por isso mesmo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616D" w:rsidRPr="00B56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são decisões provisórias</w:t>
      </w:r>
      <w:r w:rsidR="00B56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Didier (2012) ainda afirma que esta modalidade de cognição tem por objetivos assegurar a viabilidade da realização de um direito ameaçado por perigo de dano iminente, que é o caso da tutela cautelar (em que há cognição sumária do direito acautelado); ou realizar antecipadamente um direito, que é o caso da tutela antecipada. Assim, </w:t>
      </w:r>
      <w:r w:rsidR="00B5616D" w:rsidRPr="00B56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tutelas antecipada e cautelar valem-se da cognição sumária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5616D" w:rsidRDefault="00EF70E2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Merece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“a sumarização da cognição pode ter graus diferenciados, não dependendo da cronologia do provimento jurisdicional no </w:t>
      </w:r>
      <w:proofErr w:type="spellStart"/>
      <w:r w:rsidR="00B56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iter</w:t>
      </w:r>
      <w:proofErr w:type="spellEnd"/>
      <w:r w:rsidR="00B561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procedimento, mas sim da relação entre a afirmação fática e as provas produzidas” (MARINONI, 2011, p. 34). </w:t>
      </w:r>
      <w:r w:rsidR="00F65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outras palavras, a </w:t>
      </w:r>
      <w:r w:rsidR="00F65475" w:rsidRPr="00F65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probabilidade e a verossimilhança</w:t>
      </w:r>
      <w:r w:rsidR="00F65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4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têm graus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devendo haver uma “adequação na intensidade do juízo de probabilidade ao momento procedimental da avaliação, à natureza do direito alegado, à espécie dos fatos afirmados, à natureza do provimento a ser concedido, enfim, à especificidade do caso concreto” (WATANABE, 2012, p. 134). </w:t>
      </w:r>
    </w:p>
    <w:p w:rsidR="00EF70E2" w:rsidRPr="00EF70E2" w:rsidRDefault="006879A7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cognição,</w:t>
      </w:r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especificamente a sumária,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pode funcionar como um meio de</w:t>
      </w:r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provimento de tutela mais célere e efetiva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medida </w:t>
      </w:r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suficiente par</w:t>
      </w:r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>a certos tipos de procedimento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como a cautelar e a antecipada</w:t>
      </w:r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>), pode ser, j</w:t>
      </w:r>
      <w:r w:rsidR="00EF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ustamente em razão dos graus de cognição, </w:t>
      </w:r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óbice para a </w:t>
      </w:r>
      <w:proofErr w:type="gramStart"/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 w:rsidR="00635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procedimental, haja vista que os procedimentos requerem graus diferenciados para sua concessão, e, quando insuficientes, improvável ser</w:t>
      </w:r>
      <w:r w:rsidR="00326C92">
        <w:rPr>
          <w:rFonts w:ascii="Times New Roman" w:hAnsi="Times New Roman" w:cs="Times New Roman"/>
          <w:color w:val="000000" w:themeColor="text1"/>
          <w:sz w:val="24"/>
          <w:szCs w:val="24"/>
        </w:rPr>
        <w:t>á o provimento pedido pela parte.</w:t>
      </w:r>
    </w:p>
    <w:p w:rsidR="00C92E01" w:rsidRPr="00564FDE" w:rsidRDefault="00C92E01" w:rsidP="00EE61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6C2" w:rsidRPr="003F5D23" w:rsidRDefault="005F5256" w:rsidP="005066C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B81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INTRODUÇÃO DA TUTE</w:t>
      </w:r>
      <w:r w:rsidR="00B911ED"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 ANTECIPADA NO DIREITO PROCESSUAL CIVIL BRASILEIRO</w:t>
      </w:r>
    </w:p>
    <w:p w:rsidR="00B420FE" w:rsidRPr="003F5D23" w:rsidRDefault="005066C2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A efetiva tutela do direito por meio do processo abrange, também, o direito à tutela preventiva. Mas não</w:t>
      </w:r>
      <w:r w:rsidR="006F42A5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basta apenas isso. Como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explica Marinoni</w:t>
      </w:r>
      <w:r w:rsidR="00B420FE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(2011),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embora o direito à tutela preventiva seja inegável, é preciso que a legislação processual civil </w:t>
      </w:r>
      <w:r w:rsidR="00B420FE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contenha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instrumentos que realmente sejam capazes de permitir a tutela preventiva. </w:t>
      </w:r>
      <w:r w:rsidR="00B420FE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Aduz que, para tanto, são necessários procedimentos com técnica de antecipação, sentenças diferentes daquelas que fazem parte da tradicional classificação trinaria – </w:t>
      </w:r>
      <w:proofErr w:type="gramStart"/>
      <w:r w:rsidR="00B420FE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constitutiva, declaratória</w:t>
      </w:r>
      <w:proofErr w:type="gramEnd"/>
      <w:r w:rsidR="00B420FE"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condenatória –, e meios de execução que possam permitir a obtenção concreta da tutela preventiva. </w:t>
      </w:r>
    </w:p>
    <w:p w:rsidR="00E942C4" w:rsidRPr="003F5D23" w:rsidRDefault="008F43AC" w:rsidP="00E942C4">
      <w:pPr>
        <w:pStyle w:val="Default"/>
        <w:spacing w:after="100"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5D23">
        <w:rPr>
          <w:rFonts w:ascii="Times New Roman" w:hAnsi="Times New Roman" w:cs="Times New Roman"/>
          <w:bCs/>
          <w:color w:val="000000" w:themeColor="text1"/>
        </w:rPr>
        <w:t>O</w:t>
      </w:r>
      <w:r w:rsidR="009E47C4" w:rsidRPr="003F5D23">
        <w:rPr>
          <w:rFonts w:ascii="Times New Roman" w:hAnsi="Times New Roman" w:cs="Times New Roman"/>
          <w:bCs/>
          <w:color w:val="000000" w:themeColor="text1"/>
        </w:rPr>
        <w:t xml:space="preserve"> Código de Processo Civil, quando criado em 1973, não previa, 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contudo, </w:t>
      </w:r>
      <w:r w:rsidR="009E47C4" w:rsidRPr="003F5D23">
        <w:rPr>
          <w:rFonts w:ascii="Times New Roman" w:hAnsi="Times New Roman" w:cs="Times New Roman"/>
          <w:bCs/>
          <w:color w:val="000000" w:themeColor="text1"/>
        </w:rPr>
        <w:t>no seu procedimento de conhecimento, ferramentas que pudessem fazer com que a parte, sobretudo o autor, conseguisse fruir do seu direito em um momento que não fosse o cham</w:t>
      </w:r>
      <w:r w:rsidRPr="003F5D23">
        <w:rPr>
          <w:rFonts w:ascii="Times New Roman" w:hAnsi="Times New Roman" w:cs="Times New Roman"/>
          <w:bCs/>
          <w:color w:val="000000" w:themeColor="text1"/>
        </w:rPr>
        <w:t>ado “ordinário”. O</w:t>
      </w:r>
      <w:r w:rsidR="009E47C4" w:rsidRPr="003F5D23">
        <w:rPr>
          <w:rFonts w:ascii="Times New Roman" w:hAnsi="Times New Roman" w:cs="Times New Roman"/>
          <w:bCs/>
          <w:color w:val="000000" w:themeColor="text1"/>
        </w:rPr>
        <w:t xml:space="preserve"> procedimento de conhecimento clássico não cont</w:t>
      </w:r>
      <w:r w:rsidRPr="003F5D23">
        <w:rPr>
          <w:rFonts w:ascii="Times New Roman" w:hAnsi="Times New Roman" w:cs="Times New Roman"/>
          <w:bCs/>
          <w:color w:val="000000" w:themeColor="text1"/>
        </w:rPr>
        <w:t>inha tutela antecipatória</w:t>
      </w:r>
      <w:r w:rsidR="009E47C4" w:rsidRPr="003F5D23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8D199C" w:rsidRPr="003F5D23">
        <w:rPr>
          <w:rFonts w:ascii="Times New Roman" w:hAnsi="Times New Roman" w:cs="Times New Roman"/>
          <w:bCs/>
          <w:color w:val="000000" w:themeColor="text1"/>
        </w:rPr>
        <w:t>e incidia</w:t>
      </w:r>
      <w:r w:rsidR="009E47C4" w:rsidRPr="003F5D23">
        <w:rPr>
          <w:rFonts w:ascii="Times New Roman" w:hAnsi="Times New Roman" w:cs="Times New Roman"/>
          <w:bCs/>
          <w:color w:val="000000" w:themeColor="text1"/>
        </w:rPr>
        <w:t xml:space="preserve"> apenas em uma das sent</w:t>
      </w:r>
      <w:r w:rsidRPr="003F5D23">
        <w:rPr>
          <w:rFonts w:ascii="Times New Roman" w:hAnsi="Times New Roman" w:cs="Times New Roman"/>
          <w:bCs/>
          <w:color w:val="000000" w:themeColor="text1"/>
        </w:rPr>
        <w:t>enças da classificação trinaria, sendo que</w:t>
      </w:r>
      <w:r w:rsidR="009E47C4" w:rsidRPr="003F5D23">
        <w:rPr>
          <w:rFonts w:ascii="Times New Roman" w:hAnsi="Times New Roman" w:cs="Times New Roman"/>
          <w:bCs/>
          <w:color w:val="000000" w:themeColor="text1"/>
        </w:rPr>
        <w:t xml:space="preserve"> um processo que somente pode culminar nas sentenças declaratória, constitutiva e condenatória não tem capacidade de impedir alguém de violar um direito. </w:t>
      </w:r>
      <w:r w:rsidR="006F42A5" w:rsidRPr="003F5D23">
        <w:rPr>
          <w:rFonts w:ascii="Times New Roman" w:hAnsi="Times New Roman" w:cs="Times New Roman"/>
          <w:bCs/>
          <w:color w:val="000000" w:themeColor="text1"/>
        </w:rPr>
        <w:t xml:space="preserve">Assim, segundo 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Marinoni (2011, p. 69), </w:t>
      </w:r>
      <w:r w:rsidR="006F42A5" w:rsidRPr="003F5D23">
        <w:rPr>
          <w:rFonts w:ascii="Times New Roman" w:hAnsi="Times New Roman" w:cs="Times New Roman"/>
          <w:bCs/>
          <w:color w:val="000000" w:themeColor="text1"/>
        </w:rPr>
        <w:t>“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justamente porque aqueles que conceberam o processo de conhecimento clássico não tinham preocupação </w:t>
      </w:r>
      <w:r w:rsidRPr="003F5D23">
        <w:rPr>
          <w:rFonts w:ascii="Times New Roman" w:hAnsi="Times New Roman" w:cs="Times New Roman"/>
          <w:bCs/>
          <w:color w:val="000000" w:themeColor="text1"/>
        </w:rPr>
        <w:lastRenderedPageBreak/>
        <w:t>com a tutela preventiva dos direitos, idealizou-se um “processo de conhecimento” sem liminar e sem sentença idônea a permitir a prevenção</w:t>
      </w:r>
      <w:r w:rsidR="006F42A5" w:rsidRPr="003F5D23">
        <w:rPr>
          <w:rFonts w:ascii="Times New Roman" w:hAnsi="Times New Roman" w:cs="Times New Roman"/>
          <w:bCs/>
          <w:color w:val="000000" w:themeColor="text1"/>
        </w:rPr>
        <w:t>”</w:t>
      </w:r>
      <w:r w:rsidRPr="003F5D23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E942C4" w:rsidRDefault="00E942C4" w:rsidP="008F43AC">
      <w:pPr>
        <w:pStyle w:val="Default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9E47C4" w:rsidRDefault="009E47C4" w:rsidP="008F43AC">
      <w:pPr>
        <w:pStyle w:val="Default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3F5D2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Tal procedimento não possuía liminar antecipatória porque a execução, segundo a doutrina clássica, somente poderia iniciar depois de exaurido o processo de conhecimento, o qual era destinado à averiguação da existência dos direitos. Não seria possível a execução antes de finda a fase de conhecimento porque não teria cabimento invadir a esfera jurídica do réu sem a ele ter sido conferid</w:t>
      </w:r>
      <w:r w:rsidR="008F43AC" w:rsidRPr="003F5D2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 ampla oportunidade de defesa (MARINONI, 2011, p. 68).</w:t>
      </w:r>
    </w:p>
    <w:p w:rsidR="00E942C4" w:rsidRPr="003F5D23" w:rsidRDefault="00E942C4" w:rsidP="008F43AC">
      <w:pPr>
        <w:pStyle w:val="Default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F43AC" w:rsidRPr="003F5D23" w:rsidRDefault="008F43AC" w:rsidP="008F43AC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5F5256" w:rsidRPr="003F5D23" w:rsidRDefault="008F43AC" w:rsidP="003D3AEB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F5D23">
        <w:rPr>
          <w:rFonts w:ascii="Times New Roman" w:hAnsi="Times New Roman" w:cs="Times New Roman"/>
          <w:bCs/>
          <w:color w:val="000000" w:themeColor="text1"/>
        </w:rPr>
        <w:t>“Entretanto, as próprias necessidades sociais impuseram uma nova maneira de utilizar o processo civi</w:t>
      </w:r>
      <w:r w:rsidR="003A0BA7">
        <w:rPr>
          <w:rFonts w:ascii="Times New Roman" w:hAnsi="Times New Roman" w:cs="Times New Roman"/>
          <w:bCs/>
          <w:color w:val="000000" w:themeColor="text1"/>
        </w:rPr>
        <w:t xml:space="preserve">l”, diz Marinoni (2011, p. 68). </w:t>
      </w:r>
      <w:r w:rsidR="00E6367B">
        <w:rPr>
          <w:rFonts w:ascii="Times New Roman" w:hAnsi="Times New Roman" w:cs="Times New Roman"/>
          <w:bCs/>
          <w:color w:val="000000" w:themeColor="text1"/>
        </w:rPr>
        <w:t>Em outros termos</w:t>
      </w:r>
      <w:r w:rsidR="003A0BA7">
        <w:rPr>
          <w:rFonts w:ascii="Times New Roman" w:hAnsi="Times New Roman" w:cs="Times New Roman"/>
          <w:bCs/>
          <w:color w:val="000000" w:themeColor="text1"/>
        </w:rPr>
        <w:t xml:space="preserve">, a </w:t>
      </w:r>
      <w:proofErr w:type="spellStart"/>
      <w:r w:rsidR="003A0BA7">
        <w:rPr>
          <w:rFonts w:ascii="Times New Roman" w:hAnsi="Times New Roman" w:cs="Times New Roman"/>
          <w:bCs/>
          <w:color w:val="000000" w:themeColor="text1"/>
        </w:rPr>
        <w:t>inefetividade</w:t>
      </w:r>
      <w:proofErr w:type="spellEnd"/>
      <w:r w:rsidR="003A0BA7">
        <w:rPr>
          <w:rFonts w:ascii="Times New Roman" w:hAnsi="Times New Roman" w:cs="Times New Roman"/>
          <w:bCs/>
          <w:color w:val="000000" w:themeColor="text1"/>
        </w:rPr>
        <w:t xml:space="preserve"> do procedimento ordinário fez com que os tribunais e a doutrina passassem a falar de “ação cautelar </w:t>
      </w:r>
      <w:proofErr w:type="spellStart"/>
      <w:r w:rsidR="003A0BA7">
        <w:rPr>
          <w:rFonts w:ascii="Times New Roman" w:hAnsi="Times New Roman" w:cs="Times New Roman"/>
          <w:bCs/>
          <w:color w:val="000000" w:themeColor="text1"/>
        </w:rPr>
        <w:t>satisfativa</w:t>
      </w:r>
      <w:proofErr w:type="spellEnd"/>
      <w:r w:rsidR="003A0BA7">
        <w:rPr>
          <w:rFonts w:ascii="Times New Roman" w:hAnsi="Times New Roman" w:cs="Times New Roman"/>
          <w:bCs/>
          <w:color w:val="000000" w:themeColor="text1"/>
        </w:rPr>
        <w:t>”, ou seja, d</w:t>
      </w:r>
      <w:r w:rsidR="00915783" w:rsidRPr="003F5D23">
        <w:rPr>
          <w:rFonts w:ascii="Times New Roman" w:hAnsi="Times New Roman" w:cs="Times New Roman"/>
          <w:bCs/>
          <w:color w:val="000000" w:themeColor="text1"/>
        </w:rPr>
        <w:t xml:space="preserve">evido ao fato de que o CPC/73 não possuía nenhuma ferramenta que permitisse à parte usufruir do seu direito em um momento que não </w:t>
      </w:r>
      <w:r w:rsidR="003A0BA7">
        <w:rPr>
          <w:rFonts w:ascii="Times New Roman" w:hAnsi="Times New Roman" w:cs="Times New Roman"/>
          <w:bCs/>
          <w:color w:val="000000" w:themeColor="text1"/>
        </w:rPr>
        <w:t xml:space="preserve">fosse o “ordinário”, </w:t>
      </w:r>
      <w:proofErr w:type="gramStart"/>
      <w:r w:rsidR="00E6367B">
        <w:rPr>
          <w:rFonts w:ascii="Times New Roman" w:hAnsi="Times New Roman" w:cs="Times New Roman"/>
          <w:bCs/>
          <w:color w:val="000000" w:themeColor="text1"/>
        </w:rPr>
        <w:t>flexibilizava</w:t>
      </w:r>
      <w:proofErr w:type="gramEnd"/>
      <w:r w:rsidR="00E6367B">
        <w:rPr>
          <w:rFonts w:ascii="Times New Roman" w:hAnsi="Times New Roman" w:cs="Times New Roman"/>
          <w:bCs/>
          <w:color w:val="000000" w:themeColor="text1"/>
        </w:rPr>
        <w:t xml:space="preserve">-se o processo civil e </w:t>
      </w:r>
      <w:r w:rsidR="003A0BA7">
        <w:rPr>
          <w:rFonts w:ascii="Times New Roman" w:hAnsi="Times New Roman" w:cs="Times New Roman"/>
          <w:bCs/>
          <w:color w:val="000000" w:themeColor="text1"/>
        </w:rPr>
        <w:t xml:space="preserve">utilizava-se </w:t>
      </w:r>
      <w:r w:rsidR="00915783" w:rsidRPr="003F5D23">
        <w:rPr>
          <w:rFonts w:ascii="Times New Roman" w:hAnsi="Times New Roman" w:cs="Times New Roman"/>
          <w:bCs/>
          <w:color w:val="000000" w:themeColor="text1"/>
        </w:rPr>
        <w:t>a Medida Cautelar</w:t>
      </w:r>
      <w:r w:rsidR="003A0BA7">
        <w:rPr>
          <w:rFonts w:ascii="Times New Roman" w:hAnsi="Times New Roman" w:cs="Times New Roman"/>
          <w:bCs/>
          <w:color w:val="000000" w:themeColor="text1"/>
        </w:rPr>
        <w:t xml:space="preserve"> para tanto</w:t>
      </w:r>
      <w:r w:rsidR="00915783" w:rsidRPr="003F5D23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3D3AEB" w:rsidRPr="003F5D23">
        <w:rPr>
          <w:rFonts w:ascii="Times New Roman" w:hAnsi="Times New Roman" w:cs="Times New Roman"/>
          <w:bCs/>
          <w:color w:val="000000" w:themeColor="text1"/>
        </w:rPr>
        <w:t>Todavia, utilizar a</w:t>
      </w:r>
      <w:r w:rsidR="00915783" w:rsidRPr="003F5D23">
        <w:rPr>
          <w:rFonts w:ascii="Times New Roman" w:hAnsi="Times New Roman" w:cs="Times New Roman"/>
          <w:bCs/>
          <w:color w:val="000000" w:themeColor="text1"/>
        </w:rPr>
        <w:t xml:space="preserve"> Medida Cautelar</w:t>
      </w:r>
      <w:r w:rsidR="003D3AEB" w:rsidRPr="003F5D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15783" w:rsidRPr="003F5D23">
        <w:rPr>
          <w:rFonts w:ascii="Times New Roman" w:hAnsi="Times New Roman" w:cs="Times New Roman"/>
          <w:bCs/>
          <w:color w:val="000000" w:themeColor="text1"/>
        </w:rPr>
        <w:t>no intuito de satisfazer um direito</w:t>
      </w:r>
      <w:r w:rsidR="003D3AEB" w:rsidRPr="003F5D23">
        <w:rPr>
          <w:rFonts w:ascii="Times New Roman" w:hAnsi="Times New Roman" w:cs="Times New Roman"/>
          <w:bCs/>
          <w:color w:val="000000" w:themeColor="text1"/>
        </w:rPr>
        <w:t xml:space="preserve"> antecipadamente</w:t>
      </w:r>
      <w:r w:rsidR="00915783" w:rsidRPr="003F5D23">
        <w:rPr>
          <w:rFonts w:ascii="Times New Roman" w:hAnsi="Times New Roman" w:cs="Times New Roman"/>
          <w:bCs/>
          <w:color w:val="000000" w:themeColor="text1"/>
        </w:rPr>
        <w:t>,</w:t>
      </w:r>
      <w:r w:rsidR="003D3AEB" w:rsidRPr="003F5D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E49E6" w:rsidRPr="003F5D23">
        <w:rPr>
          <w:rFonts w:ascii="Times New Roman" w:hAnsi="Times New Roman" w:cs="Times New Roman"/>
          <w:bCs/>
          <w:color w:val="000000" w:themeColor="text1"/>
        </w:rPr>
        <w:t xml:space="preserve">ao invés de utiliza-la com o escopo de assegurar a viabilidade da realização de um direito (sua função precípua), </w:t>
      </w:r>
      <w:r w:rsidR="003D3AEB" w:rsidRPr="003F5D23">
        <w:rPr>
          <w:rFonts w:ascii="Times New Roman" w:hAnsi="Times New Roman" w:cs="Times New Roman"/>
          <w:bCs/>
          <w:color w:val="000000" w:themeColor="text1"/>
        </w:rPr>
        <w:t xml:space="preserve">era uma conduta equivocada, pois a Cautelar não se prestava a isso. Como a parte, entretanto, não possuía um instrumento adequado, adotava-se, ainda que erroneamente, a Cautelar. </w:t>
      </w:r>
    </w:p>
    <w:p w:rsidR="005F5256" w:rsidRPr="003F5D23" w:rsidRDefault="005F5256" w:rsidP="005F5256">
      <w:pPr>
        <w:pStyle w:val="Default"/>
        <w:jc w:val="both"/>
        <w:rPr>
          <w:bCs/>
          <w:color w:val="000000" w:themeColor="text1"/>
        </w:rPr>
      </w:pPr>
    </w:p>
    <w:p w:rsidR="00E942C4" w:rsidRPr="00E942C4" w:rsidRDefault="003D3AEB" w:rsidP="00E942C4">
      <w:pPr>
        <w:pStyle w:val="Default"/>
        <w:ind w:left="226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3F5D2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Como o procedimento desenhado para cumprir a função cautelar contém liminar e pode terminar em uma sentença capaz de permitir a tutela preventiva, os operadores do direito muito antes da introdução da tutela antecipatória no CPC passaram a utilizar essa via para as situações em que se desejava comente evitar um ato ilícito. Como se vê, escolheu-se a via (ou o instrumento) pensada para cumprir a função cautelar para realizar a função preventiva apenas pelo motivo de que esta última não podia ser desempenhada por meio do processo de conheci</w:t>
      </w:r>
      <w:r w:rsidR="00E942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mento. (MARINONI, 2011, p. 69).</w:t>
      </w:r>
    </w:p>
    <w:p w:rsidR="00E942C4" w:rsidRDefault="00E942C4" w:rsidP="00746DBE">
      <w:pPr>
        <w:pStyle w:val="NormalWeb"/>
        <w:spacing w:line="360" w:lineRule="auto"/>
        <w:ind w:firstLine="1134"/>
        <w:jc w:val="both"/>
        <w:rPr>
          <w:color w:val="000000" w:themeColor="text1"/>
        </w:rPr>
      </w:pPr>
    </w:p>
    <w:p w:rsidR="00746DBE" w:rsidRDefault="007E49E6" w:rsidP="00746DBE">
      <w:pPr>
        <w:pStyle w:val="NormalWeb"/>
        <w:spacing w:line="360" w:lineRule="auto"/>
        <w:ind w:firstLine="1134"/>
        <w:jc w:val="both"/>
        <w:rPr>
          <w:color w:val="000000" w:themeColor="text1"/>
        </w:rPr>
      </w:pPr>
      <w:r w:rsidRPr="003F5D23">
        <w:rPr>
          <w:color w:val="000000" w:themeColor="text1"/>
        </w:rPr>
        <w:t>Inspirado no Estatuto da Criança e do Adolescente e no Código de Defesa do Consumidor, o legislador, em 1994, na primeira grande etapa da reforma do CPC/73, modificou a redação dos arts. 461 e 273, trazendo a previsão da chamada Tutela Ant</w:t>
      </w:r>
      <w:r w:rsidR="00492B18">
        <w:rPr>
          <w:color w:val="000000" w:themeColor="text1"/>
        </w:rPr>
        <w:t xml:space="preserve">ecipada. </w:t>
      </w:r>
      <w:r w:rsidR="00436023">
        <w:rPr>
          <w:color w:val="000000" w:themeColor="text1"/>
        </w:rPr>
        <w:t xml:space="preserve">Segundo </w:t>
      </w:r>
      <w:r w:rsidR="00436023" w:rsidRPr="006C2107">
        <w:rPr>
          <w:color w:val="000000" w:themeColor="text1"/>
        </w:rPr>
        <w:t>Barros</w:t>
      </w:r>
      <w:r w:rsidR="00436023">
        <w:rPr>
          <w:color w:val="000000" w:themeColor="text1"/>
        </w:rPr>
        <w:t xml:space="preserve"> (2012), o</w:t>
      </w:r>
      <w:r w:rsidR="00492B18">
        <w:rPr>
          <w:color w:val="000000" w:themeColor="text1"/>
        </w:rPr>
        <w:t xml:space="preserve"> CPC/73 agora contém </w:t>
      </w:r>
      <w:proofErr w:type="gramStart"/>
      <w:r w:rsidR="00436023">
        <w:rPr>
          <w:color w:val="000000" w:themeColor="text1"/>
        </w:rPr>
        <w:t>a</w:t>
      </w:r>
      <w:proofErr w:type="gramEnd"/>
      <w:r w:rsidR="00436023">
        <w:rPr>
          <w:color w:val="000000" w:themeColor="text1"/>
        </w:rPr>
        <w:t xml:space="preserve"> medida que consegue fazer com que o autor frua </w:t>
      </w:r>
      <w:r w:rsidRPr="003F5D23">
        <w:rPr>
          <w:color w:val="000000" w:themeColor="text1"/>
        </w:rPr>
        <w:t>do seu direito</w:t>
      </w:r>
      <w:r w:rsidR="00436023">
        <w:rPr>
          <w:color w:val="000000" w:themeColor="text1"/>
        </w:rPr>
        <w:t xml:space="preserve"> em momento anterior ao </w:t>
      </w:r>
      <w:r w:rsidRPr="003F5D23">
        <w:rPr>
          <w:color w:val="000000" w:themeColor="text1"/>
        </w:rPr>
        <w:t>ordinário, ao permitir que a parte, satisfazendo alg</w:t>
      </w:r>
      <w:r w:rsidR="00436023">
        <w:rPr>
          <w:color w:val="000000" w:themeColor="text1"/>
        </w:rPr>
        <w:t>uns requisitos, consiga obter uma medida que antecipe</w:t>
      </w:r>
      <w:r w:rsidRPr="003F5D23">
        <w:rPr>
          <w:color w:val="000000" w:themeColor="text1"/>
        </w:rPr>
        <w:t xml:space="preserve"> os efeitos da provável sentença a ser proferida no processo.  </w:t>
      </w:r>
    </w:p>
    <w:p w:rsidR="00E942C4" w:rsidRDefault="00E942C4" w:rsidP="00746DBE">
      <w:pPr>
        <w:pStyle w:val="NormalWeb"/>
        <w:spacing w:line="360" w:lineRule="auto"/>
        <w:ind w:firstLine="1134"/>
        <w:jc w:val="both"/>
        <w:rPr>
          <w:color w:val="000000" w:themeColor="text1"/>
        </w:rPr>
      </w:pPr>
    </w:p>
    <w:p w:rsidR="007E49E6" w:rsidRPr="00746DBE" w:rsidRDefault="007E49E6" w:rsidP="00746D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2.1 ANTECIPADA</w:t>
      </w:r>
      <w:proofErr w:type="gramEnd"/>
      <w:r w:rsidRPr="00746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CAUTELAR: FUNÇÕES DISTINTAS</w:t>
      </w:r>
    </w:p>
    <w:p w:rsidR="00557C30" w:rsidRPr="003F5D23" w:rsidRDefault="00436023" w:rsidP="00746DBE">
      <w:pPr>
        <w:pStyle w:val="NormalWeb"/>
        <w:spacing w:after="100"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De acordo com </w:t>
      </w:r>
      <w:r w:rsidR="00557C30">
        <w:rPr>
          <w:color w:val="000000" w:themeColor="text1"/>
        </w:rPr>
        <w:t>Marinoni (2011), a tutela antecipatória foi introduzida no CPC/73 não só pela razão de que a evolução da sociedade demonstrou que a demora do procedimento comum não era mais suportável, e que por esta razão era necessária</w:t>
      </w:r>
      <w:r w:rsidR="00686DBF">
        <w:rPr>
          <w:color w:val="000000" w:themeColor="text1"/>
        </w:rPr>
        <w:t xml:space="preserve"> uma tutela sumária </w:t>
      </w:r>
      <w:proofErr w:type="spellStart"/>
      <w:r w:rsidR="00686DBF">
        <w:rPr>
          <w:color w:val="000000" w:themeColor="text1"/>
        </w:rPr>
        <w:t>satisfativa</w:t>
      </w:r>
      <w:proofErr w:type="spellEnd"/>
      <w:r w:rsidR="00686DBF">
        <w:rPr>
          <w:color w:val="000000" w:themeColor="text1"/>
        </w:rPr>
        <w:t>;</w:t>
      </w:r>
      <w:r w:rsidR="00557C30">
        <w:rPr>
          <w:color w:val="000000" w:themeColor="text1"/>
        </w:rPr>
        <w:t xml:space="preserve"> mas especialme</w:t>
      </w:r>
      <w:r w:rsidR="004F291B">
        <w:rPr>
          <w:color w:val="000000" w:themeColor="text1"/>
        </w:rPr>
        <w:t xml:space="preserve">nte pelo motivo de que </w:t>
      </w:r>
      <w:proofErr w:type="gramStart"/>
      <w:r w:rsidR="004F291B">
        <w:rPr>
          <w:color w:val="000000" w:themeColor="text1"/>
        </w:rPr>
        <w:t xml:space="preserve">a </w:t>
      </w:r>
      <w:r w:rsidR="00557C30">
        <w:rPr>
          <w:color w:val="000000" w:themeColor="text1"/>
        </w:rPr>
        <w:t>maioria dos doutrinadores e dos tribunais não admitiam</w:t>
      </w:r>
      <w:proofErr w:type="gramEnd"/>
      <w:r w:rsidR="00557C30">
        <w:rPr>
          <w:color w:val="000000" w:themeColor="text1"/>
        </w:rPr>
        <w:t xml:space="preserve"> que a tutela sumária </w:t>
      </w:r>
      <w:proofErr w:type="spellStart"/>
      <w:r w:rsidR="00557C30">
        <w:rPr>
          <w:color w:val="000000" w:themeColor="text1"/>
        </w:rPr>
        <w:t>satisfativa</w:t>
      </w:r>
      <w:proofErr w:type="spellEnd"/>
      <w:r w:rsidR="00557C30">
        <w:rPr>
          <w:color w:val="000000" w:themeColor="text1"/>
        </w:rPr>
        <w:t xml:space="preserve"> fosse prestada através da ação cautelar. Isso porque a Tutela Antecipada e a Medida Cautelar são institutos não somente com finalidades distintas, mas também com requisitos diferenciados e específicos. </w:t>
      </w:r>
    </w:p>
    <w:p w:rsidR="0048624A" w:rsidRDefault="00492B18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291B">
        <w:rPr>
          <w:rFonts w:ascii="Times New Roman" w:hAnsi="Times New Roman" w:cs="Times New Roman"/>
          <w:color w:val="000000" w:themeColor="text1"/>
          <w:sz w:val="24"/>
          <w:szCs w:val="24"/>
        </w:rPr>
        <w:t>rimeiro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 talvez o</w:t>
      </w:r>
      <w:r w:rsidR="00557C30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ponto de distinção mais importante,</w:t>
      </w:r>
      <w:r w:rsidR="00715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557C30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tutela cautelar </w:t>
      </w:r>
      <w:r w:rsidR="00557C30" w:rsidRPr="004862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não tem conteúdo </w:t>
      </w:r>
      <w:proofErr w:type="spellStart"/>
      <w:r w:rsidR="00557C30" w:rsidRPr="004862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satisfativo</w:t>
      </w:r>
      <w:proofErr w:type="spellEnd"/>
      <w:r w:rsidR="00557C30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62E34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>Ao invés disso,</w:t>
      </w:r>
      <w:r w:rsidR="00557C30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diz Marinoni (2011), a cautelar tem por fim assegurar a viabilidade da realização de um direito, não podendo realiza-lo</w:t>
      </w:r>
      <w:r w:rsidR="00162E34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7C30" w:rsidRPr="0016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Cautelar é, pois, o instrumento que se destina a resguardar uma situação jurídica tratada em outro processo. </w:t>
      </w:r>
      <w:r w:rsidR="0048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antecipação da tutela, a seu turno, como o próprio nome </w:t>
      </w:r>
      <w:r w:rsidR="004F291B">
        <w:rPr>
          <w:rFonts w:ascii="Times New Roman" w:hAnsi="Times New Roman" w:cs="Times New Roman"/>
          <w:color w:val="000000" w:themeColor="text1"/>
          <w:sz w:val="24"/>
          <w:szCs w:val="24"/>
        </w:rPr>
        <w:t>induz</w:t>
      </w:r>
      <w:r w:rsidR="0048624A">
        <w:rPr>
          <w:rFonts w:ascii="Times New Roman" w:hAnsi="Times New Roman" w:cs="Times New Roman"/>
          <w:color w:val="000000" w:themeColor="text1"/>
          <w:sz w:val="24"/>
          <w:szCs w:val="24"/>
        </w:rPr>
        <w:t>, antecipa os efeitos de uma provável sentença, no intuito de resguardar o próprio direito material tratado no caso em questão. Esta é, pois, um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8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tutela </w:t>
      </w:r>
      <w:proofErr w:type="spellStart"/>
      <w:r w:rsidR="0048624A">
        <w:rPr>
          <w:rFonts w:ascii="Times New Roman" w:hAnsi="Times New Roman" w:cs="Times New Roman"/>
          <w:color w:val="000000" w:themeColor="text1"/>
          <w:sz w:val="24"/>
          <w:szCs w:val="24"/>
        </w:rPr>
        <w:t>satisfativa</w:t>
      </w:r>
      <w:proofErr w:type="spellEnd"/>
      <w:r w:rsidR="0048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direito material. </w:t>
      </w:r>
    </w:p>
    <w:p w:rsidR="0048624A" w:rsidRPr="0048624A" w:rsidRDefault="0048624A" w:rsidP="0048624A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62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provisionais, ao anteciparem a eficácia do provimento final de acolhimento da demanda, em verdade, realizam plenamente o direito posto em causa, ainda que sob forma provisória, ao passo que as medidas propriamente cautelares, enquanto tutelas apenas de segurança, </w:t>
      </w:r>
      <w:proofErr w:type="gramStart"/>
      <w:r w:rsidRPr="0048624A">
        <w:rPr>
          <w:rFonts w:ascii="Times New Roman" w:hAnsi="Times New Roman" w:cs="Times New Roman"/>
          <w:color w:val="000000" w:themeColor="text1"/>
          <w:sz w:val="20"/>
          <w:szCs w:val="20"/>
        </w:rPr>
        <w:t>limitam-se</w:t>
      </w:r>
      <w:proofErr w:type="gramEnd"/>
      <w:r w:rsidRPr="004862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assegurar a possibilidade de realização, para o caso de vir a sentença final a reconhecer a procedência da pretensão assegur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ada (MARINONI, 2011, p. 108). </w:t>
      </w:r>
      <w:r w:rsidRPr="004862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01CE3" w:rsidRDefault="0048624A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 título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exemplificativo, tomemos a situação em que </w:t>
      </w:r>
      <w:r w:rsidR="00401CE3">
        <w:rPr>
          <w:rFonts w:ascii="Times New Roman" w:hAnsi="Times New Roman" w:cs="Times New Roman"/>
          <w:color w:val="000000" w:themeColor="text1"/>
          <w:sz w:val="24"/>
          <w:szCs w:val="24"/>
        </w:rPr>
        <w:t>um pai e uma mãe discutem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judicialmente</w:t>
      </w:r>
      <w:r w:rsidR="0040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guarda de uma criança. Se a discussão é acerca da guarda, a sentença determinará de quem a será.  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>O pai</w:t>
      </w:r>
      <w:r w:rsidR="00401CE3">
        <w:rPr>
          <w:rFonts w:ascii="Times New Roman" w:hAnsi="Times New Roman" w:cs="Times New Roman"/>
          <w:color w:val="000000" w:themeColor="text1"/>
          <w:sz w:val="24"/>
          <w:szCs w:val="24"/>
        </w:rPr>
        <w:t>, no curso do processo, decide viajar com o filho no intuito de impedir que, diante da possibil</w:t>
      </w:r>
      <w:r w:rsidR="00492B18">
        <w:rPr>
          <w:rFonts w:ascii="Times New Roman" w:hAnsi="Times New Roman" w:cs="Times New Roman"/>
          <w:color w:val="000000" w:themeColor="text1"/>
          <w:sz w:val="24"/>
          <w:szCs w:val="24"/>
        </w:rPr>
        <w:t>idade d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>a mãe</w:t>
      </w:r>
      <w:r w:rsidR="0040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sair vencedor na causa, el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0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possa usufruir da guarda. 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>A mãe</w:t>
      </w:r>
      <w:r w:rsidR="0040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sabendo de tal fato, ajuíza uma medida que impeça a viagem da criança. </w:t>
      </w:r>
      <w:proofErr w:type="gramStart"/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medida que impede a viagem não satisfaz a pretensão da mãe, </w:t>
      </w:r>
      <w:r w:rsidR="00492B18">
        <w:rPr>
          <w:rFonts w:ascii="Times New Roman" w:hAnsi="Times New Roman" w:cs="Times New Roman"/>
          <w:color w:val="000000" w:themeColor="text1"/>
          <w:sz w:val="24"/>
          <w:szCs w:val="24"/>
        </w:rPr>
        <w:t>mas</w:t>
      </w:r>
      <w:r w:rsidR="00307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tão somente garante outra medida que a satisfará: a guarda da criança. Essa medida, pois, garante a eficácia da guarda, mas não a guarda propriamente dit</w:t>
      </w:r>
      <w:r w:rsidR="00492B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</w:p>
    <w:p w:rsidR="00436023" w:rsidRDefault="00436023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cautelar, então, como explica Marinoni (2011), visa assegurar a viabilidade da realização do direito; e afirmar que a cautelar pode realizar o próprio direito (conceder a guarda), é incidir em contradição, pois uma vez realizado o direito material nada mais resta para ser assegurado. Quando o direito é satisfeito nada é assegurado e nenhuma função cautelar é cumprida. </w:t>
      </w:r>
      <w:r w:rsidR="004F2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Dessa forma, é imprescindível que a tutela não satisfaça o direito material para que possa adquirir o caráter de cautelar. </w:t>
      </w:r>
    </w:p>
    <w:p w:rsidR="00492B18" w:rsidRPr="00492B18" w:rsidRDefault="00492B18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B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tutela antecipatória, </w:t>
      </w:r>
      <w:r w:rsidR="004F2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invés, </w:t>
      </w:r>
      <w:r w:rsidRPr="00492B18">
        <w:rPr>
          <w:rFonts w:ascii="Times New Roman" w:hAnsi="Times New Roman" w:cs="Times New Roman"/>
          <w:color w:val="000000"/>
          <w:sz w:val="24"/>
          <w:szCs w:val="24"/>
        </w:rPr>
        <w:t xml:space="preserve">faz com que, antes mesmo de a sentença ser proferida, seus prováveis efeitos </w:t>
      </w:r>
      <w:proofErr w:type="gramStart"/>
      <w:r w:rsidRPr="00492B18">
        <w:rPr>
          <w:rFonts w:ascii="Times New Roman" w:hAnsi="Times New Roman" w:cs="Times New Roman"/>
          <w:color w:val="000000"/>
          <w:sz w:val="24"/>
          <w:szCs w:val="24"/>
        </w:rPr>
        <w:t>sejam</w:t>
      </w:r>
      <w:proofErr w:type="gramEnd"/>
      <w:r w:rsidRPr="00492B18">
        <w:rPr>
          <w:rFonts w:ascii="Times New Roman" w:hAnsi="Times New Roman" w:cs="Times New Roman"/>
          <w:color w:val="000000"/>
          <w:sz w:val="24"/>
          <w:szCs w:val="24"/>
        </w:rPr>
        <w:t xml:space="preserve"> produzidos.</w:t>
      </w:r>
      <w:r w:rsidR="00A06EA9">
        <w:rPr>
          <w:rFonts w:ascii="Times New Roman" w:hAnsi="Times New Roman" w:cs="Times New Roman"/>
          <w:color w:val="000000"/>
          <w:sz w:val="24"/>
          <w:szCs w:val="24"/>
        </w:rPr>
        <w:t xml:space="preserve"> Ela satisfaz, portanto</w:t>
      </w:r>
      <w:r w:rsidR="00436023">
        <w:rPr>
          <w:rFonts w:ascii="Times New Roman" w:hAnsi="Times New Roman" w:cs="Times New Roman"/>
          <w:color w:val="000000"/>
          <w:sz w:val="24"/>
          <w:szCs w:val="24"/>
        </w:rPr>
        <w:t>, o próprio direito</w:t>
      </w:r>
      <w:r w:rsidR="004F291B">
        <w:rPr>
          <w:rFonts w:ascii="Times New Roman" w:hAnsi="Times New Roman" w:cs="Times New Roman"/>
          <w:color w:val="000000"/>
          <w:sz w:val="24"/>
          <w:szCs w:val="24"/>
        </w:rPr>
        <w:t xml:space="preserve"> material. </w:t>
      </w:r>
    </w:p>
    <w:p w:rsidR="00D32BD9" w:rsidRDefault="004F291B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Segundo, os requisitos fundamentais para o ajuizamento dos aludidos instrumentos são, assim como eles, distintos. </w:t>
      </w:r>
      <w:r w:rsidR="00D32BD9">
        <w:rPr>
          <w:rFonts w:ascii="Times New Roman" w:hAnsi="Times New Roman" w:cs="Times New Roman"/>
          <w:color w:val="000000" w:themeColor="text1"/>
          <w:sz w:val="24"/>
          <w:szCs w:val="24"/>
        </w:rPr>
        <w:t>Observe-se, entretanto,</w:t>
      </w:r>
      <w:r w:rsidR="000B4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essa afirmação não é pacífica na doutrina</w:t>
      </w:r>
      <w:r w:rsidR="00D32B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D32BD9">
        <w:rPr>
          <w:rFonts w:ascii="Times New Roman" w:hAnsi="Times New Roman" w:cs="Times New Roman"/>
          <w:color w:val="000000" w:themeColor="text1"/>
          <w:sz w:val="24"/>
          <w:szCs w:val="24"/>
        </w:rPr>
        <w:t>e alguns autores</w:t>
      </w:r>
      <w:r w:rsidR="000B4304">
        <w:rPr>
          <w:rFonts w:ascii="Times New Roman" w:hAnsi="Times New Roman" w:cs="Times New Roman"/>
          <w:color w:val="000000" w:themeColor="text1"/>
          <w:sz w:val="24"/>
          <w:szCs w:val="24"/>
        </w:rPr>
        <w:t>, a exemplo de Alexandre Freitas Câmara (2012),</w:t>
      </w:r>
      <w:r w:rsidR="00D32B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afirmam que os seus requisitos seriam os mesmos da Cautelar. Essa questão será trabalhada mais a diante. </w:t>
      </w:r>
    </w:p>
    <w:p w:rsidR="000B4304" w:rsidRDefault="004F291B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Cautelar tem como requisitos o </w:t>
      </w:r>
      <w:r w:rsidR="00D32BD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="00D32BD9" w:rsidRP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mus</w:t>
      </w:r>
      <w:proofErr w:type="spellEnd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boni</w:t>
      </w:r>
      <w:proofErr w:type="spellEnd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="00D32BD9" w:rsidRP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uris</w:t>
      </w:r>
      <w:proofErr w:type="spellEnd"/>
      <w:r w:rsidR="00D32BD9" w:rsidRP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D32B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(fumaça do bom direito), que é a possibilidade da existência de um direito, e o “</w:t>
      </w:r>
      <w:proofErr w:type="spellStart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periculum</w:t>
      </w:r>
      <w:proofErr w:type="spellEnd"/>
      <w:r w:rsidR="00A06E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 m</w:t>
      </w:r>
      <w:r w:rsidR="00D32BD9" w:rsidRP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ora”</w:t>
      </w:r>
      <w:r w:rsidR="00D32B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(perigo da demora), que é um fato que pode ocasionar dano irreparável se houver demora de uma providência. </w:t>
      </w:r>
      <w:r w:rsidR="000B4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Quanto à Antecipada, determina o CPC/73, em seu art. 273, que são requisitos o </w:t>
      </w:r>
      <w:r w:rsid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requerimento</w:t>
      </w:r>
      <w:r w:rsidR="000B4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parte, que sempre devera também demonstrar que há </w:t>
      </w:r>
      <w:r w:rsidR="000B4304" w:rsidRP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verossimilhança</w:t>
      </w:r>
      <w:r w:rsidR="000B4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suas alegações, bem como </w:t>
      </w:r>
      <w:r w:rsidR="000B4304" w:rsidRPr="000B43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prova inequívoca</w:t>
      </w:r>
      <w:r w:rsidR="000B4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6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</w:t>
      </w:r>
      <w:r w:rsidR="00D0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esses três requisitos cumulados devem estar acompanhados de uma das seguintes circunstâncias, dispostas nos incisos I, II e §6º do aludido dispositivo: </w:t>
      </w:r>
    </w:p>
    <w:p w:rsidR="00D07F93" w:rsidRPr="00411043" w:rsidRDefault="00B14730" w:rsidP="00746DBE">
      <w:pPr>
        <w:pStyle w:val="NormalWeb"/>
        <w:spacing w:after="100" w:line="360" w:lineRule="auto"/>
        <w:ind w:firstLine="1134"/>
        <w:jc w:val="both"/>
        <w:rPr>
          <w:color w:val="000000"/>
        </w:rPr>
      </w:pPr>
      <w:r w:rsidRPr="00411043">
        <w:rPr>
          <w:color w:val="000000"/>
        </w:rPr>
        <w:t>“</w:t>
      </w:r>
      <w:r w:rsidR="00D07F93" w:rsidRPr="00411043">
        <w:rPr>
          <w:color w:val="000000"/>
        </w:rPr>
        <w:t>I - haja fundado receio de dano irreparável ou de difícil reparação</w:t>
      </w:r>
      <w:r w:rsidRPr="00411043">
        <w:rPr>
          <w:color w:val="000000"/>
        </w:rPr>
        <w:t>”</w:t>
      </w:r>
      <w:r w:rsidR="00D07F93" w:rsidRPr="00411043">
        <w:rPr>
          <w:color w:val="000000"/>
        </w:rPr>
        <w:t>: é a</w:t>
      </w:r>
      <w:r w:rsidR="00D07F93" w:rsidRPr="00411043">
        <w:rPr>
          <w:i/>
          <w:color w:val="000000"/>
        </w:rPr>
        <w:t xml:space="preserve"> tutela de urgência</w:t>
      </w:r>
      <w:r w:rsidR="00411043" w:rsidRPr="00411043">
        <w:rPr>
          <w:color w:val="000000"/>
        </w:rPr>
        <w:t>, ou seja, a situação em que a parte não pode esperar o momento ordinário para ter a tutela jurisdicional</w:t>
      </w:r>
      <w:r w:rsidR="00411043">
        <w:rPr>
          <w:color w:val="000000"/>
        </w:rPr>
        <w:t>. Esta é a modalidade mais</w:t>
      </w:r>
      <w:r w:rsidR="003743AE">
        <w:rPr>
          <w:color w:val="000000"/>
        </w:rPr>
        <w:t xml:space="preserve"> recorrente na prática forense, e a única que</w:t>
      </w:r>
      <w:r w:rsidR="00C92E01">
        <w:rPr>
          <w:color w:val="000000"/>
        </w:rPr>
        <w:t>, por uma questão de lógica,</w:t>
      </w:r>
      <w:r w:rsidR="003743AE">
        <w:rPr>
          <w:color w:val="000000"/>
        </w:rPr>
        <w:t xml:space="preserve"> pode ser concedida liminarmente. </w:t>
      </w:r>
    </w:p>
    <w:p w:rsidR="00D07F93" w:rsidRPr="00411043" w:rsidRDefault="00B14730" w:rsidP="00746DBE">
      <w:pPr>
        <w:pStyle w:val="NormalWeb"/>
        <w:tabs>
          <w:tab w:val="left" w:pos="3870"/>
        </w:tabs>
        <w:spacing w:after="100" w:line="360" w:lineRule="auto"/>
        <w:ind w:firstLine="1134"/>
        <w:jc w:val="both"/>
        <w:rPr>
          <w:color w:val="000000"/>
        </w:rPr>
      </w:pPr>
      <w:r w:rsidRPr="00411043">
        <w:rPr>
          <w:color w:val="000000"/>
        </w:rPr>
        <w:t>“</w:t>
      </w:r>
      <w:r w:rsidR="00D07F93" w:rsidRPr="00411043">
        <w:rPr>
          <w:color w:val="000000"/>
        </w:rPr>
        <w:t>II - fique caracterizado o abuso de direito de defesa ou o manifesto propósito protelatório do réu</w:t>
      </w:r>
      <w:r w:rsidRPr="00411043">
        <w:rPr>
          <w:color w:val="000000"/>
        </w:rPr>
        <w:t>”: é a</w:t>
      </w:r>
      <w:r w:rsidR="00D07F93" w:rsidRPr="00411043">
        <w:rPr>
          <w:i/>
          <w:color w:val="000000"/>
        </w:rPr>
        <w:t xml:space="preserve"> tutela de evidência</w:t>
      </w:r>
      <w:r w:rsidR="00411043" w:rsidRPr="00411043">
        <w:rPr>
          <w:color w:val="000000"/>
        </w:rPr>
        <w:tab/>
        <w:t xml:space="preserve"> - evidência de má fé processual. Sabe-se que as partes tem o dever de lealdade no processo. De acordo com Barros (2012), quando a participação do réu for evidente no sentido de somente causar empecilho para que o autor obtenha a prestação jurisdicional, é possível que se constate que está atuando com má</w:t>
      </w:r>
      <w:r w:rsidR="00411043">
        <w:rPr>
          <w:color w:val="000000"/>
        </w:rPr>
        <w:t>-</w:t>
      </w:r>
      <w:r w:rsidR="00411043" w:rsidRPr="00411043">
        <w:rPr>
          <w:color w:val="000000"/>
        </w:rPr>
        <w:t xml:space="preserve">fé processual. Dessa forma, o juiz pode, além de outras sanções, antecipar os efeitos da tutela jurisdicional. </w:t>
      </w:r>
      <w:r w:rsidR="00A36E4E">
        <w:rPr>
          <w:color w:val="000000"/>
        </w:rPr>
        <w:t>R</w:t>
      </w:r>
      <w:r w:rsidR="00411043" w:rsidRPr="00411043">
        <w:rPr>
          <w:color w:val="000000"/>
        </w:rPr>
        <w:t>essal</w:t>
      </w:r>
      <w:r w:rsidR="00A36E4E">
        <w:rPr>
          <w:color w:val="000000"/>
        </w:rPr>
        <w:t>te-se</w:t>
      </w:r>
      <w:r w:rsidR="00411043" w:rsidRPr="00411043">
        <w:rPr>
          <w:color w:val="000000"/>
        </w:rPr>
        <w:t>, contudo, que não é qualquer ato que pode ser considerado como má</w:t>
      </w:r>
      <w:r w:rsidR="00411043">
        <w:rPr>
          <w:color w:val="000000"/>
        </w:rPr>
        <w:t>-</w:t>
      </w:r>
      <w:r w:rsidR="00411043" w:rsidRPr="00411043">
        <w:rPr>
          <w:color w:val="000000"/>
        </w:rPr>
        <w:t>fé processual, pois, no fim das contas,</w:t>
      </w:r>
      <w:r w:rsidR="00411043">
        <w:rPr>
          <w:color w:val="000000"/>
        </w:rPr>
        <w:t xml:space="preserve"> a regra é que se presuma a boa-fé </w:t>
      </w:r>
      <w:r w:rsidR="00411043" w:rsidRPr="00411043">
        <w:rPr>
          <w:color w:val="000000"/>
        </w:rPr>
        <w:t>e que se permita ao réu participar ostensivamente do processo</w:t>
      </w:r>
      <w:r w:rsidR="00411043">
        <w:rPr>
          <w:color w:val="000000"/>
        </w:rPr>
        <w:t>, de acordo com</w:t>
      </w:r>
      <w:r w:rsidR="00411043" w:rsidRPr="00411043">
        <w:rPr>
          <w:color w:val="000000"/>
        </w:rPr>
        <w:t xml:space="preserve"> o devido processo legal.</w:t>
      </w:r>
    </w:p>
    <w:p w:rsidR="00411043" w:rsidRDefault="00B14730" w:rsidP="00746DBE">
      <w:pPr>
        <w:pStyle w:val="NormalWeb"/>
        <w:spacing w:after="100" w:line="360" w:lineRule="auto"/>
        <w:ind w:firstLine="1134"/>
        <w:jc w:val="both"/>
        <w:rPr>
          <w:color w:val="000000"/>
        </w:rPr>
      </w:pPr>
      <w:r w:rsidRPr="00411043">
        <w:rPr>
          <w:color w:val="000000"/>
        </w:rPr>
        <w:t>“§ 6</w:t>
      </w:r>
      <w:r w:rsidRPr="00411043">
        <w:rPr>
          <w:color w:val="000000"/>
          <w:u w:val="single"/>
          <w:vertAlign w:val="superscript"/>
        </w:rPr>
        <w:t>o</w:t>
      </w:r>
      <w:r w:rsidRPr="00411043">
        <w:rPr>
          <w:rStyle w:val="apple-converted-space"/>
          <w:color w:val="000000"/>
        </w:rPr>
        <w:t> </w:t>
      </w:r>
      <w:r w:rsidRPr="00411043">
        <w:rPr>
          <w:color w:val="000000"/>
        </w:rPr>
        <w:t xml:space="preserve"> (...) quando um ou mais dos pedidos cumulados, ou parcela deles, mostrar-se incontroverso”:</w:t>
      </w:r>
      <w:r w:rsidR="00D07F93" w:rsidRPr="00411043">
        <w:rPr>
          <w:color w:val="000000"/>
        </w:rPr>
        <w:t xml:space="preserve"> </w:t>
      </w:r>
      <w:r w:rsidRPr="00411043">
        <w:rPr>
          <w:color w:val="000000"/>
        </w:rPr>
        <w:t>é a</w:t>
      </w:r>
      <w:r w:rsidRPr="00411043">
        <w:rPr>
          <w:i/>
          <w:color w:val="000000"/>
        </w:rPr>
        <w:t xml:space="preserve"> </w:t>
      </w:r>
      <w:r w:rsidR="00D07F93" w:rsidRPr="00411043">
        <w:rPr>
          <w:i/>
          <w:color w:val="000000"/>
        </w:rPr>
        <w:t>tutela de parcela incontroversa</w:t>
      </w:r>
      <w:r w:rsidR="00411043" w:rsidRPr="00411043">
        <w:rPr>
          <w:i/>
          <w:color w:val="000000"/>
        </w:rPr>
        <w:t xml:space="preserve">, </w:t>
      </w:r>
      <w:r w:rsidR="00411043" w:rsidRPr="00411043">
        <w:rPr>
          <w:color w:val="000000"/>
        </w:rPr>
        <w:t xml:space="preserve">pois não há lide no que é </w:t>
      </w:r>
      <w:r w:rsidR="00411043" w:rsidRPr="00411043">
        <w:rPr>
          <w:color w:val="000000"/>
        </w:rPr>
        <w:lastRenderedPageBreak/>
        <w:t xml:space="preserve">incontroverso. Ora, se o réu reconhece parte do direito que o autor está postulando, não há razão para esperar o desfecho ordinário. </w:t>
      </w:r>
    </w:p>
    <w:p w:rsidR="00411043" w:rsidRPr="00411043" w:rsidRDefault="00A06EA9" w:rsidP="00746DBE">
      <w:pPr>
        <w:pStyle w:val="NormalWeb"/>
        <w:spacing w:after="100" w:line="360" w:lineRule="auto"/>
        <w:ind w:firstLine="1134"/>
        <w:jc w:val="both"/>
        <w:rPr>
          <w:rStyle w:val="apple-converted-space"/>
          <w:color w:val="000000"/>
        </w:rPr>
      </w:pPr>
      <w:r w:rsidRPr="00411043">
        <w:rPr>
          <w:color w:val="000000"/>
        </w:rPr>
        <w:t>Além dos requisitos positivos, existe um requisito negativo para a concessão da tutela antecipada, expresso no §2º: “não se concederá a antecipação da tutela quando houver perigo de irreversibilidade do provimento antecipado”.</w:t>
      </w:r>
      <w:r w:rsidRPr="00411043">
        <w:rPr>
          <w:rStyle w:val="apple-converted-space"/>
          <w:color w:val="000000"/>
        </w:rPr>
        <w:t> </w:t>
      </w:r>
      <w:r w:rsidR="00411043" w:rsidRPr="00411043">
        <w:rPr>
          <w:rStyle w:val="apple-converted-space"/>
          <w:color w:val="000000"/>
        </w:rPr>
        <w:t xml:space="preserve">Relata Barros (2012) que o </w:t>
      </w:r>
      <w:r w:rsidR="00411043" w:rsidRPr="00411043">
        <w:rPr>
          <w:color w:val="000000"/>
        </w:rPr>
        <w:t xml:space="preserve">perigo a que o Código se refere é relativo aos efeitos fáticos da tutela antecipada, ou seja, são os efeitos práticos da tutela antecipada no mundo dos fatos que não podem, em regra, serem irreversíveis. </w:t>
      </w:r>
    </w:p>
    <w:p w:rsidR="00411043" w:rsidRDefault="00411043" w:rsidP="00746DBE">
      <w:pPr>
        <w:pStyle w:val="NormalWeb"/>
        <w:spacing w:after="100" w:line="360" w:lineRule="auto"/>
        <w:ind w:firstLine="1134"/>
        <w:jc w:val="both"/>
        <w:rPr>
          <w:color w:val="000000"/>
        </w:rPr>
      </w:pPr>
      <w:r w:rsidRPr="00411043">
        <w:rPr>
          <w:color w:val="000000"/>
        </w:rPr>
        <w:t xml:space="preserve">Esse requisito negativo se dá em razão de que o pronunciamento do juiz acerca da tutela antecipada tem como característica a </w:t>
      </w:r>
      <w:proofErr w:type="spellStart"/>
      <w:r w:rsidRPr="00411043">
        <w:rPr>
          <w:color w:val="000000"/>
        </w:rPr>
        <w:t>provisoriedade</w:t>
      </w:r>
      <w:proofErr w:type="spellEnd"/>
      <w:r w:rsidRPr="00411043">
        <w:rPr>
          <w:color w:val="000000"/>
        </w:rPr>
        <w:t xml:space="preserve">. Segundo Barros (2012), essa </w:t>
      </w:r>
      <w:proofErr w:type="spellStart"/>
      <w:r w:rsidRPr="00411043">
        <w:rPr>
          <w:color w:val="000000"/>
        </w:rPr>
        <w:t>provisoriedade</w:t>
      </w:r>
      <w:proofErr w:type="spellEnd"/>
      <w:r w:rsidRPr="00411043">
        <w:rPr>
          <w:color w:val="000000"/>
        </w:rPr>
        <w:t>, prevista no §4º</w:t>
      </w:r>
      <w:r w:rsidRPr="00411043">
        <w:rPr>
          <w:rStyle w:val="Refdenotaderodap"/>
          <w:color w:val="000000"/>
        </w:rPr>
        <w:t xml:space="preserve"> </w:t>
      </w:r>
      <w:r w:rsidRPr="00411043">
        <w:rPr>
          <w:color w:val="000000"/>
        </w:rPr>
        <w:t>do art. 273 do CPC/73, significa que o pronunciamento do juiz que concede tutela antecipada é sempre reversível, afinal, a antecipação da tutela antecipa os efeitos de uma provável sentença, mas não a sentença propriamente dita. Os efeitos da sentença são prováveis, mas não significam que necessariamente ocorrerão – é apenas uma grande probabilidade, derivada da verossimilhança e da prova robusta. Assim, portanto, a decisão do juiz que concede a tutela, por ser provisória, pode ser sempre revista. Daí porque se os efeitos forem irreversíveis no mundo dos fatos</w:t>
      </w:r>
      <w:r>
        <w:rPr>
          <w:color w:val="000000"/>
        </w:rPr>
        <w:t>,</w:t>
      </w:r>
      <w:r w:rsidRPr="00411043">
        <w:rPr>
          <w:color w:val="000000"/>
        </w:rPr>
        <w:t xml:space="preserve"> a tutela antecipada perde sua característica de </w:t>
      </w:r>
      <w:proofErr w:type="spellStart"/>
      <w:r w:rsidRPr="00411043">
        <w:rPr>
          <w:color w:val="000000"/>
        </w:rPr>
        <w:t>provisoriedade</w:t>
      </w:r>
      <w:proofErr w:type="spellEnd"/>
      <w:r w:rsidRPr="00411043">
        <w:rPr>
          <w:color w:val="000000"/>
        </w:rPr>
        <w:t xml:space="preserve">. </w:t>
      </w:r>
    </w:p>
    <w:p w:rsidR="00411043" w:rsidRPr="00411043" w:rsidRDefault="00411043" w:rsidP="00746DBE">
      <w:pPr>
        <w:pStyle w:val="NormalWeb"/>
        <w:spacing w:after="100" w:line="360" w:lineRule="auto"/>
        <w:ind w:firstLine="1134"/>
        <w:jc w:val="both"/>
        <w:rPr>
          <w:color w:val="000000"/>
        </w:rPr>
      </w:pPr>
      <w:r w:rsidRPr="00411043">
        <w:rPr>
          <w:color w:val="000000"/>
        </w:rPr>
        <w:t xml:space="preserve">Em regra, então, impossível que seja reverter no mundo dos fatos os efeitos da tutela antecipada, isto é, se os efeitos práticos da sentença antecipatória não puderem retornar ao </w:t>
      </w:r>
      <w:r w:rsidRPr="00411043">
        <w:rPr>
          <w:i/>
          <w:color w:val="000000"/>
        </w:rPr>
        <w:t xml:space="preserve">status </w:t>
      </w:r>
      <w:proofErr w:type="spellStart"/>
      <w:r w:rsidRPr="00411043">
        <w:rPr>
          <w:i/>
          <w:color w:val="000000"/>
        </w:rPr>
        <w:t>quo</w:t>
      </w:r>
      <w:proofErr w:type="spellEnd"/>
      <w:r w:rsidRPr="00411043">
        <w:rPr>
          <w:i/>
          <w:color w:val="000000"/>
        </w:rPr>
        <w:t xml:space="preserve"> ante,</w:t>
      </w:r>
      <w:r w:rsidRPr="00411043">
        <w:rPr>
          <w:color w:val="000000"/>
        </w:rPr>
        <w:t xml:space="preserve"> não se deve conceder antecipada. </w:t>
      </w:r>
    </w:p>
    <w:p w:rsidR="00D07F93" w:rsidRDefault="00D07F93" w:rsidP="004110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9E6" w:rsidRPr="002509C2" w:rsidRDefault="008D199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509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 FUNGIBILIDADE</w:t>
      </w:r>
      <w:proofErr w:type="gramEnd"/>
      <w:r w:rsidRPr="002509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 ANTECIPADA PELA CAUTELAR </w:t>
      </w:r>
    </w:p>
    <w:p w:rsidR="003A2D15" w:rsidRDefault="003A2D15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Gajardoni (2008, p. 190), fungibilidade é uma “operação de se receber um ato processual praticado por outro, isto na suposição de que, além de mais adequado aos fins pretendidos,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adaptação represente ganho de efetivid</w:t>
      </w:r>
      <w:r w:rsidR="002873EB">
        <w:rPr>
          <w:rFonts w:ascii="Times New Roman" w:hAnsi="Times New Roman" w:cs="Times New Roman"/>
          <w:color w:val="000000" w:themeColor="text1"/>
          <w:sz w:val="24"/>
          <w:szCs w:val="24"/>
        </w:rPr>
        <w:t>ade ou de economia processual”. Os fundamentos de inspiração pra a fungibilidade, segundo o autor, residem na instrumentalidade das formas e na proteção à boa-fé da parte, que supõe praticar o ato mais adequado. A fungibilidade da antecipada pela cautelar foi introduzida expressamente no ordenamento, pelas razões a seguir expostas.</w:t>
      </w:r>
    </w:p>
    <w:p w:rsidR="0016028D" w:rsidRDefault="005D5F11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edição original do CPC instituído em 1973 até a inclusão da Tutela Antecipada em 1994, muito se utilizou </w:t>
      </w:r>
      <w:r w:rsidR="0051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incorretamente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Cautelar como um instrumento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satisfativo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Após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1994, então, presumia-se que tal equívoco não mais ocorreria, haja vista que a inclusão se deu justamente para dar uma resposta à necessidade de uma tutela jurisdicional que efetivamente se prestasse a satisfazer a pretensão da parte em um momento que não fosse o ordinário.</w:t>
      </w:r>
      <w:r w:rsidR="0051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Todavia, devido ao </w:t>
      </w:r>
      <w:r w:rsidR="00160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papel que estava sendo </w:t>
      </w:r>
      <w:proofErr w:type="gramStart"/>
      <w:r w:rsidR="0016028D">
        <w:rPr>
          <w:rFonts w:ascii="Times New Roman" w:hAnsi="Times New Roman" w:cs="Times New Roman"/>
          <w:color w:val="000000" w:themeColor="text1"/>
          <w:sz w:val="24"/>
          <w:szCs w:val="24"/>
        </w:rPr>
        <w:t>desempenhado</w:t>
      </w:r>
      <w:proofErr w:type="gramEnd"/>
      <w:r w:rsidR="00160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Cautelar</w:t>
      </w:r>
      <w:r w:rsidR="001A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antes da inclusão da Antecipada</w:t>
      </w:r>
      <w:r w:rsidR="00160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1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exata distinção entre os dois instrumentos ainda mostrava-se de certa forma obscura na prática forense, e, assim, </w:t>
      </w:r>
      <w:r w:rsidR="00160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ambos os instrumentos começaram a ser utilizados indistintamente, de forma a comprometer a tutela jurisdicional efetiva. </w:t>
      </w:r>
    </w:p>
    <w:p w:rsidR="002509C2" w:rsidRPr="002509C2" w:rsidRDefault="002509C2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Sem desconsiderar as finalidades específicas de cada instrumento, nem as consequências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a parte </w:t>
      </w:r>
      <w:r w:rsidRPr="002509C2">
        <w:rPr>
          <w:rFonts w:ascii="Times New Roman" w:hAnsi="Times New Roman" w:cs="Times New Roman"/>
          <w:color w:val="000000"/>
          <w:sz w:val="24"/>
          <w:szCs w:val="24"/>
        </w:rPr>
        <w:t>de um provimento diverso daquele pretendido, é</w:t>
      </w:r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 possível vislumbrar a dimensão do comprometimento da tutela jurisdicional </w:t>
      </w:r>
      <w:r w:rsidRPr="002509C2">
        <w:rPr>
          <w:rFonts w:ascii="Times New Roman" w:hAnsi="Times New Roman" w:cs="Times New Roman"/>
          <w:color w:val="000000"/>
          <w:sz w:val="24"/>
          <w:szCs w:val="24"/>
        </w:rPr>
        <w:t>ao analisar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ainda, </w:t>
      </w:r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>o fato de que a Cautelar, como diz o livro III do CPC/73 se dá mediante processo específico</w:t>
      </w:r>
      <w:r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. Isso significa que </w:t>
      </w:r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quando a parte se enganava ao pedir uma tutela </w:t>
      </w:r>
      <w:proofErr w:type="spellStart"/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>satisfativa</w:t>
      </w:r>
      <w:proofErr w:type="spellEnd"/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>, quando, na verdade, a sua pretensão era de uma tutela caut</w:t>
      </w:r>
      <w:r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elar, </w:t>
      </w:r>
      <w:r>
        <w:rPr>
          <w:rFonts w:ascii="Times New Roman" w:hAnsi="Times New Roman" w:cs="Times New Roman"/>
          <w:color w:val="000000"/>
          <w:sz w:val="24"/>
          <w:szCs w:val="24"/>
        </w:rPr>
        <w:t>o juiz indeferia o pedido</w:t>
      </w:r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 se fos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postulada no mesmo processo, já que a cautelar </w:t>
      </w:r>
      <w:r w:rsidR="00511551"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requeria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um novo processo. </w:t>
      </w:r>
    </w:p>
    <w:p w:rsidR="002509C2" w:rsidRDefault="0016028D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>Tendo em vi</w:t>
      </w:r>
      <w:r w:rsidR="001D705E"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 esta situação, o legislador, através da Lei nº 10.444 de 2002, </w:t>
      </w:r>
      <w:r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D705E"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cluiu no </w:t>
      </w:r>
      <w:r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273 do CPC/73 </w:t>
      </w:r>
      <w:r w:rsidR="001D705E"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§7, que trouxe </w:t>
      </w:r>
      <w:r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chamada </w:t>
      </w:r>
      <w:r w:rsidRPr="002509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fungibilidade da antecipada pela cautelar</w:t>
      </w:r>
      <w:r w:rsidR="002509C2"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D5F11" w:rsidRPr="002509C2">
        <w:rPr>
          <w:rFonts w:ascii="Times New Roman" w:hAnsi="Times New Roman" w:cs="Times New Roman"/>
          <w:color w:val="000000" w:themeColor="text1"/>
          <w:sz w:val="24"/>
          <w:szCs w:val="24"/>
        </w:rPr>
        <w:t>“s</w:t>
      </w:r>
      <w:r w:rsidR="001D705E" w:rsidRPr="002509C2">
        <w:rPr>
          <w:rFonts w:ascii="Times New Roman" w:hAnsi="Times New Roman" w:cs="Times New Roman"/>
          <w:sz w:val="24"/>
          <w:szCs w:val="24"/>
        </w:rPr>
        <w:t xml:space="preserve">e o autor, a título de antecipação de tutela, requerer providência de natureza cautelar, poderá o juiz, quando presentes os respectivos pressupostos, deferir a medida cautelar em caráter incidental do processo ajuizado”. </w:t>
      </w:r>
      <w:r w:rsidR="002509C2" w:rsidRPr="002509C2">
        <w:rPr>
          <w:rFonts w:ascii="Times New Roman" w:hAnsi="Times New Roman" w:cs="Times New Roman"/>
          <w:sz w:val="24"/>
          <w:szCs w:val="24"/>
        </w:rPr>
        <w:t xml:space="preserve">Destarte, depois de 2002, </w:t>
      </w:r>
      <w:r w:rsidR="002509C2" w:rsidRPr="002509C2">
        <w:rPr>
          <w:rFonts w:ascii="Times New Roman" w:hAnsi="Times New Roman" w:cs="Times New Roman"/>
          <w:color w:val="000000"/>
          <w:sz w:val="24"/>
          <w:szCs w:val="24"/>
        </w:rPr>
        <w:t>se permitiu que, se a</w:t>
      </w:r>
      <w:r w:rsidR="002509C2">
        <w:rPr>
          <w:rFonts w:ascii="Times New Roman" w:hAnsi="Times New Roman" w:cs="Times New Roman"/>
          <w:color w:val="000000"/>
          <w:sz w:val="24"/>
          <w:szCs w:val="24"/>
        </w:rPr>
        <w:t xml:space="preserve"> parte</w:t>
      </w:r>
      <w:r w:rsidR="002509C2" w:rsidRPr="002509C2">
        <w:rPr>
          <w:rFonts w:ascii="Times New Roman" w:hAnsi="Times New Roman" w:cs="Times New Roman"/>
          <w:color w:val="000000"/>
          <w:sz w:val="24"/>
          <w:szCs w:val="24"/>
        </w:rPr>
        <w:t xml:space="preserve"> se equivocasse e pedisse uma tutela a título de antecipatória, mas na verdade a providencia pretendida fosse cautelar, ao invés de indeferir, é possível que, preenchidos os respectivos pressupostos, se conceda a cautelar. </w:t>
      </w:r>
    </w:p>
    <w:p w:rsidR="0023204D" w:rsidRDefault="0023204D" w:rsidP="00746DB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204D">
        <w:rPr>
          <w:rFonts w:ascii="Times New Roman" w:hAnsi="Times New Roman" w:cs="Times New Roman"/>
          <w:color w:val="000000"/>
          <w:sz w:val="20"/>
          <w:szCs w:val="20"/>
        </w:rPr>
        <w:t xml:space="preserve">Este novo dispositivo, partindo da premissa de que as dificuldades como as apontadas podem ocorrer, tem por objetivo permitir que o juiz </w:t>
      </w:r>
      <w:proofErr w:type="gramStart"/>
      <w:r w:rsidRPr="0023204D">
        <w:rPr>
          <w:rFonts w:ascii="Times New Roman" w:hAnsi="Times New Roman" w:cs="Times New Roman"/>
          <w:color w:val="000000"/>
          <w:sz w:val="20"/>
          <w:szCs w:val="20"/>
        </w:rPr>
        <w:t>conceda</w:t>
      </w:r>
      <w:proofErr w:type="gramEnd"/>
      <w:r w:rsidRPr="0023204D">
        <w:rPr>
          <w:rFonts w:ascii="Times New Roman" w:hAnsi="Times New Roman" w:cs="Times New Roman"/>
          <w:color w:val="000000"/>
          <w:sz w:val="20"/>
          <w:szCs w:val="20"/>
        </w:rPr>
        <w:t xml:space="preserve"> a necessária tutela urgente no processo de conhecimento, e assim revele o requerimento realizado, </w:t>
      </w:r>
      <w:r w:rsidRPr="0023204D">
        <w:rPr>
          <w:rFonts w:ascii="Times New Roman" w:hAnsi="Times New Roman" w:cs="Times New Roman"/>
          <w:i/>
          <w:color w:val="000000"/>
          <w:sz w:val="20"/>
          <w:szCs w:val="20"/>
        </w:rPr>
        <w:t>quando for nebulosa a natureza da tutela postulada, vale dizer, quando for fundado e razoável o equívoco do requeren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te </w:t>
      </w:r>
      <w:r>
        <w:rPr>
          <w:rFonts w:ascii="Times New Roman" w:hAnsi="Times New Roman" w:cs="Times New Roman"/>
          <w:color w:val="000000"/>
          <w:sz w:val="20"/>
          <w:szCs w:val="20"/>
        </w:rPr>
        <w:t>(MARINONI, 2008, p. 228)</w:t>
      </w:r>
    </w:p>
    <w:p w:rsidR="00746DBE" w:rsidRDefault="00746DBE" w:rsidP="00746DB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46DBE" w:rsidRPr="00746DBE" w:rsidRDefault="00746DBE" w:rsidP="00746DB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09C2" w:rsidRPr="00762121" w:rsidRDefault="002509C2" w:rsidP="00746D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óbvio, os </w:t>
      </w:r>
      <w:r w:rsidR="003071C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respectivos pressupostos</w:t>
      </w:r>
      <w:r w:rsidR="003071C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1CC">
        <w:rPr>
          <w:rFonts w:ascii="Times New Roman" w:hAnsi="Times New Roman" w:cs="Times New Roman"/>
          <w:sz w:val="24"/>
          <w:szCs w:val="24"/>
        </w:rPr>
        <w:t>referidos no</w:t>
      </w:r>
      <w:r>
        <w:rPr>
          <w:rFonts w:ascii="Times New Roman" w:hAnsi="Times New Roman" w:cs="Times New Roman"/>
          <w:sz w:val="24"/>
          <w:szCs w:val="24"/>
        </w:rPr>
        <w:t xml:space="preserve"> §7º diz</w:t>
      </w:r>
      <w:r w:rsidR="003071C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respeito </w:t>
      </w:r>
      <w:r w:rsidR="003071CC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pressupostos da Cautelar, quais sejam,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fumaça do bom direito e o perigo da demora.</w:t>
      </w:r>
      <w:r w:rsidR="0076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vez presentes, é possível a fungibilidade da antecipada pela cautelar.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observado anteriormente, alguns autores afirmam que pressupostos da Antecipada do tipo </w:t>
      </w:r>
      <w:r w:rsidR="006C21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urgente </w:t>
      </w:r>
      <w:r w:rsidR="006C2107">
        <w:rPr>
          <w:rFonts w:ascii="Times New Roman" w:hAnsi="Times New Roman" w:cs="Times New Roman"/>
          <w:color w:val="000000" w:themeColor="text1"/>
          <w:sz w:val="24"/>
          <w:szCs w:val="24"/>
        </w:rPr>
        <w:t>seriam os mesmos da Cautelar. Fazer essa afirmação, contudo, é incorrer em algumas consequências de ordem prática para a efetiva tutela jurisdicional, razão pela qual este trabalho s</w:t>
      </w:r>
      <w:r w:rsidR="0054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posiciona </w:t>
      </w:r>
      <w:r w:rsidR="00545E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 forma contrária a</w:t>
      </w:r>
      <w:r w:rsidR="00762121">
        <w:rPr>
          <w:rFonts w:ascii="Times New Roman" w:hAnsi="Times New Roman" w:cs="Times New Roman"/>
          <w:color w:val="000000" w:themeColor="text1"/>
          <w:sz w:val="24"/>
          <w:szCs w:val="24"/>
        </w:rPr>
        <w:t>o entendimento de que são os mesmos</w:t>
      </w:r>
      <w:r w:rsidR="00545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Fazer essa afirmação é, por conseguinte, </w:t>
      </w:r>
      <w:r w:rsidR="009177C0"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t>desconsiderar os graus de cognição</w:t>
      </w:r>
      <w:r w:rsidR="00411043"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42C4" w:rsidRDefault="00E942C4" w:rsidP="00746D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199C" w:rsidRPr="003F5D23" w:rsidRDefault="008D199C" w:rsidP="00746D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FUNGIBILIDADE DE MÃO DUPLA E OS GRAUS DE COGNIÇÃO</w:t>
      </w:r>
    </w:p>
    <w:p w:rsidR="00762121" w:rsidRDefault="00762121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o §7º do era. 273 do CPC/73, para que o juiz defira a medida cautelar em caráter incidental no processo ajuizado, ou seja, para que haja a fungibilidade,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necessário que estejam presentes os pressupostos da cautelar. Dessa forma, o que o CPC/73 prevê é a fungibilidade da antecipada pela cautelar. Daí a doutrina argui a seguinte questão: seria possível</w:t>
      </w:r>
      <w:r w:rsidR="00CB7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fungibilidade da cautelar pela antecipada, isto é, a fungibilidade de mão dupla? </w:t>
      </w:r>
    </w:p>
    <w:p w:rsidR="00326C92" w:rsidRDefault="00CB7669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primeiro capítulo deste trabalho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item 1.1)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foi reconhecida no julgador a capacidade para adequar o mecanismo às especificidades da situação</w:t>
      </w:r>
      <w:r w:rsidR="00917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26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Também foi visto que uma das formas de adequar o mecanismo às especificidades da situação é utilizando-se da cognição, que, em âmbito de cautelar e antecipada, é a chamada cognição sumária ou superficial. Contudo, a cognição sumária possui graus. Por este motivo, apesar de a cautelar e antecipada enquadrarem-se, segundo a doutrina, no mesmo requisito de cognição para sua concessão, não significa que o grau cognitivo sumário necessário para que o juiz preste sua tutela jurisdicional seja idêntico para ambas. </w:t>
      </w:r>
    </w:p>
    <w:p w:rsidR="006E207A" w:rsidRDefault="009177C0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cediço que os requisitos essenciais para a concessão de tutela antecipada, seja qual for sua natureza, são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verossimilhança das alegações e a prova inequívoca. </w:t>
      </w:r>
      <w:r w:rsidR="000E0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explica Barros (2012) </w:t>
      </w:r>
      <w:r w:rsidR="006E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0E0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o juiz analisa o pedido de tutela antecipada, verifica se os argumentos do demandante são plausíveis e se contém provas que consigam corroborar com os mesmos. </w:t>
      </w:r>
      <w:r w:rsidR="006E207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E0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petição da cautelar</w:t>
      </w:r>
      <w:r w:rsidR="006E207A">
        <w:rPr>
          <w:rFonts w:ascii="Times New Roman" w:hAnsi="Times New Roman" w:cs="Times New Roman"/>
          <w:color w:val="000000" w:themeColor="text1"/>
          <w:sz w:val="24"/>
          <w:szCs w:val="24"/>
        </w:rPr>
        <w:t>, por sua vez,</w:t>
      </w:r>
      <w:r w:rsidR="000E0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tão somente indicar a lide do seu fundamento, já que </w:t>
      </w:r>
      <w:r w:rsidR="006E207A">
        <w:rPr>
          <w:rFonts w:ascii="Times New Roman" w:hAnsi="Times New Roman" w:cs="Times New Roman"/>
          <w:color w:val="000000" w:themeColor="text1"/>
          <w:sz w:val="24"/>
          <w:szCs w:val="24"/>
        </w:rPr>
        <w:t>a cautelar</w:t>
      </w:r>
      <w:r w:rsidR="000E0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como função a</w:t>
      </w:r>
      <w:r w:rsidR="006E2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penas </w:t>
      </w:r>
      <w:r w:rsidR="000E0DFD">
        <w:rPr>
          <w:rFonts w:ascii="Times New Roman" w:hAnsi="Times New Roman" w:cs="Times New Roman"/>
          <w:color w:val="000000" w:themeColor="text1"/>
          <w:sz w:val="24"/>
          <w:szCs w:val="24"/>
        </w:rPr>
        <w:t>resguardar uma situação jurídica tratada em outro proces</w:t>
      </w:r>
      <w:r w:rsidR="006E207A">
        <w:rPr>
          <w:rFonts w:ascii="Times New Roman" w:hAnsi="Times New Roman" w:cs="Times New Roman"/>
          <w:color w:val="000000" w:themeColor="text1"/>
          <w:sz w:val="24"/>
          <w:szCs w:val="24"/>
        </w:rPr>
        <w:t>so, e não satisfazer a pretensão precípua da parte.</w:t>
      </w:r>
    </w:p>
    <w:p w:rsidR="009177C0" w:rsidRDefault="00B04C93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71277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que o juiz, então, conceda uma tutela antecipada, os argumentos tem que ser muito plausíveis e muito fortes. Mas, tratando-se da cautelar, se a parte, no exemplo tratado neste trabalho (capítulo 2, </w:t>
      </w:r>
      <w:r w:rsidR="00071277" w:rsidRPr="00F45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item 2.1)</w:t>
      </w:r>
      <w:r w:rsidR="00071277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>, leva para o juiz a prova de que a criança</w:t>
      </w:r>
      <w:r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viajar com o pai e que está tramitando </w:t>
      </w:r>
      <w:r w:rsidR="00071277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ação de guarda, </w:t>
      </w:r>
      <w:r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convencimento do juiz é suficiente que </w:t>
      </w:r>
      <w:r w:rsidR="00071277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impedimento da viagem </w:t>
      </w:r>
      <w:r w:rsidR="00D505CC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>seja benéfico para o processo de g</w:t>
      </w:r>
      <w:r w:rsidR="00F459A3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>uarda</w:t>
      </w:r>
      <w:r w:rsidR="00D505CC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9A3" w:rsidRPr="00F459A3">
        <w:rPr>
          <w:rFonts w:ascii="Times New Roman" w:hAnsi="Times New Roman" w:cs="Times New Roman"/>
          <w:color w:val="000000" w:themeColor="text1"/>
          <w:sz w:val="24"/>
          <w:szCs w:val="24"/>
        </w:rPr>
        <w:t>– b</w:t>
      </w:r>
      <w:r w:rsidR="009177C0" w:rsidRPr="00F459A3">
        <w:rPr>
          <w:rFonts w:ascii="Times New Roman" w:hAnsi="Times New Roman" w:cs="Times New Roman"/>
          <w:color w:val="000000"/>
          <w:sz w:val="24"/>
          <w:szCs w:val="24"/>
        </w:rPr>
        <w:t>asta</w:t>
      </w:r>
      <w:r w:rsidR="00F45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4F5">
        <w:rPr>
          <w:rFonts w:ascii="Times New Roman" w:hAnsi="Times New Roman" w:cs="Times New Roman"/>
          <w:color w:val="000000"/>
          <w:sz w:val="24"/>
          <w:szCs w:val="24"/>
        </w:rPr>
        <w:t>que a parte, sendo conhecido</w:t>
      </w:r>
      <w:r w:rsidR="009177C0" w:rsidRPr="00F459A3">
        <w:rPr>
          <w:rFonts w:ascii="Times New Roman" w:hAnsi="Times New Roman" w:cs="Times New Roman"/>
          <w:color w:val="000000"/>
          <w:sz w:val="24"/>
          <w:szCs w:val="24"/>
        </w:rPr>
        <w:t xml:space="preserve"> o fundamento do processo principal</w:t>
      </w:r>
      <w:r w:rsidR="00B234F5">
        <w:rPr>
          <w:rFonts w:ascii="Times New Roman" w:hAnsi="Times New Roman" w:cs="Times New Roman"/>
          <w:color w:val="000000"/>
          <w:sz w:val="24"/>
          <w:szCs w:val="24"/>
        </w:rPr>
        <w:t>, esclareça que</w:t>
      </w:r>
      <w:r w:rsidR="009177C0" w:rsidRPr="00F459A3">
        <w:rPr>
          <w:rFonts w:ascii="Times New Roman" w:hAnsi="Times New Roman" w:cs="Times New Roman"/>
          <w:color w:val="000000"/>
          <w:sz w:val="24"/>
          <w:szCs w:val="24"/>
        </w:rPr>
        <w:t xml:space="preserve"> cautelar é necessária para que a lide seja resolvida.</w:t>
      </w:r>
    </w:p>
    <w:p w:rsidR="00A70C5A" w:rsidRDefault="00893707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Barros (2012) aduz que é possível perceber</w:t>
      </w:r>
      <w:r w:rsidR="00B234F5" w:rsidRPr="00B234F5">
        <w:rPr>
          <w:rFonts w:ascii="Times New Roman" w:hAnsi="Times New Roman" w:cs="Times New Roman"/>
          <w:color w:val="000000"/>
          <w:sz w:val="24"/>
          <w:szCs w:val="24"/>
        </w:rPr>
        <w:t xml:space="preserve">, com isso, que o nível de cognição para que o juiz conceda a tutela antecipada é muito </w:t>
      </w:r>
      <w:r w:rsidR="00A50F51">
        <w:rPr>
          <w:rFonts w:ascii="Times New Roman" w:hAnsi="Times New Roman" w:cs="Times New Roman"/>
          <w:color w:val="000000"/>
          <w:sz w:val="24"/>
          <w:szCs w:val="24"/>
        </w:rPr>
        <w:t xml:space="preserve">maior que o nível de cognição </w:t>
      </w:r>
      <w:r w:rsidR="00B234F5" w:rsidRPr="00B234F5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A50F51">
        <w:rPr>
          <w:rFonts w:ascii="Times New Roman" w:hAnsi="Times New Roman" w:cs="Times New Roman"/>
          <w:color w:val="000000"/>
          <w:sz w:val="24"/>
          <w:szCs w:val="24"/>
        </w:rPr>
        <w:t xml:space="preserve"> que conceda </w:t>
      </w:r>
      <w:r w:rsidR="00B234F5" w:rsidRPr="00B234F5">
        <w:rPr>
          <w:rFonts w:ascii="Times New Roman" w:hAnsi="Times New Roman" w:cs="Times New Roman"/>
          <w:color w:val="000000"/>
          <w:sz w:val="24"/>
          <w:szCs w:val="24"/>
        </w:rPr>
        <w:t>uma tutela cautelar, já que o</w:t>
      </w:r>
      <w:r w:rsidR="009177C0" w:rsidRPr="00B234F5">
        <w:rPr>
          <w:rFonts w:ascii="Times New Roman" w:hAnsi="Times New Roman" w:cs="Times New Roman"/>
          <w:color w:val="000000"/>
          <w:sz w:val="24"/>
          <w:szCs w:val="24"/>
        </w:rPr>
        <w:t xml:space="preserve">s requisitos da cautelar são menos robustos. </w:t>
      </w:r>
      <w:r w:rsidR="00A06EA9">
        <w:rPr>
          <w:rFonts w:ascii="Times New Roman" w:hAnsi="Times New Roman" w:cs="Times New Roman"/>
          <w:color w:val="000000"/>
          <w:sz w:val="24"/>
          <w:szCs w:val="24"/>
        </w:rPr>
        <w:t xml:space="preserve">Por este motivo, considerar a possibilidade de uma fungibilidade de mão dupla é, também, considerar a possibilidade de que o juiz poderá uma decisão acerca da demanda antecipadamente </w:t>
      </w:r>
      <w:proofErr w:type="spellStart"/>
      <w:r w:rsidR="00A06EA9">
        <w:rPr>
          <w:rFonts w:ascii="Times New Roman" w:hAnsi="Times New Roman" w:cs="Times New Roman"/>
          <w:color w:val="000000"/>
          <w:sz w:val="24"/>
          <w:szCs w:val="24"/>
        </w:rPr>
        <w:t>satisfativa</w:t>
      </w:r>
      <w:proofErr w:type="spellEnd"/>
      <w:r w:rsidR="00A06EA9">
        <w:rPr>
          <w:rFonts w:ascii="Times New Roman" w:hAnsi="Times New Roman" w:cs="Times New Roman"/>
          <w:color w:val="000000"/>
          <w:sz w:val="24"/>
          <w:szCs w:val="24"/>
        </w:rPr>
        <w:t xml:space="preserve"> utilizando-se de uma cognição insuficiente para tanto. </w:t>
      </w:r>
    </w:p>
    <w:p w:rsidR="00411043" w:rsidRDefault="00326C92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Levando em consideração</w:t>
      </w:r>
      <w:r w:rsidR="00411043" w:rsidRPr="000D42E0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411043">
        <w:rPr>
          <w:rFonts w:ascii="Times New Roman" w:hAnsi="Times New Roman" w:cs="Times New Roman"/>
          <w:color w:val="000000"/>
          <w:sz w:val="24"/>
          <w:szCs w:val="24"/>
        </w:rPr>
        <w:t>um dos</w:t>
      </w:r>
      <w:r w:rsidR="00411043" w:rsidRPr="000D42E0">
        <w:rPr>
          <w:rFonts w:ascii="Times New Roman" w:hAnsi="Times New Roman" w:cs="Times New Roman"/>
          <w:color w:val="000000"/>
          <w:sz w:val="24"/>
          <w:szCs w:val="24"/>
        </w:rPr>
        <w:t xml:space="preserve"> requisit</w:t>
      </w:r>
      <w:r w:rsidR="00411043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411043" w:rsidRPr="000D42E0">
        <w:rPr>
          <w:rFonts w:ascii="Times New Roman" w:hAnsi="Times New Roman" w:cs="Times New Roman"/>
          <w:color w:val="000000"/>
          <w:sz w:val="24"/>
          <w:szCs w:val="24"/>
        </w:rPr>
        <w:t xml:space="preserve"> para a concessão da tutela antecipada </w:t>
      </w:r>
      <w:r w:rsidR="00411043">
        <w:rPr>
          <w:rFonts w:ascii="Times New Roman" w:hAnsi="Times New Roman" w:cs="Times New Roman"/>
          <w:color w:val="000000"/>
          <w:sz w:val="24"/>
          <w:szCs w:val="24"/>
        </w:rPr>
        <w:t xml:space="preserve">é que o resultado no mundo dos fatos seja reversível, é ainda maior o problema da cognição insuficiente para o deferimento de uma tutela antecipada. Isso porque o juiz pode tanto não conceder a tutela antecipada por não saber, ao certo, se há perigo de irreversibilidade; como também concedê-la indistintamente e incorrer na irreversibilidade. </w:t>
      </w:r>
    </w:p>
    <w:p w:rsidR="00411043" w:rsidRDefault="00411043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DBF">
        <w:rPr>
          <w:rFonts w:ascii="Times New Roman" w:hAnsi="Times New Roman" w:cs="Times New Roman"/>
          <w:color w:val="000000"/>
          <w:sz w:val="24"/>
          <w:szCs w:val="24"/>
        </w:rPr>
        <w:t xml:space="preserve">Além disso, vale </w:t>
      </w:r>
      <w:r w:rsidR="00686DBF">
        <w:rPr>
          <w:rFonts w:ascii="Times New Roman" w:hAnsi="Times New Roman" w:cs="Times New Roman"/>
          <w:color w:val="000000"/>
          <w:sz w:val="24"/>
          <w:szCs w:val="24"/>
        </w:rPr>
        <w:t xml:space="preserve">lembrar que </w:t>
      </w:r>
      <w:r w:rsidRPr="00686DBF">
        <w:rPr>
          <w:rFonts w:ascii="Times New Roman" w:hAnsi="Times New Roman" w:cs="Times New Roman"/>
          <w:color w:val="000000"/>
          <w:sz w:val="24"/>
          <w:szCs w:val="24"/>
        </w:rPr>
        <w:t>uma das razões da tutela antecipada foi introduzid</w:t>
      </w:r>
      <w:r w:rsidR="00686DBF" w:rsidRPr="00686DBF">
        <w:rPr>
          <w:rFonts w:ascii="Times New Roman" w:hAnsi="Times New Roman" w:cs="Times New Roman"/>
          <w:color w:val="000000"/>
          <w:sz w:val="24"/>
          <w:szCs w:val="24"/>
        </w:rPr>
        <w:t xml:space="preserve">a no ordenamento foi </w:t>
      </w:r>
      <w:r w:rsidR="00686DBF" w:rsidRPr="0068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motivo de que a maioria </w:t>
      </w:r>
      <w:r w:rsidR="0068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doutrina </w:t>
      </w:r>
      <w:r w:rsidR="00686DBF" w:rsidRPr="0068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dos tribunais não admitia que a tutela sumária </w:t>
      </w:r>
      <w:proofErr w:type="spellStart"/>
      <w:r w:rsidR="00686DBF" w:rsidRPr="00686DBF">
        <w:rPr>
          <w:rFonts w:ascii="Times New Roman" w:hAnsi="Times New Roman" w:cs="Times New Roman"/>
          <w:color w:val="000000" w:themeColor="text1"/>
          <w:sz w:val="24"/>
          <w:szCs w:val="24"/>
        </w:rPr>
        <w:t>satisfativa</w:t>
      </w:r>
      <w:proofErr w:type="spellEnd"/>
      <w:r w:rsidR="00686DBF" w:rsidRPr="0068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fosse prestada através da ação cautelar.</w:t>
      </w:r>
    </w:p>
    <w:p w:rsidR="00686DBF" w:rsidRDefault="00686DBF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Contrariamente ao entendimento aqui defendido, Marinoni (2008) considera perfeitamente possível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fungibilidade de mão dupla – desde que preenchidos alguns requisitos –, com vistas a instrumentalidade das formas e a flexibilização procedimental. </w:t>
      </w:r>
    </w:p>
    <w:p w:rsidR="0023204D" w:rsidRPr="00746DBE" w:rsidRDefault="003A2D15" w:rsidP="00746DBE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2D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 uma primeira interpretação poderia ser dito que o §7º do art. 273 pretendeu somente viabilizar a concessão, no bojo do processo de conhecimento, da tutela cautelar que foi chamada de antecipatória. Entretanto, aceitando-se a possibilidade de requerimento da tutela cautelar no processo de conhecimento, é correto admitir a concessão da tutela de natureza antecipatória ainda que ela tenha sido postulada com o nome de cautelar. Neste caso, não existindo erro grosseiro do requerente, ou, em outras palavras, </w:t>
      </w:r>
      <w:r w:rsidRPr="003A2D1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havendo dúvida fundada e razoável quanto à natureza da tutela</w:t>
      </w:r>
      <w:r w:rsidRPr="003A2D15">
        <w:rPr>
          <w:rFonts w:ascii="Times New Roman" w:hAnsi="Times New Roman" w:cs="Times New Roman"/>
          <w:color w:val="000000" w:themeColor="text1"/>
          <w:sz w:val="20"/>
          <w:szCs w:val="20"/>
        </w:rPr>
        <w:t>, aplica-se a ideia de fungibilidade, uma vez que seu objetivo é evitar maiores dúvidas quanto ao cabimento da tutela urgente (evidentemente de natureza nebulosa) no processo de conhecimento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(MARINONI, 2008, p. 228). </w:t>
      </w:r>
    </w:p>
    <w:p w:rsidR="00E942C4" w:rsidRDefault="00E942C4" w:rsidP="00746D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7669" w:rsidRDefault="00B234F5" w:rsidP="00746D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CONCLUSÃO</w:t>
      </w:r>
    </w:p>
    <w:p w:rsidR="00411043" w:rsidRDefault="00411043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Civil, que tem como função precípua efetivação dos direitos materiais, dispõe de variados instrumentos para tanto; variedade esta devido ao fato de que os direitos materiais demandam situações jurídicas distintas e com soluções também distintas. A titularidade de um direito fica, por isso, dependendo que lhe seja garantida uma tutela adequada à necessidade de sua proteção. </w:t>
      </w:r>
    </w:p>
    <w:p w:rsidR="002873EB" w:rsidRDefault="00411043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t>Ao passo que o pressuposto da segurança jurídica reside na previsibilidade das ações futuras e 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suas</w:t>
      </w:r>
      <w:r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consequências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portanto, é necessário que estes instrumentos </w:t>
      </w:r>
      <w:r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processuais estejam previstos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4110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411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cediço, no entanto, que o legislador não consegue acompanhar perfeitamente as evoluções sociais. Sobre a problemática, aduz a doutrina tradicional</w:t>
      </w:r>
      <w:r w:rsidR="002873EB">
        <w:rPr>
          <w:rFonts w:ascii="Times New Roman" w:hAnsi="Times New Roman" w:cs="Times New Roman"/>
          <w:color w:val="000000" w:themeColor="text1"/>
          <w:sz w:val="24"/>
          <w:szCs w:val="24"/>
        </w:rPr>
        <w:t>, adepta à rigidez procedimental,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287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os atos processuais devem estar previstos em lei pelo fato de que são matéria de ordem pública e que a previsibilidade e a anterioridade do procedimento conferem à decisão judicial legalidade e legitimidade. A doutrina mais moderna vem entendendo, a seu turno, que o procedimento pode ser </w:t>
      </w:r>
      <w:proofErr w:type="gramStart"/>
      <w:r w:rsidR="002873EB">
        <w:rPr>
          <w:rFonts w:ascii="Times New Roman" w:hAnsi="Times New Roman" w:cs="Times New Roman"/>
          <w:color w:val="000000" w:themeColor="text1"/>
          <w:sz w:val="24"/>
          <w:szCs w:val="24"/>
        </w:rPr>
        <w:t>flexibilizado</w:t>
      </w:r>
      <w:proofErr w:type="gramEnd"/>
      <w:r w:rsidR="00287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seja possível a efetiva tutela jurisdicional, desde que presentes alguns requisitos. </w:t>
      </w:r>
    </w:p>
    <w:p w:rsidR="006E521E" w:rsidRDefault="00411043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exemplo dessa flexibilização procedimental foi o que se fez com a medida cautelar entre 1973 e 1994, na qual se utilizou a cautelar </w:t>
      </w:r>
      <w:r w:rsidR="00232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prática forense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instrumento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satisfativo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pretensão da parte de forma antecipada, posto que não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havia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instrumento hábil para tanto. O erro dessa p</w:t>
      </w:r>
      <w:r w:rsidR="00232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rática, todavia, era grosseiro, e a maioria da doutrina e dos tribunais era contrária a essa conduta. </w:t>
      </w:r>
    </w:p>
    <w:p w:rsidR="006E521E" w:rsidRDefault="006E521E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final de</w:t>
      </w:r>
      <w:r w:rsidR="00287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1994 o legislador introduziu no ordenamento a chamada tutela antecipada, que veio justamente para suprir a necessidade de uma tutela que se prestasse precipuamente à satisfação antecipada do direito da parte.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a alteração legislativa, verificou-se na prática forense dificuldade em distinguir a natureza das ações cautelar e antecipada. Havia, então, uma “zona de penumbra” que confundia os operadores do direito. O legislador, consciente da situação, atuou no sentido 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flexibilizar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procedimento, de forma expressa em lei, através da chamada “fungibilidade” da antecipada pela cautelar.</w:t>
      </w:r>
    </w:p>
    <w:p w:rsidR="00746DBE" w:rsidRDefault="006E521E" w:rsidP="00746DBE">
      <w:pPr>
        <w:spacing w:after="10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Entretanto, assim como existem limites para todo e qualquer tipo 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procedimental, com a fungibilidade não poderia deixar de ser. </w:t>
      </w:r>
      <w:r w:rsidR="00746DBE">
        <w:rPr>
          <w:rFonts w:ascii="Times New Roman" w:hAnsi="Times New Roman" w:cs="Times New Roman"/>
          <w:color w:val="000000" w:themeColor="text1"/>
          <w:sz w:val="24"/>
          <w:szCs w:val="24"/>
        </w:rPr>
        <w:t>Tratando-se da fungibilidade de mão dupla,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dos limites aqui tratados foram os graus de cognição sumária, necessários para a concessão da cautelar e da antecipada. Entendeu-se que, apesar de ambas requererem tão somente a cognição sumária do julgador, o grau de cognição do juiz acerca da antecipada é maior que acerca da cautelar. Assim, a cognição da cautelar é insuficiente para a </w:t>
      </w:r>
      <w:r w:rsidR="00746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antecipada, de forma que pensar numa fungibilidade de mão dupla pode implicar em problemas de ordem prática, comprometendo a efetiva tutela jurisdicional. </w:t>
      </w:r>
    </w:p>
    <w:p w:rsidR="00411043" w:rsidRDefault="00411043" w:rsidP="00746DBE">
      <w:pPr>
        <w:spacing w:after="1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DBE" w:rsidRDefault="00746D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DBE" w:rsidRDefault="00746D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DBE" w:rsidRDefault="00746D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251C" w:rsidRPr="003F5D23" w:rsidRDefault="00BB2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REFERÊNCIAS</w:t>
      </w:r>
    </w:p>
    <w:p w:rsidR="003071CC" w:rsidRDefault="003071CC" w:rsidP="003071CC">
      <w:pPr>
        <w:spacing w:before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BARROS, Christian.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Tutela Antecipada: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de Conhecimento I, 26 e 28 de set. de 2012. Notas de Aula. Digitado. </w:t>
      </w:r>
    </w:p>
    <w:p w:rsidR="00BB251C" w:rsidRPr="003F5D23" w:rsidRDefault="00BB251C" w:rsidP="00BB251C">
      <w:pPr>
        <w:spacing w:before="300" w:after="30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DIDIER JR., </w:t>
      </w:r>
      <w:proofErr w:type="spellStart"/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Fredie</w:t>
      </w:r>
      <w:proofErr w:type="spellEnd"/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Curso de direito processual civil.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14ª ed., vol. 1, Salvador: Jus </w:t>
      </w:r>
      <w:proofErr w:type="spellStart"/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Podivm</w:t>
      </w:r>
      <w:proofErr w:type="spellEnd"/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2012. </w:t>
      </w: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B251C" w:rsidRDefault="00BB251C" w:rsidP="00BB251C">
      <w:pPr>
        <w:spacing w:before="20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GAJARDONI, Fernando da Fonseca: </w:t>
      </w:r>
      <w:proofErr w:type="gramStart"/>
      <w:r w:rsidRPr="003F5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Flexibilização</w:t>
      </w:r>
      <w:proofErr w:type="gramEnd"/>
      <w:r w:rsidRPr="003F5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procedimental: </w:t>
      </w:r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Um Novo Enfoque para o Estudo do Procedimento em Matéria Processual. São Paulo: Atlas, 2008. </w:t>
      </w:r>
    </w:p>
    <w:p w:rsidR="006D4A76" w:rsidRPr="006D4A76" w:rsidRDefault="006D4A76" w:rsidP="006D4A76">
      <w:pPr>
        <w:spacing w:before="300" w:after="30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D4A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GONÇALVES, Carlos Roberto. </w:t>
      </w:r>
      <w:r w:rsidRPr="006D4A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Direito Civi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 Brasileiro.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11ª ed., vol. 1, São Paulo: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2013.</w:t>
      </w:r>
    </w:p>
    <w:p w:rsidR="00BB251C" w:rsidRPr="003F5D23" w:rsidRDefault="00BB251C" w:rsidP="00BB251C">
      <w:pPr>
        <w:spacing w:before="300" w:after="3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MARINONI, Luiz Guilherme. </w:t>
      </w: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antecipação da tutela. 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12ª ed., São Paulo: Revista dos Tribunais, 2011. </w:t>
      </w:r>
    </w:p>
    <w:p w:rsidR="00BB251C" w:rsidRPr="003F5D23" w:rsidRDefault="00BB251C" w:rsidP="00BB251C">
      <w:pPr>
        <w:spacing w:before="300" w:after="30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_____ </w:t>
      </w: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Processo de conhecimento. </w:t>
      </w:r>
      <w:r w:rsidR="000D42E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ª ed., vol. 2, São P</w:t>
      </w:r>
      <w:r w:rsidR="000D42E0">
        <w:rPr>
          <w:rFonts w:ascii="Times New Roman" w:hAnsi="Times New Roman" w:cs="Times New Roman"/>
          <w:color w:val="000000" w:themeColor="text1"/>
          <w:sz w:val="24"/>
          <w:szCs w:val="24"/>
        </w:rPr>
        <w:t>aulo: Revista dos Tribunais, 2008</w:t>
      </w:r>
      <w:r w:rsidRPr="003F5D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F5D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D4A76" w:rsidRDefault="00BB251C" w:rsidP="00BB251C">
      <w:pPr>
        <w:spacing w:before="300" w:after="30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WATANABE, </w:t>
      </w:r>
      <w:proofErr w:type="spellStart"/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Kazuo</w:t>
      </w:r>
      <w:proofErr w:type="spellEnd"/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3F5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cognição no processo civil. </w:t>
      </w:r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4ª </w:t>
      </w:r>
      <w:proofErr w:type="spellStart"/>
      <w:proofErr w:type="gramStart"/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</w:t>
      </w:r>
      <w:proofErr w:type="spellEnd"/>
      <w:proofErr w:type="gramEnd"/>
      <w:r w:rsidRPr="003F5D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São Paulo: Saraiva, 2012.</w:t>
      </w:r>
    </w:p>
    <w:sectPr w:rsidR="006D4A76" w:rsidSect="00BB251C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2C6" w:rsidRDefault="007F62C6" w:rsidP="00BB251C">
      <w:pPr>
        <w:spacing w:after="0" w:line="240" w:lineRule="auto"/>
      </w:pPr>
      <w:r>
        <w:separator/>
      </w:r>
    </w:p>
  </w:endnote>
  <w:endnote w:type="continuationSeparator" w:id="0">
    <w:p w:rsidR="007F62C6" w:rsidRDefault="007F62C6" w:rsidP="00BB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582261"/>
      <w:docPartObj>
        <w:docPartGallery w:val="Page Numbers (Bottom of Page)"/>
        <w:docPartUnique/>
      </w:docPartObj>
    </w:sdtPr>
    <w:sdtContent>
      <w:p w:rsidR="006E521E" w:rsidRDefault="002E379F">
        <w:pPr>
          <w:pStyle w:val="Rodap"/>
          <w:jc w:val="right"/>
        </w:pPr>
        <w:r w:rsidRPr="00072A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21E" w:rsidRPr="00072A0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72A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101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072A0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E521E" w:rsidRDefault="006E52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2C6" w:rsidRDefault="007F62C6" w:rsidP="00BB251C">
      <w:pPr>
        <w:spacing w:after="0" w:line="240" w:lineRule="auto"/>
      </w:pPr>
      <w:r>
        <w:separator/>
      </w:r>
    </w:p>
  </w:footnote>
  <w:footnote w:type="continuationSeparator" w:id="0">
    <w:p w:rsidR="007F62C6" w:rsidRDefault="007F62C6" w:rsidP="00BB251C">
      <w:pPr>
        <w:spacing w:after="0" w:line="240" w:lineRule="auto"/>
      </w:pPr>
      <w:r>
        <w:continuationSeparator/>
      </w:r>
    </w:p>
  </w:footnote>
  <w:footnote w:id="1">
    <w:p w:rsidR="006E521E" w:rsidRPr="00BB251C" w:rsidRDefault="006E521E" w:rsidP="00BB25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B251C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B251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251C">
        <w:rPr>
          <w:rFonts w:ascii="Times New Roman" w:hAnsi="Times New Roman" w:cs="Times New Roman"/>
          <w:i/>
          <w:sz w:val="20"/>
          <w:szCs w:val="20"/>
        </w:rPr>
        <w:t>Paper</w:t>
      </w:r>
      <w:proofErr w:type="spellEnd"/>
      <w:r w:rsidRPr="00BB251C">
        <w:rPr>
          <w:rFonts w:ascii="Times New Roman" w:hAnsi="Times New Roman" w:cs="Times New Roman"/>
          <w:sz w:val="20"/>
          <w:szCs w:val="20"/>
        </w:rPr>
        <w:t xml:space="preserve"> apresentado à disciplina Processo de Conhecimento II, da Unidade de Ensino Superior Dom Bosco - UNDB.</w:t>
      </w:r>
    </w:p>
  </w:footnote>
  <w:footnote w:id="2">
    <w:p w:rsidR="006E521E" w:rsidRPr="00BB251C" w:rsidRDefault="006E521E" w:rsidP="00BB251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B251C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B251C">
        <w:rPr>
          <w:rFonts w:ascii="Times New Roman" w:hAnsi="Times New Roman" w:cs="Times New Roman"/>
          <w:sz w:val="20"/>
          <w:szCs w:val="20"/>
        </w:rPr>
        <w:t xml:space="preserve"> Aluna do 5º período do Curso de Direito, da UNDB. </w:t>
      </w:r>
    </w:p>
  </w:footnote>
  <w:footnote w:id="3">
    <w:p w:rsidR="006E521E" w:rsidRDefault="006E521E">
      <w:pPr>
        <w:pStyle w:val="Textodenotaderodap"/>
      </w:pPr>
      <w:r w:rsidRPr="00D348BB">
        <w:rPr>
          <w:rStyle w:val="Refdenotaderodap"/>
          <w:rFonts w:ascii="Times New Roman" w:hAnsi="Times New Roman" w:cs="Times New Roman"/>
        </w:rPr>
        <w:footnoteRef/>
      </w:r>
      <w:r w:rsidRPr="00D348BB">
        <w:rPr>
          <w:rFonts w:ascii="Times New Roman" w:hAnsi="Times New Roman" w:cs="Times New Roman"/>
        </w:rPr>
        <w:t xml:space="preserve"> </w:t>
      </w:r>
      <w:r w:rsidRPr="00BB251C">
        <w:rPr>
          <w:rFonts w:ascii="Times New Roman" w:hAnsi="Times New Roman" w:cs="Times New Roman"/>
        </w:rPr>
        <w:t>Aluna do 5º período do Curso de Direito, da UNDB.</w:t>
      </w:r>
    </w:p>
  </w:footnote>
  <w:footnote w:id="4">
    <w:p w:rsidR="006E521E" w:rsidRDefault="006E521E" w:rsidP="00BB251C">
      <w:pPr>
        <w:pStyle w:val="Textodenotaderodap"/>
        <w:jc w:val="both"/>
      </w:pPr>
      <w:r w:rsidRPr="00BB251C">
        <w:rPr>
          <w:rStyle w:val="Refdenotaderodap"/>
          <w:rFonts w:ascii="Times New Roman" w:hAnsi="Times New Roman" w:cs="Times New Roman"/>
        </w:rPr>
        <w:footnoteRef/>
      </w:r>
      <w:r w:rsidRPr="00BB251C">
        <w:rPr>
          <w:rFonts w:ascii="Times New Roman" w:hAnsi="Times New Roman" w:cs="Times New Roman"/>
        </w:rPr>
        <w:t xml:space="preserve"> Prof. Esp. Orientador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51C"/>
    <w:rsid w:val="00071277"/>
    <w:rsid w:val="00072A0A"/>
    <w:rsid w:val="00086264"/>
    <w:rsid w:val="000B4304"/>
    <w:rsid w:val="000D42E0"/>
    <w:rsid w:val="000E0DFD"/>
    <w:rsid w:val="00122593"/>
    <w:rsid w:val="0016028D"/>
    <w:rsid w:val="00162E34"/>
    <w:rsid w:val="001A27B1"/>
    <w:rsid w:val="001A31FE"/>
    <w:rsid w:val="001D705E"/>
    <w:rsid w:val="001E35CE"/>
    <w:rsid w:val="002254F2"/>
    <w:rsid w:val="0023204D"/>
    <w:rsid w:val="002509C2"/>
    <w:rsid w:val="00275ACF"/>
    <w:rsid w:val="002873EB"/>
    <w:rsid w:val="002A7345"/>
    <w:rsid w:val="002C6126"/>
    <w:rsid w:val="002D3D2C"/>
    <w:rsid w:val="002E379F"/>
    <w:rsid w:val="002F15F4"/>
    <w:rsid w:val="00302746"/>
    <w:rsid w:val="003071CC"/>
    <w:rsid w:val="0030724D"/>
    <w:rsid w:val="00326C92"/>
    <w:rsid w:val="00337EBB"/>
    <w:rsid w:val="00353D5F"/>
    <w:rsid w:val="00362715"/>
    <w:rsid w:val="00370B03"/>
    <w:rsid w:val="003743AE"/>
    <w:rsid w:val="00381A36"/>
    <w:rsid w:val="003A0BA7"/>
    <w:rsid w:val="003A2D15"/>
    <w:rsid w:val="003C5D54"/>
    <w:rsid w:val="003D3AEB"/>
    <w:rsid w:val="003E6DCE"/>
    <w:rsid w:val="003F5D23"/>
    <w:rsid w:val="00401CE3"/>
    <w:rsid w:val="00411043"/>
    <w:rsid w:val="00417669"/>
    <w:rsid w:val="00436023"/>
    <w:rsid w:val="00450F05"/>
    <w:rsid w:val="0048624A"/>
    <w:rsid w:val="00492B18"/>
    <w:rsid w:val="004A536D"/>
    <w:rsid w:val="004F291B"/>
    <w:rsid w:val="005066C2"/>
    <w:rsid w:val="00511551"/>
    <w:rsid w:val="00545E5E"/>
    <w:rsid w:val="00557C30"/>
    <w:rsid w:val="00564FDE"/>
    <w:rsid w:val="00570067"/>
    <w:rsid w:val="00575186"/>
    <w:rsid w:val="00593AF9"/>
    <w:rsid w:val="00596785"/>
    <w:rsid w:val="00597D19"/>
    <w:rsid w:val="005D5F11"/>
    <w:rsid w:val="005F5256"/>
    <w:rsid w:val="006350D2"/>
    <w:rsid w:val="006358B6"/>
    <w:rsid w:val="006372D7"/>
    <w:rsid w:val="006442E8"/>
    <w:rsid w:val="006527A7"/>
    <w:rsid w:val="00680F79"/>
    <w:rsid w:val="0068394D"/>
    <w:rsid w:val="00686DBF"/>
    <w:rsid w:val="006879A7"/>
    <w:rsid w:val="006A2993"/>
    <w:rsid w:val="006B4366"/>
    <w:rsid w:val="006C2107"/>
    <w:rsid w:val="006D4A76"/>
    <w:rsid w:val="006D551D"/>
    <w:rsid w:val="006D7BF3"/>
    <w:rsid w:val="006E207A"/>
    <w:rsid w:val="006E521E"/>
    <w:rsid w:val="006F42A5"/>
    <w:rsid w:val="00715AB6"/>
    <w:rsid w:val="00746DBE"/>
    <w:rsid w:val="007556D5"/>
    <w:rsid w:val="00762121"/>
    <w:rsid w:val="007829B1"/>
    <w:rsid w:val="00786051"/>
    <w:rsid w:val="007A1C1E"/>
    <w:rsid w:val="007B63D1"/>
    <w:rsid w:val="007E49E6"/>
    <w:rsid w:val="007F62C6"/>
    <w:rsid w:val="00814419"/>
    <w:rsid w:val="008651F5"/>
    <w:rsid w:val="00893707"/>
    <w:rsid w:val="008D199C"/>
    <w:rsid w:val="008F43AC"/>
    <w:rsid w:val="009029FD"/>
    <w:rsid w:val="00910121"/>
    <w:rsid w:val="00915783"/>
    <w:rsid w:val="009177C0"/>
    <w:rsid w:val="009256BE"/>
    <w:rsid w:val="009D461C"/>
    <w:rsid w:val="009D7D94"/>
    <w:rsid w:val="009E2FB1"/>
    <w:rsid w:val="009E47C4"/>
    <w:rsid w:val="00A06EA9"/>
    <w:rsid w:val="00A22736"/>
    <w:rsid w:val="00A32167"/>
    <w:rsid w:val="00A36E4E"/>
    <w:rsid w:val="00A44FE1"/>
    <w:rsid w:val="00A50F51"/>
    <w:rsid w:val="00A70C5A"/>
    <w:rsid w:val="00AD0C02"/>
    <w:rsid w:val="00B04C93"/>
    <w:rsid w:val="00B052FC"/>
    <w:rsid w:val="00B14730"/>
    <w:rsid w:val="00B234F5"/>
    <w:rsid w:val="00B420FE"/>
    <w:rsid w:val="00B5616D"/>
    <w:rsid w:val="00B8101A"/>
    <w:rsid w:val="00B911ED"/>
    <w:rsid w:val="00BB251C"/>
    <w:rsid w:val="00BD3A00"/>
    <w:rsid w:val="00BF5919"/>
    <w:rsid w:val="00C507E4"/>
    <w:rsid w:val="00C74CA6"/>
    <w:rsid w:val="00C76905"/>
    <w:rsid w:val="00C92E01"/>
    <w:rsid w:val="00CA4E25"/>
    <w:rsid w:val="00CB7669"/>
    <w:rsid w:val="00CD54E9"/>
    <w:rsid w:val="00D07F93"/>
    <w:rsid w:val="00D32BD9"/>
    <w:rsid w:val="00D348BB"/>
    <w:rsid w:val="00D505CC"/>
    <w:rsid w:val="00D70958"/>
    <w:rsid w:val="00D71178"/>
    <w:rsid w:val="00DE7279"/>
    <w:rsid w:val="00E6367B"/>
    <w:rsid w:val="00E70200"/>
    <w:rsid w:val="00E91144"/>
    <w:rsid w:val="00E942C4"/>
    <w:rsid w:val="00EB3B83"/>
    <w:rsid w:val="00EE61FA"/>
    <w:rsid w:val="00EF10D6"/>
    <w:rsid w:val="00EF70E2"/>
    <w:rsid w:val="00F0704F"/>
    <w:rsid w:val="00F10FA6"/>
    <w:rsid w:val="00F459A3"/>
    <w:rsid w:val="00F65475"/>
    <w:rsid w:val="00FC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25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25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251C"/>
    <w:rPr>
      <w:vertAlign w:val="superscript"/>
    </w:rPr>
  </w:style>
  <w:style w:type="paragraph" w:customStyle="1" w:styleId="Default">
    <w:name w:val="Default"/>
    <w:rsid w:val="00BB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5256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72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2A0A"/>
  </w:style>
  <w:style w:type="paragraph" w:styleId="Rodap">
    <w:name w:val="footer"/>
    <w:basedOn w:val="Normal"/>
    <w:link w:val="RodapChar"/>
    <w:uiPriority w:val="99"/>
    <w:unhideWhenUsed/>
    <w:rsid w:val="00072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A0A"/>
  </w:style>
  <w:style w:type="character" w:styleId="Forte">
    <w:name w:val="Strong"/>
    <w:basedOn w:val="Fontepargpadro"/>
    <w:uiPriority w:val="22"/>
    <w:qFormat/>
    <w:rsid w:val="00715AB6"/>
    <w:rPr>
      <w:b/>
      <w:bCs/>
    </w:rPr>
  </w:style>
  <w:style w:type="character" w:customStyle="1" w:styleId="apple-converted-space">
    <w:name w:val="apple-converted-space"/>
    <w:basedOn w:val="Fontepargpadro"/>
    <w:rsid w:val="00B14730"/>
  </w:style>
  <w:style w:type="character" w:styleId="Hyperlink">
    <w:name w:val="Hyperlink"/>
    <w:basedOn w:val="Fontepargpadro"/>
    <w:uiPriority w:val="99"/>
    <w:semiHidden/>
    <w:unhideWhenUsed/>
    <w:rsid w:val="001D705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E1CC-8DBC-450C-A4EE-AD2C1F3D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6082</Words>
  <Characters>32849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Savibar</dc:creator>
  <cp:lastModifiedBy>Débora Savibar</cp:lastModifiedBy>
  <cp:revision>4</cp:revision>
  <cp:lastPrinted>2013-05-02T20:15:00Z</cp:lastPrinted>
  <dcterms:created xsi:type="dcterms:W3CDTF">2013-05-23T14:08:00Z</dcterms:created>
  <dcterms:modified xsi:type="dcterms:W3CDTF">2013-05-23T14:14:00Z</dcterms:modified>
</cp:coreProperties>
</file>