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86" w:rsidRPr="005D6CE7" w:rsidRDefault="00C51FE7" w:rsidP="00C51FE7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5D6CE7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278765</wp:posOffset>
            </wp:positionV>
            <wp:extent cx="619125" cy="771525"/>
            <wp:effectExtent l="19050" t="0" r="952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6CE7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202565</wp:posOffset>
            </wp:positionV>
            <wp:extent cx="838200" cy="866775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7CF">
        <w:rPr>
          <w:rFonts w:ascii="Arial" w:hAnsi="Arial" w:cs="Arial"/>
          <w:b/>
          <w:sz w:val="28"/>
          <w:szCs w:val="28"/>
        </w:rPr>
        <w:t>‘</w:t>
      </w:r>
    </w:p>
    <w:p w:rsidR="00004E86" w:rsidRPr="00EC74BE" w:rsidRDefault="00004E86" w:rsidP="00004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BE">
        <w:rPr>
          <w:rFonts w:ascii="Times New Roman" w:hAnsi="Times New Roman" w:cs="Times New Roman"/>
          <w:b/>
          <w:sz w:val="28"/>
          <w:szCs w:val="28"/>
        </w:rPr>
        <w:t>PONTIFICIA UNIVERSIDADE CATÓLICA DE MINAS GERAIS          INSTITUTO DE CIENCIAS ECONOMICAS E</w:t>
      </w:r>
      <w:r w:rsidR="004364E1" w:rsidRPr="00EC7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4BE">
        <w:rPr>
          <w:rFonts w:ascii="Times New Roman" w:hAnsi="Times New Roman" w:cs="Times New Roman"/>
          <w:b/>
          <w:sz w:val="28"/>
          <w:szCs w:val="28"/>
        </w:rPr>
        <w:t xml:space="preserve">GERENCIAIS        </w:t>
      </w:r>
      <w:r w:rsidR="00326492" w:rsidRPr="00EC74BE">
        <w:rPr>
          <w:rFonts w:ascii="Times New Roman" w:hAnsi="Times New Roman" w:cs="Times New Roman"/>
          <w:b/>
          <w:sz w:val="28"/>
          <w:szCs w:val="28"/>
        </w:rPr>
        <w:t xml:space="preserve">GRADUAÇÃO EM </w:t>
      </w:r>
      <w:r w:rsidRPr="00EC74BE">
        <w:rPr>
          <w:rFonts w:ascii="Times New Roman" w:hAnsi="Times New Roman" w:cs="Times New Roman"/>
          <w:b/>
          <w:sz w:val="28"/>
          <w:szCs w:val="28"/>
        </w:rPr>
        <w:t xml:space="preserve">CIENCIAS CONTABEIS                               </w:t>
      </w:r>
    </w:p>
    <w:p w:rsidR="00D509D7" w:rsidRPr="005D6CE7" w:rsidRDefault="00D509D7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E44" w:rsidRDefault="001E4E44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3C15" w:rsidRPr="005D6CE7" w:rsidRDefault="00DE3C15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74F" w:rsidRPr="004E25B7" w:rsidRDefault="0029174F" w:rsidP="002917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86" w:rsidRPr="00EC74BE" w:rsidRDefault="0029174F" w:rsidP="001666A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5B7">
        <w:rPr>
          <w:rFonts w:ascii="Times New Roman" w:hAnsi="Times New Roman" w:cs="Times New Roman"/>
          <w:b/>
          <w:sz w:val="24"/>
          <w:szCs w:val="24"/>
        </w:rPr>
        <w:t>PLANEJAMENTO FISCAL E TRIBUTÁRIO</w:t>
      </w:r>
      <w:r w:rsidR="001666AE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1666AE" w:rsidRPr="00EC74BE">
        <w:rPr>
          <w:rFonts w:ascii="Times New Roman" w:hAnsi="Times New Roman" w:cs="Times New Roman"/>
          <w:b/>
          <w:sz w:val="24"/>
          <w:szCs w:val="24"/>
        </w:rPr>
        <w:t xml:space="preserve">EFEITOS DO </w:t>
      </w:r>
      <w:r w:rsidR="0045190E" w:rsidRPr="00EC74BE">
        <w:rPr>
          <w:rFonts w:ascii="Times New Roman" w:hAnsi="Times New Roman" w:cs="Times New Roman"/>
          <w:b/>
          <w:sz w:val="24"/>
          <w:szCs w:val="24"/>
        </w:rPr>
        <w:t>REGIME TRIBUTÁRIO DE TRANSIÇÃO</w:t>
      </w:r>
      <w:r w:rsidR="001666AE" w:rsidRPr="00EC7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6AE" w:rsidRPr="00EC74BE">
        <w:rPr>
          <w:rFonts w:ascii="Times New Roman" w:hAnsi="Times New Roman" w:cs="Times New Roman"/>
          <w:b/>
        </w:rPr>
        <w:t>NO RESULTADO DAS SOCIEDADES DE GRANDE PORTE E NAS SOCIEDADES POR AÇÕES</w:t>
      </w: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5D6CE7" w:rsidRDefault="00004E86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5317" w:rsidRPr="005D6CE7" w:rsidRDefault="008D5317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5317" w:rsidRPr="005D6CE7" w:rsidRDefault="008D5317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4E86" w:rsidRPr="00EC74BE" w:rsidRDefault="00004E86" w:rsidP="00004C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0A3" w:rsidRDefault="008D5317" w:rsidP="008D531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74BE">
        <w:rPr>
          <w:rFonts w:ascii="Times New Roman" w:hAnsi="Times New Roman" w:cs="Times New Roman"/>
          <w:b/>
          <w:sz w:val="24"/>
          <w:szCs w:val="24"/>
        </w:rPr>
        <w:t>CARLOS EDUARDO DE BRITO</w:t>
      </w:r>
    </w:p>
    <w:p w:rsidR="00763E17" w:rsidRDefault="00763E17" w:rsidP="008D531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VALQUIRIA GOMES TEIXEIRA</w:t>
      </w:r>
    </w:p>
    <w:p w:rsidR="00763E17" w:rsidRPr="00EC74BE" w:rsidRDefault="00763E17" w:rsidP="008D531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ROSILI ALVES DOS SANTOS</w:t>
      </w:r>
    </w:p>
    <w:p w:rsidR="00AF6121" w:rsidRPr="00EC74BE" w:rsidRDefault="00AF6121" w:rsidP="002B71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1616" w:rsidRPr="00EC74BE" w:rsidRDefault="002B7114" w:rsidP="002B71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BE">
        <w:rPr>
          <w:rFonts w:ascii="Times New Roman" w:hAnsi="Times New Roman" w:cs="Times New Roman"/>
          <w:b/>
          <w:sz w:val="24"/>
          <w:szCs w:val="24"/>
        </w:rPr>
        <w:t xml:space="preserve">1º SEMESTRE DE 2011                                                                                       </w:t>
      </w:r>
      <w:r w:rsidR="00004CBE" w:rsidRPr="00EC74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74BE">
        <w:rPr>
          <w:rFonts w:ascii="Times New Roman" w:hAnsi="Times New Roman" w:cs="Times New Roman"/>
          <w:b/>
          <w:sz w:val="24"/>
          <w:szCs w:val="24"/>
        </w:rPr>
        <w:t>BELO HORIZONTE</w:t>
      </w:r>
    </w:p>
    <w:p w:rsidR="002B7114" w:rsidRPr="005D6CE7" w:rsidRDefault="002B7114" w:rsidP="002B711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63E17" w:rsidRDefault="00763E17" w:rsidP="00763E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BE">
        <w:rPr>
          <w:rFonts w:ascii="Times New Roman" w:hAnsi="Times New Roman" w:cs="Times New Roman"/>
          <w:b/>
          <w:sz w:val="24"/>
          <w:szCs w:val="24"/>
        </w:rPr>
        <w:lastRenderedPageBreak/>
        <w:t>CARLOS EDUARDO DE BRITO</w:t>
      </w:r>
    </w:p>
    <w:p w:rsidR="00763E17" w:rsidRDefault="00763E17" w:rsidP="00763E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VALQUIRIA GOMES TEIXEIRA</w:t>
      </w:r>
    </w:p>
    <w:p w:rsidR="00763E17" w:rsidRPr="00EC74BE" w:rsidRDefault="00763E17" w:rsidP="00763E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ROSILI ALVES DOS SANTOS</w:t>
      </w:r>
    </w:p>
    <w:p w:rsidR="00763E17" w:rsidRPr="00EC74BE" w:rsidRDefault="00763E17" w:rsidP="00763E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B05E86" w:rsidRDefault="00B05E86" w:rsidP="00B05E86">
      <w:pPr>
        <w:tabs>
          <w:tab w:val="left" w:pos="2220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E3C15" w:rsidRPr="005D6CE7" w:rsidRDefault="00DE3C15" w:rsidP="00B05E86">
      <w:pPr>
        <w:tabs>
          <w:tab w:val="left" w:pos="2220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1666AE" w:rsidRPr="005D6CE7" w:rsidRDefault="001666AE" w:rsidP="001666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66AE" w:rsidRPr="00B05E86" w:rsidRDefault="001666AE" w:rsidP="001666A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E86">
        <w:rPr>
          <w:rFonts w:ascii="Times New Roman" w:hAnsi="Times New Roman" w:cs="Times New Roman"/>
          <w:b/>
          <w:sz w:val="24"/>
          <w:szCs w:val="24"/>
        </w:rPr>
        <w:t xml:space="preserve">PLANEJAMENTO FISCAL E TRIBUTÁRIO                                                 EFEITOS DO REGIME TRIBUTÁRIO DE TRANSIÇÃO </w:t>
      </w:r>
      <w:r w:rsidRPr="00B05E86">
        <w:rPr>
          <w:rFonts w:ascii="Times New Roman" w:hAnsi="Times New Roman" w:cs="Times New Roman"/>
          <w:b/>
        </w:rPr>
        <w:t>NO RESULTADO DAS SOCIEDADES DE GRANDE PORTE E NAS SOCIEDADES POR AÇÕES</w:t>
      </w:r>
    </w:p>
    <w:p w:rsidR="001666AE" w:rsidRPr="00B05E86" w:rsidRDefault="001666AE" w:rsidP="00166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7A5" w:rsidRPr="005D6CE7" w:rsidRDefault="000F57A5" w:rsidP="000F57A5">
      <w:pPr>
        <w:pStyle w:val="Corpodetexto"/>
        <w:ind w:left="4536"/>
        <w:rPr>
          <w:rFonts w:ascii="Arial" w:hAnsi="Arial" w:cs="Arial"/>
        </w:rPr>
      </w:pPr>
    </w:p>
    <w:p w:rsidR="000F57A5" w:rsidRPr="005D6CE7" w:rsidRDefault="000F57A5" w:rsidP="00721A20">
      <w:pPr>
        <w:pStyle w:val="Corpodetexto"/>
        <w:rPr>
          <w:rFonts w:ascii="Arial" w:hAnsi="Arial" w:cs="Arial"/>
        </w:rPr>
      </w:pPr>
    </w:p>
    <w:p w:rsidR="000F57A5" w:rsidRPr="005D6CE7" w:rsidRDefault="000F57A5" w:rsidP="000F57A5">
      <w:pPr>
        <w:pStyle w:val="Corpodetexto"/>
        <w:ind w:left="4536"/>
        <w:rPr>
          <w:rFonts w:ascii="Arial" w:hAnsi="Arial" w:cs="Arial"/>
        </w:rPr>
      </w:pPr>
    </w:p>
    <w:p w:rsidR="000F57A5" w:rsidRPr="005D6CE7" w:rsidRDefault="000F57A5" w:rsidP="000F57A5">
      <w:pPr>
        <w:pStyle w:val="Corpodetexto"/>
        <w:ind w:left="4536"/>
        <w:rPr>
          <w:rFonts w:ascii="Arial" w:hAnsi="Arial" w:cs="Arial"/>
        </w:rPr>
      </w:pPr>
    </w:p>
    <w:p w:rsidR="000F57A5" w:rsidRPr="004B406F" w:rsidRDefault="000F57A5" w:rsidP="00E03999">
      <w:pPr>
        <w:pStyle w:val="Corpodetexto"/>
        <w:ind w:left="4536"/>
        <w:rPr>
          <w:b/>
        </w:rPr>
      </w:pPr>
      <w:r w:rsidRPr="004B406F">
        <w:t xml:space="preserve">Projeto de Pesquisa apresentado na Disciplina de </w:t>
      </w:r>
      <w:r w:rsidR="00E4776B" w:rsidRPr="004B406F">
        <w:t>Planejamento Fiscal e Tributário</w:t>
      </w:r>
      <w:r w:rsidRPr="004B406F">
        <w:t xml:space="preserve">, do Curso de Ciências Contábeis da Pontifícia Universidade Católica de Minas Gerais– Coração Eucarístico </w:t>
      </w:r>
    </w:p>
    <w:p w:rsidR="000F57A5" w:rsidRPr="005D6CE7" w:rsidRDefault="000F57A5" w:rsidP="00E03999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61248A" w:rsidRPr="005D6CE7" w:rsidRDefault="0061248A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0225" w:rsidRPr="005D6CE7" w:rsidRDefault="0057022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5D3D46" w:rsidP="005D3D4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D6CE7">
        <w:rPr>
          <w:rFonts w:ascii="Arial" w:hAnsi="Arial" w:cs="Arial"/>
          <w:b/>
          <w:sz w:val="24"/>
          <w:szCs w:val="24"/>
          <w:u w:val="single"/>
        </w:rPr>
        <w:t>SUMARIO</w:t>
      </w:r>
    </w:p>
    <w:p w:rsidR="000F57A5" w:rsidRPr="005D6CE7" w:rsidRDefault="002455D4" w:rsidP="00E2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55D4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792C">
        <w:rPr>
          <w:rFonts w:ascii="Arial" w:hAnsi="Arial" w:cs="Arial"/>
          <w:b/>
          <w:sz w:val="24"/>
          <w:szCs w:val="24"/>
        </w:rPr>
        <w:t xml:space="preserve">    </w:t>
      </w:r>
      <w:r w:rsidR="00310B6C" w:rsidRPr="002455D4">
        <w:rPr>
          <w:rFonts w:ascii="Arial" w:hAnsi="Arial" w:cs="Arial"/>
          <w:b/>
          <w:sz w:val="24"/>
          <w:szCs w:val="24"/>
        </w:rPr>
        <w:t>Introdução...</w:t>
      </w:r>
      <w:r w:rsidR="0095798A" w:rsidRPr="002455D4">
        <w:rPr>
          <w:rFonts w:ascii="Arial" w:hAnsi="Arial" w:cs="Arial"/>
          <w:b/>
          <w:sz w:val="24"/>
          <w:szCs w:val="24"/>
        </w:rPr>
        <w:t>......................</w:t>
      </w:r>
      <w:r w:rsidR="00310B6C" w:rsidRPr="002455D4">
        <w:rPr>
          <w:rFonts w:ascii="Arial" w:hAnsi="Arial" w:cs="Arial"/>
          <w:b/>
          <w:sz w:val="24"/>
          <w:szCs w:val="24"/>
        </w:rPr>
        <w:t>...........................................................</w:t>
      </w:r>
      <w:r w:rsidR="0095798A" w:rsidRPr="002455D4">
        <w:rPr>
          <w:rFonts w:ascii="Arial" w:hAnsi="Arial" w:cs="Arial"/>
          <w:b/>
          <w:sz w:val="24"/>
          <w:szCs w:val="24"/>
        </w:rPr>
        <w:t>....</w:t>
      </w:r>
      <w:r w:rsidR="004D6946" w:rsidRPr="002455D4">
        <w:rPr>
          <w:rFonts w:ascii="Arial" w:hAnsi="Arial" w:cs="Arial"/>
          <w:b/>
          <w:sz w:val="24"/>
          <w:szCs w:val="24"/>
        </w:rPr>
        <w:t>....</w:t>
      </w:r>
      <w:r w:rsidR="0095798A" w:rsidRPr="002455D4">
        <w:rPr>
          <w:rFonts w:ascii="Arial" w:hAnsi="Arial" w:cs="Arial"/>
          <w:b/>
          <w:sz w:val="24"/>
          <w:szCs w:val="24"/>
        </w:rPr>
        <w:t>.</w:t>
      </w:r>
      <w:r w:rsidR="00310B6C" w:rsidRPr="002455D4">
        <w:rPr>
          <w:rFonts w:ascii="Arial" w:hAnsi="Arial" w:cs="Arial"/>
          <w:b/>
          <w:sz w:val="24"/>
          <w:szCs w:val="24"/>
        </w:rPr>
        <w:t xml:space="preserve"> </w:t>
      </w:r>
      <w:r w:rsidR="0095798A" w:rsidRPr="005D6CE7">
        <w:rPr>
          <w:rFonts w:ascii="Arial" w:hAnsi="Arial" w:cs="Arial"/>
          <w:sz w:val="24"/>
          <w:szCs w:val="24"/>
        </w:rPr>
        <w:t>00</w:t>
      </w:r>
      <w:r w:rsidR="00435CF3" w:rsidRPr="005D6CE7">
        <w:rPr>
          <w:rFonts w:ascii="Arial" w:hAnsi="Arial" w:cs="Arial"/>
          <w:sz w:val="24"/>
          <w:szCs w:val="24"/>
        </w:rPr>
        <w:t>4</w:t>
      </w:r>
    </w:p>
    <w:p w:rsidR="00434B99" w:rsidRPr="002455D4" w:rsidRDefault="002455D4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55D4">
        <w:rPr>
          <w:rFonts w:ascii="Arial" w:hAnsi="Arial" w:cs="Arial"/>
          <w:b/>
          <w:sz w:val="24"/>
          <w:szCs w:val="24"/>
        </w:rPr>
        <w:t>2.0.</w:t>
      </w:r>
      <w:r w:rsidR="0007792C">
        <w:rPr>
          <w:rFonts w:ascii="Arial" w:hAnsi="Arial" w:cs="Arial"/>
          <w:b/>
          <w:sz w:val="24"/>
          <w:szCs w:val="24"/>
        </w:rPr>
        <w:t xml:space="preserve">  </w:t>
      </w:r>
      <w:r w:rsidR="00434B99" w:rsidRPr="002455D4">
        <w:rPr>
          <w:rFonts w:ascii="Arial" w:hAnsi="Arial" w:cs="Arial"/>
          <w:b/>
          <w:sz w:val="24"/>
          <w:szCs w:val="24"/>
        </w:rPr>
        <w:t>Desenvolvimento</w:t>
      </w:r>
    </w:p>
    <w:p w:rsidR="0095798A" w:rsidRPr="002455D4" w:rsidRDefault="002455D4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55D4">
        <w:rPr>
          <w:rFonts w:ascii="Arial" w:hAnsi="Arial" w:cs="Arial"/>
          <w:b/>
          <w:sz w:val="24"/>
          <w:szCs w:val="24"/>
        </w:rPr>
        <w:t xml:space="preserve">2.1. </w:t>
      </w:r>
      <w:r w:rsidR="0007792C">
        <w:rPr>
          <w:rFonts w:ascii="Arial" w:hAnsi="Arial" w:cs="Arial"/>
          <w:b/>
          <w:sz w:val="24"/>
          <w:szCs w:val="24"/>
        </w:rPr>
        <w:t xml:space="preserve"> </w:t>
      </w:r>
      <w:r w:rsidR="00434B99" w:rsidRPr="002455D4">
        <w:rPr>
          <w:rFonts w:ascii="Arial" w:hAnsi="Arial" w:cs="Arial"/>
          <w:b/>
          <w:sz w:val="24"/>
          <w:szCs w:val="24"/>
        </w:rPr>
        <w:t>Lei 11.638</w:t>
      </w:r>
      <w:r w:rsidR="004D6946" w:rsidRPr="002455D4">
        <w:rPr>
          <w:rFonts w:ascii="Arial" w:hAnsi="Arial" w:cs="Arial"/>
          <w:b/>
          <w:sz w:val="24"/>
          <w:szCs w:val="24"/>
        </w:rPr>
        <w:t xml:space="preserve"> e Lei 11.941........</w:t>
      </w:r>
      <w:r w:rsidR="00434B99" w:rsidRPr="002455D4">
        <w:rPr>
          <w:rFonts w:ascii="Arial" w:hAnsi="Arial" w:cs="Arial"/>
          <w:b/>
          <w:sz w:val="24"/>
          <w:szCs w:val="24"/>
        </w:rPr>
        <w:t>...</w:t>
      </w:r>
      <w:r w:rsidRPr="002455D4">
        <w:rPr>
          <w:rFonts w:ascii="Arial" w:hAnsi="Arial" w:cs="Arial"/>
          <w:b/>
          <w:sz w:val="24"/>
          <w:szCs w:val="24"/>
        </w:rPr>
        <w:t>.....</w:t>
      </w:r>
      <w:r w:rsidR="00435CF3" w:rsidRPr="002455D4">
        <w:rPr>
          <w:rFonts w:ascii="Arial" w:hAnsi="Arial" w:cs="Arial"/>
          <w:b/>
          <w:sz w:val="24"/>
          <w:szCs w:val="24"/>
        </w:rPr>
        <w:t>........................................................</w:t>
      </w:r>
      <w:r w:rsidR="004D6946" w:rsidRPr="002455D4">
        <w:rPr>
          <w:rFonts w:ascii="Arial" w:hAnsi="Arial" w:cs="Arial"/>
          <w:b/>
          <w:sz w:val="24"/>
          <w:szCs w:val="24"/>
        </w:rPr>
        <w:t>...005</w:t>
      </w:r>
    </w:p>
    <w:p w:rsidR="00434B99" w:rsidRPr="0007792C" w:rsidRDefault="00E55C40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07792C" w:rsidRPr="0007792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CPC</w:t>
      </w:r>
      <w:r w:rsidR="0007792C" w:rsidRPr="0007792C">
        <w:rPr>
          <w:rFonts w:ascii="Arial" w:hAnsi="Arial" w:cs="Arial"/>
          <w:b/>
          <w:sz w:val="24"/>
          <w:szCs w:val="24"/>
        </w:rPr>
        <w:t>.....</w:t>
      </w:r>
      <w:r w:rsidR="0007792C">
        <w:rPr>
          <w:rFonts w:ascii="Arial" w:hAnsi="Arial" w:cs="Arial"/>
          <w:b/>
          <w:sz w:val="24"/>
          <w:szCs w:val="24"/>
        </w:rPr>
        <w:t>.........................................</w:t>
      </w:r>
      <w:r w:rsidR="0007792C" w:rsidRPr="0007792C">
        <w:rPr>
          <w:rFonts w:ascii="Arial" w:hAnsi="Arial" w:cs="Arial"/>
          <w:b/>
          <w:sz w:val="24"/>
          <w:szCs w:val="24"/>
        </w:rPr>
        <w:t>..................</w:t>
      </w:r>
      <w:r w:rsidR="00434B99" w:rsidRPr="0007792C">
        <w:rPr>
          <w:rFonts w:ascii="Arial" w:hAnsi="Arial" w:cs="Arial"/>
          <w:b/>
          <w:sz w:val="24"/>
          <w:szCs w:val="24"/>
        </w:rPr>
        <w:t>..........................................004</w:t>
      </w:r>
    </w:p>
    <w:p w:rsidR="00A9401A" w:rsidRDefault="00E55C40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  Empresa analisada......................................................</w:t>
      </w:r>
      <w:r w:rsidR="003F0A2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.........................010</w:t>
      </w:r>
    </w:p>
    <w:p w:rsidR="003F0A2B" w:rsidRDefault="003F0A2B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3.0 Conclusão................................................................................................014</w:t>
      </w:r>
    </w:p>
    <w:p w:rsidR="003F0A2B" w:rsidRPr="005D6CE7" w:rsidRDefault="003F0A2B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4.0 Bibliografia..............................................................................................015</w:t>
      </w: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57A5" w:rsidRPr="005D6CE7" w:rsidRDefault="000F57A5" w:rsidP="00E241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1A20" w:rsidRDefault="00721A20" w:rsidP="00C65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5C" w:rsidRPr="00360123" w:rsidRDefault="00E84140" w:rsidP="00C65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123"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EE7372" w:rsidRDefault="00C016A8" w:rsidP="00D32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23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6D1F18" w:rsidRPr="00360123">
        <w:rPr>
          <w:rFonts w:ascii="Times New Roman" w:hAnsi="Times New Roman" w:cs="Times New Roman"/>
          <w:sz w:val="24"/>
          <w:szCs w:val="24"/>
        </w:rPr>
        <w:t xml:space="preserve">trabalho demonstra como a Receita Federal do Brasil </w:t>
      </w:r>
      <w:r w:rsidR="00771DB9" w:rsidRPr="00360123">
        <w:rPr>
          <w:rFonts w:ascii="Times New Roman" w:hAnsi="Times New Roman" w:cs="Times New Roman"/>
          <w:sz w:val="24"/>
          <w:szCs w:val="24"/>
        </w:rPr>
        <w:t xml:space="preserve">trata </w:t>
      </w:r>
      <w:r w:rsidR="005F0464" w:rsidRPr="00360123">
        <w:rPr>
          <w:rFonts w:ascii="Times New Roman" w:hAnsi="Times New Roman" w:cs="Times New Roman"/>
          <w:sz w:val="24"/>
          <w:szCs w:val="24"/>
        </w:rPr>
        <w:t xml:space="preserve">a apuração da base de calculo do lucro real com </w:t>
      </w:r>
      <w:r w:rsidR="00771DB9" w:rsidRPr="00360123">
        <w:rPr>
          <w:rFonts w:ascii="Times New Roman" w:hAnsi="Times New Roman" w:cs="Times New Roman"/>
          <w:sz w:val="24"/>
          <w:szCs w:val="24"/>
        </w:rPr>
        <w:t>as modificações da lei 11.638 com curso para as normas Internacionais de Contabilidade</w:t>
      </w:r>
      <w:r w:rsidR="00A05A86" w:rsidRPr="003601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0464" w:rsidRPr="00360123" w:rsidRDefault="00A05A86" w:rsidP="00D32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23">
        <w:rPr>
          <w:rFonts w:ascii="Times New Roman" w:hAnsi="Times New Roman" w:cs="Times New Roman"/>
          <w:sz w:val="24"/>
          <w:szCs w:val="24"/>
        </w:rPr>
        <w:t>Apresentar como será feita a elaboração do LALUR com as alterações</w:t>
      </w:r>
      <w:r w:rsidR="005F0464" w:rsidRPr="00360123">
        <w:rPr>
          <w:rFonts w:ascii="Times New Roman" w:hAnsi="Times New Roman" w:cs="Times New Roman"/>
          <w:sz w:val="24"/>
          <w:szCs w:val="24"/>
        </w:rPr>
        <w:t>. Apresenta a lei 11.941, em foco RFB 949 sobre o Regime Transitório Tributário.</w:t>
      </w:r>
    </w:p>
    <w:p w:rsidR="00BE7383" w:rsidRDefault="005F0464" w:rsidP="00D32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23">
        <w:rPr>
          <w:rFonts w:ascii="Times New Roman" w:hAnsi="Times New Roman" w:cs="Times New Roman"/>
          <w:sz w:val="24"/>
          <w:szCs w:val="24"/>
        </w:rPr>
        <w:t xml:space="preserve">Apresentar como o Regime Transitório Tributário interfere no resultado das sociedades de Grande Porte e nas Sociedades </w:t>
      </w:r>
      <w:r w:rsidR="00915CAC" w:rsidRPr="00360123">
        <w:rPr>
          <w:rFonts w:ascii="Times New Roman" w:hAnsi="Times New Roman" w:cs="Times New Roman"/>
          <w:sz w:val="24"/>
          <w:szCs w:val="24"/>
        </w:rPr>
        <w:t>Anônimas.</w:t>
      </w:r>
      <w:r w:rsidRPr="00360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64" w:rsidRPr="00360123" w:rsidRDefault="005F0464" w:rsidP="00D32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23">
        <w:rPr>
          <w:rFonts w:ascii="Times New Roman" w:hAnsi="Times New Roman" w:cs="Times New Roman"/>
          <w:sz w:val="24"/>
          <w:szCs w:val="24"/>
        </w:rPr>
        <w:t xml:space="preserve"> </w:t>
      </w:r>
      <w:r w:rsidR="00915CAC" w:rsidRPr="00360123">
        <w:rPr>
          <w:rFonts w:ascii="Times New Roman" w:hAnsi="Times New Roman" w:cs="Times New Roman"/>
          <w:sz w:val="24"/>
          <w:szCs w:val="24"/>
        </w:rPr>
        <w:t>Descreve sobre os Pronunciamentos Contábeis, que estão em curso às normas internacionais de Contabilidade. E como estes pronunciamentos estão interferindo no resultado das empresas de Grande porte e nas Sociedades Anônimas.</w:t>
      </w:r>
    </w:p>
    <w:p w:rsidR="005F0464" w:rsidRPr="00360123" w:rsidRDefault="005F0464" w:rsidP="00D32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5E96" w:rsidRPr="005D6CE7" w:rsidRDefault="008A5E96" w:rsidP="00D32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7B0F" w:rsidRDefault="00927B0F" w:rsidP="00927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5C40" w:rsidRDefault="00E55C40" w:rsidP="00927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5C40" w:rsidRDefault="00E55C40" w:rsidP="00927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7B0F" w:rsidRPr="002E0516" w:rsidRDefault="00927B0F" w:rsidP="00927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5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2.0 </w:t>
      </w:r>
      <w:r w:rsidRPr="002E0516">
        <w:rPr>
          <w:rFonts w:ascii="Times New Roman" w:hAnsi="Times New Roman" w:cs="Times New Roman"/>
          <w:b/>
          <w:sz w:val="24"/>
          <w:szCs w:val="24"/>
          <w:u w:val="single"/>
        </w:rPr>
        <w:t>Desenvolvimento</w:t>
      </w:r>
    </w:p>
    <w:p w:rsidR="00927B0F" w:rsidRPr="002E0516" w:rsidRDefault="00927B0F" w:rsidP="00927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516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2E0516">
        <w:rPr>
          <w:rFonts w:ascii="Times New Roman" w:hAnsi="Times New Roman" w:cs="Times New Roman"/>
          <w:b/>
          <w:sz w:val="24"/>
          <w:szCs w:val="24"/>
          <w:u w:val="single"/>
        </w:rPr>
        <w:t>Lei 11.638 e 11.941</w:t>
      </w:r>
    </w:p>
    <w:p w:rsidR="00E20447" w:rsidRDefault="00927B0F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 xml:space="preserve"> No dia 28 de dezembro de 2007, foi sancionada a Lei de numero 11.638 que modificou a lei das sociedades por Ações, de Numero 6.404/76, principalmente em suas disposições de natureza contábil, ou seja, a forma de escrituração e como elaborar as demonstrações contábeis. Essa lei entrou em vigor no primeiro dia do mês de janeiro de 2008.</w:t>
      </w:r>
      <w:r w:rsidR="0066706B">
        <w:rPr>
          <w:rFonts w:ascii="Times New Roman" w:hAnsi="Times New Roman" w:cs="Times New Roman"/>
          <w:sz w:val="24"/>
          <w:szCs w:val="24"/>
        </w:rPr>
        <w:t xml:space="preserve"> </w:t>
      </w:r>
      <w:r w:rsidRPr="002E0516">
        <w:rPr>
          <w:rFonts w:ascii="Times New Roman" w:hAnsi="Times New Roman" w:cs="Times New Roman"/>
          <w:sz w:val="24"/>
          <w:szCs w:val="24"/>
        </w:rPr>
        <w:t>Ao entrar em vigor a lei 11.638, a es</w:t>
      </w:r>
      <w:r w:rsidR="0066706B">
        <w:rPr>
          <w:rFonts w:ascii="Times New Roman" w:hAnsi="Times New Roman" w:cs="Times New Roman"/>
          <w:sz w:val="24"/>
          <w:szCs w:val="24"/>
        </w:rPr>
        <w:t xml:space="preserve">crituração e a apresentação das </w:t>
      </w:r>
      <w:r w:rsidRPr="002E0516">
        <w:rPr>
          <w:rFonts w:ascii="Times New Roman" w:hAnsi="Times New Roman" w:cs="Times New Roman"/>
          <w:sz w:val="24"/>
          <w:szCs w:val="24"/>
        </w:rPr>
        <w:t>demonstrações contábil, terá que ser feitas no moldes das normas internacionais de contabilidade.</w:t>
      </w:r>
    </w:p>
    <w:p w:rsidR="00E20447" w:rsidRDefault="00927B0F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 xml:space="preserve"> Entretanto o que foi proposto na lei 11.638, estava gerando duvidas e erros dos contribuintes na apuração fiscal, pois os contribuintes não sabiam como a receita federal iria tratar e receber esta apuração. </w:t>
      </w:r>
    </w:p>
    <w:p w:rsidR="00E20447" w:rsidRDefault="00927B0F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 xml:space="preserve">A Receita Federal do Brasil com o regulamento do Imposto de Renda sobre as Pessoas Jurídicas, não reconhece como despesa dedutível perdas ou ganhos de recuperação do ativo ou diminuição do passivo, estabelecidas e ditadas pelas normas internacionais de contabilidade. </w:t>
      </w:r>
    </w:p>
    <w:p w:rsidR="00E20447" w:rsidRDefault="00927B0F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>Para sanar este impasse foi editada a Medida provisória 441, então substituída pela Lei 11.941 a qual dita os regulamentos para que as empresas se adaptem as normas internacionais de contabilidade com Receita Federal, logo com o regulamento do imposto de re</w:t>
      </w:r>
      <w:r w:rsidR="00065530" w:rsidRPr="002E0516">
        <w:rPr>
          <w:rFonts w:ascii="Times New Roman" w:hAnsi="Times New Roman" w:cs="Times New Roman"/>
          <w:sz w:val="24"/>
          <w:szCs w:val="24"/>
        </w:rPr>
        <w:t xml:space="preserve">nda 949.  </w:t>
      </w:r>
    </w:p>
    <w:p w:rsidR="00E20447" w:rsidRDefault="00065530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>Conforme a lei 11.941;</w:t>
      </w:r>
      <w:r w:rsidR="00927B0F" w:rsidRPr="002E0516">
        <w:rPr>
          <w:rFonts w:ascii="Times New Roman" w:hAnsi="Times New Roman" w:cs="Times New Roman"/>
          <w:sz w:val="24"/>
          <w:szCs w:val="24"/>
        </w:rPr>
        <w:t xml:space="preserve"> </w:t>
      </w:r>
      <w:r w:rsidRPr="002E0516">
        <w:rPr>
          <w:rFonts w:ascii="Times New Roman" w:hAnsi="Times New Roman" w:cs="Times New Roman"/>
          <w:sz w:val="24"/>
          <w:szCs w:val="24"/>
        </w:rPr>
        <w:t>T</w:t>
      </w:r>
      <w:r w:rsidR="00927B0F" w:rsidRPr="002E0516">
        <w:rPr>
          <w:rFonts w:ascii="Times New Roman" w:hAnsi="Times New Roman" w:cs="Times New Roman"/>
          <w:sz w:val="24"/>
          <w:szCs w:val="24"/>
        </w:rPr>
        <w:t xml:space="preserve">odas as modificações escrituradas conformes as normas internacionais de contabilidade, são neutras, ou seja, não iram alterar as bases de cálculos do imposto de renda e da contribuição social. </w:t>
      </w:r>
      <w:r w:rsidR="00667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447" w:rsidRDefault="00927B0F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516">
        <w:rPr>
          <w:rFonts w:ascii="Times New Roman" w:hAnsi="Times New Roman" w:cs="Times New Roman"/>
          <w:sz w:val="24"/>
          <w:szCs w:val="24"/>
        </w:rPr>
        <w:t xml:space="preserve">A Lei 11.941 criou-se a figura RTT- Regime Tributário de Transição; neste regime seria o processo de transição tributaria entre as modificações contábeis sofridas pela Lei 11.638. em curso para as normas internacionais de contabilidade  e apuração da base de calculo para o imposto de renda das empresas tributadas pelo Regime do Lucro Real.  </w:t>
      </w:r>
    </w:p>
    <w:p w:rsidR="00E20447" w:rsidRDefault="00E20447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C2C" w:rsidRPr="00B344CB" w:rsidRDefault="003353E5" w:rsidP="003A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95pt;margin-top:74.6pt;width:0;height:149.85pt;z-index:251669504" o:connectortype="straight">
            <v:stroke endarrow="block"/>
          </v:shape>
        </w:pict>
      </w:r>
      <w:r w:rsidR="00C823B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1605915</wp:posOffset>
            </wp:positionV>
            <wp:extent cx="5607050" cy="1397000"/>
            <wp:effectExtent l="19050" t="0" r="0" b="0"/>
            <wp:wrapTopAndBottom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AC2" w:rsidRPr="006B130E">
        <w:rPr>
          <w:rFonts w:ascii="Times New Roman" w:hAnsi="Times New Roman" w:cs="Times New Roman"/>
          <w:sz w:val="24"/>
          <w:szCs w:val="24"/>
        </w:rPr>
        <w:t xml:space="preserve">A RFB então elaborou a DIPJ de 2008 incluindo no cadastro a opção </w:t>
      </w:r>
      <w:r w:rsidR="001D0AC2" w:rsidRPr="002B1E11">
        <w:rPr>
          <w:rFonts w:ascii="Times New Roman" w:hAnsi="Times New Roman" w:cs="Times New Roman"/>
          <w:sz w:val="24"/>
          <w:szCs w:val="24"/>
          <w:u w:val="single"/>
        </w:rPr>
        <w:t>“Optante pelo RTT”, ou seja, quando o contribuinte enviar a DIPJ- Declarações de Informações Econômica</w:t>
      </w:r>
      <w:r w:rsidR="003A0C2C" w:rsidRPr="002B1E11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D0AC2" w:rsidRPr="002B1E11">
        <w:rPr>
          <w:rFonts w:ascii="Times New Roman" w:hAnsi="Times New Roman" w:cs="Times New Roman"/>
          <w:sz w:val="24"/>
          <w:szCs w:val="24"/>
          <w:u w:val="single"/>
        </w:rPr>
        <w:t xml:space="preserve"> - fiscais da Pessoa Jurídica ele terá que informar que</w:t>
      </w:r>
      <w:r w:rsidR="00065530" w:rsidRPr="002B1E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0C2C" w:rsidRPr="002B1E11">
        <w:rPr>
          <w:rFonts w:ascii="Times New Roman" w:hAnsi="Times New Roman" w:cs="Times New Roman"/>
          <w:sz w:val="24"/>
          <w:szCs w:val="24"/>
          <w:u w:val="single"/>
        </w:rPr>
        <w:t>já esta realizando as suas escriturações conforme a lei 11.638 em curso para as normas internacionais de contabilidade.</w:t>
      </w:r>
    </w:p>
    <w:p w:rsidR="00C823B0" w:rsidRDefault="00C823B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39B" w:rsidRPr="00897DF1" w:rsidRDefault="00242B8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</w:t>
      </w:r>
      <w:r w:rsidR="005151F2" w:rsidRPr="00897DF1">
        <w:rPr>
          <w:rFonts w:ascii="Times New Roman" w:hAnsi="Times New Roman" w:cs="Times New Roman"/>
          <w:sz w:val="24"/>
          <w:szCs w:val="24"/>
        </w:rPr>
        <w:t>Iudicibus</w:t>
      </w:r>
      <w:r w:rsidR="00B84257" w:rsidRPr="00897DF1">
        <w:rPr>
          <w:rFonts w:ascii="Times New Roman" w:hAnsi="Times New Roman" w:cs="Times New Roman"/>
          <w:sz w:val="24"/>
          <w:szCs w:val="24"/>
        </w:rPr>
        <w:t xml:space="preserve"> </w:t>
      </w:r>
      <w:r w:rsidRPr="00897DF1">
        <w:rPr>
          <w:rFonts w:ascii="Times New Roman" w:hAnsi="Times New Roman" w:cs="Times New Roman"/>
          <w:sz w:val="24"/>
          <w:szCs w:val="24"/>
        </w:rPr>
        <w:t>(</w:t>
      </w:r>
      <w:r w:rsidR="001F47FA" w:rsidRPr="00897DF1">
        <w:rPr>
          <w:rFonts w:ascii="Times New Roman" w:hAnsi="Times New Roman" w:cs="Times New Roman"/>
          <w:sz w:val="24"/>
          <w:szCs w:val="24"/>
        </w:rPr>
        <w:t>FIPECAFI, 2010</w:t>
      </w:r>
      <w:r w:rsidRPr="00897DF1">
        <w:rPr>
          <w:rFonts w:ascii="Times New Roman" w:hAnsi="Times New Roman" w:cs="Times New Roman"/>
          <w:sz w:val="24"/>
          <w:szCs w:val="24"/>
        </w:rPr>
        <w:t>. Pag. 13</w:t>
      </w:r>
      <w:r w:rsidR="001F47FA" w:rsidRPr="00897DF1">
        <w:rPr>
          <w:rFonts w:ascii="Times New Roman" w:hAnsi="Times New Roman" w:cs="Times New Roman"/>
          <w:sz w:val="24"/>
          <w:szCs w:val="24"/>
        </w:rPr>
        <w:t xml:space="preserve">) </w:t>
      </w:r>
      <w:r w:rsidR="001F47FA" w:rsidRPr="00897DF1">
        <w:rPr>
          <w:rFonts w:ascii="Times New Roman" w:hAnsi="Times New Roman" w:cs="Times New Roman"/>
          <w:b/>
          <w:i/>
          <w:sz w:val="24"/>
          <w:szCs w:val="24"/>
        </w:rPr>
        <w:t>“O Regime Tributário de Transição (RTT), introduzido por meio da medida provisória 441/08, transformada na Lei 11.941/09, passou a considerar, para fins fiscais, as regras Tributarias existentes ao final de dezembro de 2007. Em resumo, todas as modificações introduzidas pelas referidas leis e pelas novas normas</w:t>
      </w:r>
      <w:r w:rsidR="005E639B" w:rsidRPr="00897DF1">
        <w:rPr>
          <w:rFonts w:ascii="Times New Roman" w:hAnsi="Times New Roman" w:cs="Times New Roman"/>
          <w:b/>
          <w:sz w:val="24"/>
          <w:szCs w:val="24"/>
        </w:rPr>
        <w:t>.</w:t>
      </w:r>
    </w:p>
    <w:p w:rsidR="00652C6F" w:rsidRDefault="005E639B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RFB </w:t>
      </w:r>
      <w:r w:rsidR="00652C6F" w:rsidRPr="00897DF1">
        <w:rPr>
          <w:rFonts w:ascii="Times New Roman" w:hAnsi="Times New Roman" w:cs="Times New Roman"/>
          <w:i/>
          <w:sz w:val="24"/>
          <w:szCs w:val="24"/>
        </w:rPr>
        <w:t>(</w:t>
      </w:r>
      <w:r w:rsidRPr="00897DF1">
        <w:rPr>
          <w:rFonts w:ascii="Times New Roman" w:hAnsi="Times New Roman" w:cs="Times New Roman"/>
          <w:i/>
          <w:sz w:val="24"/>
          <w:szCs w:val="24"/>
        </w:rPr>
        <w:t>receita.fazenda)</w:t>
      </w:r>
      <w:r w:rsidR="00652C6F" w:rsidRPr="00897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C6F" w:rsidRPr="00897DF1">
        <w:rPr>
          <w:rFonts w:ascii="Times New Roman" w:hAnsi="Times New Roman" w:cs="Times New Roman"/>
          <w:b/>
          <w:i/>
          <w:sz w:val="24"/>
          <w:szCs w:val="24"/>
        </w:rPr>
        <w:t>“Lei 11.941/2009. Artigo 15. Fica Instituído o Regime Tributário de Transição – RTT de apuração do lucro real, que trata dos ajustes Tributários decorrentes dos novos métodos e critérios contábeis introduzidos pela lei de numero 11.638, de 28 de dezembro de 2007, e pelos artigos 37 e 38 desta lei. § 1º O RTT vigerá ate a entrada em vigor de lei que discipline os efeitos tributários dos novos métodos e critérios contábeis, buscando a neutralidade tributaria”.</w:t>
      </w:r>
      <w:r w:rsidR="00652C6F" w:rsidRPr="00897D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788" w:rsidRDefault="00BD0788" w:rsidP="00652C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4B68" w:rsidRPr="002A4B68" w:rsidRDefault="002E3852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2.2 </w:t>
      </w:r>
      <w:r w:rsidR="002A4B68" w:rsidRPr="002A4B68">
        <w:rPr>
          <w:rFonts w:ascii="Times New Roman" w:hAnsi="Times New Roman" w:cs="Times New Roman"/>
          <w:b/>
          <w:sz w:val="24"/>
          <w:szCs w:val="24"/>
          <w:u w:val="single"/>
        </w:rPr>
        <w:t>CPC</w:t>
      </w:r>
    </w:p>
    <w:p w:rsidR="00E035F0" w:rsidRDefault="00652C6F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A forma de apuração fiscal ficou de forma mais clara com a lei 11.941, entretanto, a formar de escriturar e elaborar as demonstrações contábeis conforma as normas internacionais de contabilidade, se tornou algo de interpretações e duvidas, provocando vários erros e vícios. Então foi criado o CPC – Comitê de pronunciamentos contábeis, o qual emite pronunciamentos sobre o entendimento da lei 11.638 e das normas internacionais de contabilidade para serem aplicada por todas as empresas. </w:t>
      </w:r>
      <w:r w:rsidR="00D06C52" w:rsidRPr="00897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C6F" w:rsidRPr="00897DF1" w:rsidRDefault="00652C6F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No que tange a estes pronunciamentos, as empresas deveram escriturar suas demonstrações contábeis utilizando-o como referencial. </w:t>
      </w:r>
      <w:r w:rsidR="00027FD4" w:rsidRPr="00897DF1">
        <w:rPr>
          <w:rFonts w:ascii="Times New Roman" w:hAnsi="Times New Roman" w:cs="Times New Roman"/>
          <w:sz w:val="24"/>
          <w:szCs w:val="24"/>
        </w:rPr>
        <w:t xml:space="preserve"> </w:t>
      </w:r>
      <w:r w:rsidRPr="00897DF1">
        <w:rPr>
          <w:rFonts w:ascii="Times New Roman" w:hAnsi="Times New Roman" w:cs="Times New Roman"/>
          <w:sz w:val="24"/>
          <w:szCs w:val="24"/>
        </w:rPr>
        <w:t>Alguns exemplos de pronunciamentos que afetam o resultado fiscal, tendo que ser nulos quando ocorrer a apuração do lucro fiscal, base para o IRPJ.</w:t>
      </w:r>
    </w:p>
    <w:p w:rsidR="00A37A15" w:rsidRPr="00897DF1" w:rsidRDefault="00DE26F7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>Conforme Iudicibus (FIPECAFI, 2010. Pag. 16)</w:t>
      </w:r>
      <w:r w:rsidRPr="00897DF1">
        <w:rPr>
          <w:rFonts w:ascii="Times New Roman" w:hAnsi="Times New Roman" w:cs="Times New Roman"/>
          <w:sz w:val="24"/>
          <w:szCs w:val="24"/>
        </w:rPr>
        <w:tab/>
      </w:r>
      <w:r w:rsidRPr="00897DF1">
        <w:rPr>
          <w:rFonts w:ascii="Times New Roman" w:hAnsi="Times New Roman" w:cs="Times New Roman"/>
          <w:b/>
          <w:sz w:val="24"/>
          <w:szCs w:val="24"/>
        </w:rPr>
        <w:t>‘</w:t>
      </w:r>
      <w:r w:rsidRPr="00E035F0">
        <w:rPr>
          <w:rFonts w:ascii="Times New Roman" w:hAnsi="Times New Roman" w:cs="Times New Roman"/>
          <w:b/>
          <w:i/>
          <w:sz w:val="24"/>
          <w:szCs w:val="24"/>
        </w:rPr>
        <w:t>“CPC 01 Redução ao valor Recuperável de ativos”(IAS 36) – “Impairment” nenhum ativo pode ficar por valor maior do que seu valor de venda ou da sua capacidade de geração de caixa; recuperação posterior é revertida, exceto goodwill</w:t>
      </w:r>
      <w:r w:rsidR="00794F0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035F0">
        <w:rPr>
          <w:rFonts w:ascii="Times New Roman" w:hAnsi="Times New Roman" w:cs="Times New Roman"/>
          <w:i/>
          <w:sz w:val="24"/>
          <w:szCs w:val="24"/>
        </w:rPr>
        <w:t>”</w:t>
      </w:r>
      <w:r w:rsidRPr="00897DF1">
        <w:rPr>
          <w:rFonts w:ascii="Times New Roman" w:hAnsi="Times New Roman" w:cs="Times New Roman"/>
          <w:sz w:val="24"/>
          <w:szCs w:val="24"/>
        </w:rPr>
        <w:t xml:space="preserve"> </w:t>
      </w:r>
      <w:r w:rsidR="00A37A15" w:rsidRPr="00897DF1">
        <w:rPr>
          <w:rFonts w:ascii="Times New Roman" w:hAnsi="Times New Roman" w:cs="Times New Roman"/>
          <w:sz w:val="24"/>
          <w:szCs w:val="24"/>
        </w:rPr>
        <w:t xml:space="preserve"> Quando o valor contábil do ativo esta com o valor menor do que venda, ou de geração de futuros fluxo de caixa, logo  terá que ser reconhecida um perda, sobre este ativo. Estas esta perda não é dedutível para o imposto de renda, conforme a lei 11.941, entretanto é de suma importância o seu reconhecimento para que demonstre a realidade da empresa para fins gerenciais. Pois impacta no resultado da empresa, ou seja, diminuindo o lucro real da empresa</w:t>
      </w:r>
      <w:r w:rsidR="00665670">
        <w:rPr>
          <w:rFonts w:ascii="Times New Roman" w:hAnsi="Times New Roman" w:cs="Times New Roman"/>
          <w:sz w:val="24"/>
          <w:szCs w:val="24"/>
        </w:rPr>
        <w:t xml:space="preserve"> das empresas de grande porte e das SA</w:t>
      </w:r>
      <w:r w:rsidR="00A37A15" w:rsidRPr="00897D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AEE" w:rsidRDefault="00103AAC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>Conforme Iudicibus (FIPECAFI, 2010. Pag. 16)</w:t>
      </w:r>
      <w:r w:rsidR="00A73AA3" w:rsidRPr="00897DF1">
        <w:rPr>
          <w:rFonts w:ascii="Times New Roman" w:hAnsi="Times New Roman" w:cs="Times New Roman"/>
          <w:b/>
          <w:sz w:val="24"/>
          <w:szCs w:val="24"/>
        </w:rPr>
        <w:t>” CPC 09 Demonstração do Valor Adicionado (BR) – Evidencia a geração do valor adicionado(  pedaço do PIB criado pela empresa), e como é distribuindo entre recursos humanos , capitais de terceiros, capitais próprios e governo”</w:t>
      </w:r>
      <w:r w:rsidR="00A73AA3" w:rsidRPr="00897DF1">
        <w:rPr>
          <w:rFonts w:ascii="Times New Roman" w:hAnsi="Times New Roman" w:cs="Times New Roman"/>
          <w:sz w:val="24"/>
          <w:szCs w:val="24"/>
        </w:rPr>
        <w:t>.</w:t>
      </w:r>
      <w:r w:rsidR="00592B55" w:rsidRPr="00897DF1">
        <w:rPr>
          <w:rFonts w:ascii="Times New Roman" w:hAnsi="Times New Roman" w:cs="Times New Roman"/>
          <w:sz w:val="24"/>
          <w:szCs w:val="24"/>
        </w:rPr>
        <w:t xml:space="preserve"> </w:t>
      </w:r>
      <w:r w:rsidR="009E7CDB">
        <w:rPr>
          <w:rFonts w:ascii="Times New Roman" w:hAnsi="Times New Roman" w:cs="Times New Roman"/>
          <w:sz w:val="24"/>
          <w:szCs w:val="24"/>
        </w:rPr>
        <w:t xml:space="preserve"> </w:t>
      </w:r>
      <w:r w:rsidR="00283721">
        <w:rPr>
          <w:rFonts w:ascii="Times New Roman" w:hAnsi="Times New Roman" w:cs="Times New Roman"/>
          <w:sz w:val="24"/>
          <w:szCs w:val="24"/>
        </w:rPr>
        <w:t>A DVA é uma demonstração onde foram alocados as riquezas das empresas, num determinado período, ou seja, de forma geral é medida pela di</w:t>
      </w:r>
      <w:r w:rsidR="00DB5254">
        <w:rPr>
          <w:rFonts w:ascii="Times New Roman" w:hAnsi="Times New Roman" w:cs="Times New Roman"/>
          <w:sz w:val="24"/>
          <w:szCs w:val="24"/>
        </w:rPr>
        <w:t>ferença entre o valor das vendas e os insumos adquiridos de terceiros, o valor recebido de transferência, produzidos por terceiros e  incorporados a empresa.</w:t>
      </w:r>
    </w:p>
    <w:p w:rsidR="00F37DF3" w:rsidRPr="009E7CDB" w:rsidRDefault="00DB5254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DVA é de suma importância na gestão da empresa de grande porte, no que tange a aquisição e de novos investidores, os quais </w:t>
      </w:r>
      <w:r w:rsidR="006743EF">
        <w:rPr>
          <w:rFonts w:ascii="Times New Roman" w:hAnsi="Times New Roman" w:cs="Times New Roman"/>
          <w:sz w:val="24"/>
          <w:szCs w:val="24"/>
        </w:rPr>
        <w:t xml:space="preserve">iram adquirir ações ou debêntures da empresa, em virtude da riqueza gerada. </w:t>
      </w:r>
    </w:p>
    <w:p w:rsidR="00FC46E4" w:rsidRDefault="00A73AA3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250B2" w:rsidRDefault="007250B2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E78" w:rsidRDefault="00DC378A" w:rsidP="00652C6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Iudicibus (FIPECAFI, 2010. Pag. 16) </w:t>
      </w:r>
      <w:r w:rsidRPr="00897DF1">
        <w:rPr>
          <w:rFonts w:ascii="Times New Roman" w:hAnsi="Times New Roman" w:cs="Times New Roman"/>
          <w:b/>
          <w:i/>
          <w:sz w:val="24"/>
          <w:szCs w:val="24"/>
        </w:rPr>
        <w:t>CPC 03 Demonstração do Fluxo de Caixa (IAS 7) – Todos os fluxos de Caixa são agrupados em 3 conjuntos de fluxos:das atividades operacionais, das de investimento e de Financiamento.</w:t>
      </w:r>
      <w:r w:rsidR="00FC65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50B2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5B8">
        <w:rPr>
          <w:rFonts w:ascii="Times New Roman" w:hAnsi="Times New Roman" w:cs="Times New Roman"/>
          <w:sz w:val="24"/>
          <w:szCs w:val="24"/>
        </w:rPr>
        <w:t xml:space="preserve"> E conforme </w:t>
      </w:r>
      <w:r w:rsidR="00AD32DC">
        <w:rPr>
          <w:rFonts w:ascii="Times New Roman" w:hAnsi="Times New Roman" w:cs="Times New Roman"/>
          <w:sz w:val="24"/>
          <w:szCs w:val="24"/>
        </w:rPr>
        <w:t xml:space="preserve"> </w:t>
      </w:r>
      <w:r w:rsidR="00AD32DC" w:rsidRPr="00897DF1">
        <w:rPr>
          <w:rFonts w:ascii="Times New Roman" w:hAnsi="Times New Roman" w:cs="Times New Roman"/>
          <w:sz w:val="24"/>
          <w:szCs w:val="24"/>
        </w:rPr>
        <w:t xml:space="preserve">Iudicibus (FIPECAFI, 2010. Pag. </w:t>
      </w:r>
      <w:r w:rsidR="00AD32DC">
        <w:rPr>
          <w:rFonts w:ascii="Times New Roman" w:hAnsi="Times New Roman" w:cs="Times New Roman"/>
          <w:sz w:val="24"/>
          <w:szCs w:val="24"/>
        </w:rPr>
        <w:t>567</w:t>
      </w:r>
      <w:r w:rsidR="00AD32DC" w:rsidRPr="00897DF1">
        <w:rPr>
          <w:rFonts w:ascii="Times New Roman" w:hAnsi="Times New Roman" w:cs="Times New Roman"/>
          <w:sz w:val="24"/>
          <w:szCs w:val="24"/>
        </w:rPr>
        <w:t>)</w:t>
      </w:r>
      <w:r w:rsidR="00AD32DC">
        <w:rPr>
          <w:rFonts w:ascii="Times New Roman" w:hAnsi="Times New Roman" w:cs="Times New Roman"/>
          <w:sz w:val="24"/>
          <w:szCs w:val="24"/>
        </w:rPr>
        <w:t xml:space="preserve"> </w:t>
      </w:r>
      <w:r w:rsidR="00AD32DC" w:rsidRPr="00646EAF">
        <w:rPr>
          <w:rFonts w:ascii="Times New Roman" w:hAnsi="Times New Roman" w:cs="Times New Roman"/>
          <w:b/>
          <w:i/>
          <w:sz w:val="24"/>
          <w:szCs w:val="24"/>
        </w:rPr>
        <w:t xml:space="preserve">“O </w:t>
      </w:r>
      <w:r w:rsidR="00646EAF" w:rsidRPr="00646EAF">
        <w:rPr>
          <w:rFonts w:ascii="Times New Roman" w:hAnsi="Times New Roman" w:cs="Times New Roman"/>
          <w:b/>
          <w:i/>
          <w:sz w:val="24"/>
          <w:szCs w:val="24"/>
        </w:rPr>
        <w:t>objetivo primário da Demonstração do Fluxo de Caixa é prover informações relevantes sobre os pagamentos e recebimentos, em dinheiro, de uma empresa, ocorridos durante um determinado período, e com isso ajudar os usuários das demonstrações contábeis na analise da capacidade da entidade de gerar caixa e equivalente caixa, bem como suas necessidades para utilizar esses fluxos de caix</w:t>
      </w:r>
      <w:r w:rsidR="00646EAF">
        <w:rPr>
          <w:rFonts w:ascii="Times New Roman" w:hAnsi="Times New Roman" w:cs="Times New Roman"/>
          <w:b/>
          <w:i/>
          <w:sz w:val="24"/>
          <w:szCs w:val="24"/>
        </w:rPr>
        <w:t>a”</w:t>
      </w:r>
      <w:r w:rsidR="00646EAF" w:rsidRPr="00646EA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6EAF" w:rsidRPr="00345E78" w:rsidRDefault="00030BC2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514C">
        <w:rPr>
          <w:rFonts w:ascii="Times New Roman" w:hAnsi="Times New Roman" w:cs="Times New Roman"/>
          <w:sz w:val="24"/>
          <w:szCs w:val="24"/>
        </w:rPr>
        <w:t>O impacto da utilização da DFC nas empresas de grande porte das SA</w:t>
      </w:r>
      <w:r w:rsidR="008B68FD">
        <w:rPr>
          <w:rFonts w:ascii="Times New Roman" w:hAnsi="Times New Roman" w:cs="Times New Roman"/>
          <w:sz w:val="24"/>
          <w:szCs w:val="24"/>
        </w:rPr>
        <w:t>,</w:t>
      </w:r>
      <w:r w:rsidR="0051514C">
        <w:rPr>
          <w:rFonts w:ascii="Times New Roman" w:hAnsi="Times New Roman" w:cs="Times New Roman"/>
          <w:sz w:val="24"/>
          <w:szCs w:val="24"/>
        </w:rPr>
        <w:t xml:space="preserve"> é que a DFC demonstra onde foram aplicados os recursos financeiros da empresa, num determinado momento. Possibilitando que a empresa consiga verificar se ela é solvente e que consegue arcar com seus compromissos, ou seja, </w:t>
      </w:r>
      <w:r w:rsidR="00E43EF2">
        <w:rPr>
          <w:rFonts w:ascii="Times New Roman" w:hAnsi="Times New Roman" w:cs="Times New Roman"/>
          <w:sz w:val="24"/>
          <w:szCs w:val="24"/>
        </w:rPr>
        <w:t xml:space="preserve">pagamento de dividendos para acionistas, pagamentos para fornecedores e empregados. </w:t>
      </w:r>
    </w:p>
    <w:p w:rsidR="007250B2" w:rsidRDefault="00646EA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E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A6F" w:rsidRPr="00897DF1">
        <w:rPr>
          <w:rFonts w:ascii="Times New Roman" w:hAnsi="Times New Roman" w:cs="Times New Roman"/>
          <w:sz w:val="24"/>
          <w:szCs w:val="24"/>
        </w:rPr>
        <w:t>Conforme Iudicibus (FIPECAFI, 2010. Pag. 16)</w:t>
      </w:r>
      <w:r w:rsidR="00096A6F" w:rsidRPr="00897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A6F" w:rsidRPr="007827EB">
        <w:rPr>
          <w:rFonts w:ascii="Times New Roman" w:hAnsi="Times New Roman" w:cs="Times New Roman"/>
          <w:b/>
          <w:i/>
          <w:sz w:val="24"/>
          <w:szCs w:val="24"/>
        </w:rPr>
        <w:t>CPC 12 Ajuste ao Valor Presente</w:t>
      </w:r>
      <w:r w:rsidR="00DC7836" w:rsidRPr="00782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A6F" w:rsidRPr="007827EB">
        <w:rPr>
          <w:rFonts w:ascii="Times New Roman" w:hAnsi="Times New Roman" w:cs="Times New Roman"/>
          <w:b/>
          <w:i/>
          <w:sz w:val="24"/>
          <w:szCs w:val="24"/>
        </w:rPr>
        <w:t>(BR)  - Ativos e passivos de longo prazo são ajustados a valor presente (exceto tributos diferidos, e os de curto prazo quando relevantes o ajuste.)</w:t>
      </w:r>
      <w:r w:rsidR="006A7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45A">
        <w:rPr>
          <w:rFonts w:ascii="Times New Roman" w:hAnsi="Times New Roman" w:cs="Times New Roman"/>
          <w:sz w:val="24"/>
          <w:szCs w:val="24"/>
        </w:rPr>
        <w:t xml:space="preserve">e conforme </w:t>
      </w:r>
      <w:r w:rsidR="006A745A" w:rsidRPr="00897DF1">
        <w:rPr>
          <w:rFonts w:ascii="Times New Roman" w:hAnsi="Times New Roman" w:cs="Times New Roman"/>
          <w:sz w:val="24"/>
          <w:szCs w:val="24"/>
        </w:rPr>
        <w:t xml:space="preserve">Iudicibus (FIPECAFI, 2010. Pag. </w:t>
      </w:r>
      <w:r w:rsidR="006A745A">
        <w:rPr>
          <w:rFonts w:ascii="Times New Roman" w:hAnsi="Times New Roman" w:cs="Times New Roman"/>
          <w:sz w:val="24"/>
          <w:szCs w:val="24"/>
        </w:rPr>
        <w:t>105</w:t>
      </w:r>
      <w:r w:rsidR="006A745A" w:rsidRPr="00897DF1">
        <w:rPr>
          <w:rFonts w:ascii="Times New Roman" w:hAnsi="Times New Roman" w:cs="Times New Roman"/>
          <w:sz w:val="24"/>
          <w:szCs w:val="24"/>
        </w:rPr>
        <w:t>)</w:t>
      </w:r>
      <w:r w:rsidR="007827EB">
        <w:rPr>
          <w:rFonts w:ascii="Times New Roman" w:hAnsi="Times New Roman" w:cs="Times New Roman"/>
          <w:sz w:val="24"/>
          <w:szCs w:val="24"/>
        </w:rPr>
        <w:t xml:space="preserve"> </w:t>
      </w:r>
      <w:r w:rsidR="007827EB" w:rsidRPr="007827EB">
        <w:rPr>
          <w:rFonts w:ascii="Times New Roman" w:hAnsi="Times New Roman" w:cs="Times New Roman"/>
          <w:b/>
          <w:i/>
          <w:sz w:val="24"/>
          <w:szCs w:val="24"/>
        </w:rPr>
        <w:t>“ Os elementos integrantes do ativo e do passivo decorrentes de operações de longo prazo, ou de curto prazo quando houver efeitos relevante, devem ser ajustados a valor presente com base em taxas de desconto que reflitam as melhoria avaliações do mercado quanto ao valor do dinheiro no tempo e os riscos específicos do ativo e do passivo em sua datas originais.</w:t>
      </w:r>
      <w:r w:rsidR="00782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D9D" w:rsidRDefault="007827EB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valores que consta no balanço a longo prazo, quando forem relevantes, dever ser examinados se os mesmo iram gerar o beneficio proposto, ou seja, o </w:t>
      </w:r>
      <w:r w:rsidR="00F32D9D">
        <w:rPr>
          <w:rFonts w:ascii="Times New Roman" w:hAnsi="Times New Roman" w:cs="Times New Roman"/>
          <w:sz w:val="24"/>
          <w:szCs w:val="24"/>
        </w:rPr>
        <w:t>valor que se espera deles. Caso</w:t>
      </w:r>
      <w:r>
        <w:rPr>
          <w:rFonts w:ascii="Times New Roman" w:hAnsi="Times New Roman" w:cs="Times New Roman"/>
          <w:sz w:val="24"/>
          <w:szCs w:val="24"/>
        </w:rPr>
        <w:t xml:space="preserve"> comprove que este ativo não seja recuperado como proposto, deve ser reconhecido. </w:t>
      </w:r>
    </w:p>
    <w:p w:rsidR="007827EB" w:rsidRPr="007827EB" w:rsidRDefault="007827E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alteração irá impactar no resultado das empresas de grande porte e das SA, visto que irá reduzir o lucro real da empresa.  </w:t>
      </w:r>
    </w:p>
    <w:p w:rsidR="003D717E" w:rsidRDefault="003D717E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BB4" w:rsidRDefault="00B52BB4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8B3" w:rsidRDefault="00962F9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Iudicibus (FIPECAFI, 2010. Pag. 17) </w:t>
      </w:r>
      <w:r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CPC </w:t>
      </w:r>
      <w:r w:rsidR="00D42595" w:rsidRPr="00897DF1">
        <w:rPr>
          <w:rFonts w:ascii="Times New Roman" w:hAnsi="Times New Roman" w:cs="Times New Roman"/>
          <w:b/>
          <w:i/>
          <w:sz w:val="24"/>
          <w:szCs w:val="24"/>
        </w:rPr>
        <w:t>06 Operações de Arrendamento Mercantil (IAS 17)  os leasings financeiros são vendas no arrendador e compras de ativos no arrendatário; os operacionais não.</w:t>
      </w:r>
      <w:r w:rsidR="00D42595" w:rsidRPr="00897DF1">
        <w:rPr>
          <w:rFonts w:ascii="Times New Roman" w:hAnsi="Times New Roman" w:cs="Times New Roman"/>
          <w:sz w:val="24"/>
          <w:szCs w:val="24"/>
        </w:rPr>
        <w:t xml:space="preserve"> </w:t>
      </w:r>
      <w:r w:rsidR="00146371">
        <w:rPr>
          <w:rFonts w:ascii="Times New Roman" w:hAnsi="Times New Roman" w:cs="Times New Roman"/>
          <w:sz w:val="24"/>
          <w:szCs w:val="24"/>
        </w:rPr>
        <w:t xml:space="preserve"> </w:t>
      </w:r>
      <w:r w:rsidR="00DA511D">
        <w:rPr>
          <w:rFonts w:ascii="Times New Roman" w:hAnsi="Times New Roman" w:cs="Times New Roman"/>
          <w:sz w:val="24"/>
          <w:szCs w:val="24"/>
        </w:rPr>
        <w:t>Os leasings financeiros tiverem</w:t>
      </w:r>
      <w:r w:rsidR="00146371">
        <w:rPr>
          <w:rFonts w:ascii="Times New Roman" w:hAnsi="Times New Roman" w:cs="Times New Roman"/>
          <w:sz w:val="24"/>
          <w:szCs w:val="24"/>
        </w:rPr>
        <w:t xml:space="preserve"> clausula que informe que tem residual, ou seja, que haverá a transferência de propriedade após o pagamento das parcelas ele interferem normalmente na composição patrimônio, ou seja, irar aumentar o imobilizado da empresa de grande porte ou SA.</w:t>
      </w:r>
    </w:p>
    <w:p w:rsidR="00CE387A" w:rsidRPr="00897DF1" w:rsidRDefault="00146371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Caso ele seja leasing operacional, ele impactar no patrimônio liquido da empresa de grande porte e SA, no que tange a redução do lucro.</w:t>
      </w:r>
    </w:p>
    <w:p w:rsidR="00975277" w:rsidRDefault="00DE4A05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Iudicibus (FIPECAFI, 2010. Pag. 16) </w:t>
      </w:r>
      <w:r w:rsidRPr="00897DF1">
        <w:rPr>
          <w:rFonts w:ascii="Times New Roman" w:hAnsi="Times New Roman" w:cs="Times New Roman"/>
          <w:b/>
          <w:i/>
          <w:sz w:val="24"/>
          <w:szCs w:val="24"/>
        </w:rPr>
        <w:t>CPC 04 Ativo Intangível (IAS 38) Maior restrição ao ativo intangível: saem despesas pré-operacionais, gastos com pesquisas; não há ativo diferido; gastos com desenvolvimento são ativo, mas com restrições; restrições no registro de intangíveis</w:t>
      </w:r>
      <w:r w:rsidR="00113731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 gerados internamente, intangíveis sem vida útil definida não são mais amortizados (goodwill, p.e); softwares com vida própria.</w:t>
      </w:r>
      <w:r w:rsidR="00146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6371">
        <w:rPr>
          <w:rFonts w:ascii="Times New Roman" w:hAnsi="Times New Roman" w:cs="Times New Roman"/>
          <w:sz w:val="24"/>
          <w:szCs w:val="24"/>
        </w:rPr>
        <w:t>Não há mais ativo diferido, os gastos com desenvolvimento de novos ativos, devem ser reconhecidos como intangíveis, os quais podem ser amortizado. Os ativos intangíveis são</w:t>
      </w:r>
      <w:r w:rsidR="00113731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6371" w:rsidRPr="00146371">
        <w:rPr>
          <w:rFonts w:ascii="Times New Roman" w:hAnsi="Times New Roman" w:cs="Times New Roman"/>
          <w:sz w:val="24"/>
          <w:szCs w:val="24"/>
        </w:rPr>
        <w:t>exemplos</w:t>
      </w:r>
      <w:r w:rsidR="00146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46371" w:rsidRPr="00146371">
        <w:rPr>
          <w:rFonts w:ascii="Times New Roman" w:hAnsi="Times New Roman" w:cs="Times New Roman"/>
          <w:sz w:val="24"/>
          <w:szCs w:val="24"/>
        </w:rPr>
        <w:t>Marcas e patentes, nomes empresariais</w:t>
      </w:r>
      <w:r w:rsidR="00146371">
        <w:rPr>
          <w:rFonts w:ascii="Times New Roman" w:hAnsi="Times New Roman" w:cs="Times New Roman"/>
          <w:sz w:val="24"/>
          <w:szCs w:val="24"/>
        </w:rPr>
        <w:t>, os quais seja mensuráveis monetariamente.</w:t>
      </w:r>
    </w:p>
    <w:p w:rsidR="00962F90" w:rsidRPr="00897DF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 empresas de grande portem tende a contabilizar estes ativos, em curso a normas internacionais de contabilidade, pois este impacta diretamente ao resultado da empresa, em virtude de ser um ativo que vai perdendo a sua capacidade de </w:t>
      </w:r>
      <w:r w:rsidR="007F5BE6">
        <w:rPr>
          <w:rFonts w:ascii="Times New Roman" w:hAnsi="Times New Roman" w:cs="Times New Roman"/>
          <w:sz w:val="24"/>
          <w:szCs w:val="24"/>
        </w:rPr>
        <w:t>gerar benefícios futuros.</w:t>
      </w:r>
      <w:r w:rsidR="00DE4A05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62F90" w:rsidRPr="00897DF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030A9" w:rsidRDefault="00215F9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F1">
        <w:rPr>
          <w:rFonts w:ascii="Times New Roman" w:hAnsi="Times New Roman" w:cs="Times New Roman"/>
          <w:sz w:val="24"/>
          <w:szCs w:val="24"/>
        </w:rPr>
        <w:t xml:space="preserve">Conforme Iudicibus (FIPECAFI, 2010. Pag. 16) </w:t>
      </w:r>
      <w:r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CPC </w:t>
      </w:r>
      <w:r w:rsidR="00517675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Efeitos das mudanças das taxas de cambio e conversão e conversão das demonstrações </w:t>
      </w:r>
      <w:r w:rsidR="002C6E9F" w:rsidRPr="00897DF1">
        <w:rPr>
          <w:rFonts w:ascii="Times New Roman" w:hAnsi="Times New Roman" w:cs="Times New Roman"/>
          <w:b/>
          <w:i/>
          <w:sz w:val="24"/>
          <w:szCs w:val="24"/>
        </w:rPr>
        <w:t>contábeis</w:t>
      </w:r>
      <w:r w:rsidR="00517675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 (IAS 21) variação cambial de investimentos societários no exterior não é resultado ate baixa final do investimento. Moeda</w:t>
      </w:r>
      <w:r w:rsidR="002C6E9F" w:rsidRPr="00897DF1">
        <w:rPr>
          <w:rFonts w:ascii="Times New Roman" w:hAnsi="Times New Roman" w:cs="Times New Roman"/>
          <w:b/>
          <w:i/>
          <w:sz w:val="24"/>
          <w:szCs w:val="24"/>
        </w:rPr>
        <w:t xml:space="preserve"> funcional: definição e adoção, moeda  de reporte.</w:t>
      </w:r>
      <w:r w:rsidR="000513A8">
        <w:rPr>
          <w:rFonts w:ascii="Times New Roman" w:hAnsi="Times New Roman" w:cs="Times New Roman"/>
          <w:sz w:val="24"/>
          <w:szCs w:val="24"/>
        </w:rPr>
        <w:t xml:space="preserve"> Com o avento da  lei 11.638, em curso as normas internacionais de contabilidade é de suma importância a conversão das demonstrações contábeis em moeda internacional, no CPC 12 referente a investimentos, informa que deve ser utilizado a taxa de cambio do dia do fechamento, e se em virtude houver variação cambio, esta deve ser reconhecida somente no final do investimento, ou seja, quando for baixá-lo.</w:t>
      </w:r>
    </w:p>
    <w:p w:rsidR="002E3852" w:rsidRDefault="002E3852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852" w:rsidRDefault="002E3852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852" w:rsidRPr="002E3852" w:rsidRDefault="002E3852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2.3</w:t>
      </w:r>
      <w:r w:rsidR="000042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2E3852">
        <w:rPr>
          <w:rFonts w:ascii="Times New Roman" w:hAnsi="Times New Roman" w:cs="Times New Roman"/>
          <w:b/>
          <w:sz w:val="24"/>
          <w:szCs w:val="24"/>
          <w:u w:val="single"/>
        </w:rPr>
        <w:t>Empresa Analisada</w:t>
      </w:r>
    </w:p>
    <w:p w:rsidR="00C04DDD" w:rsidRDefault="00544BF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1461135</wp:posOffset>
            </wp:positionV>
            <wp:extent cx="5607050" cy="6591300"/>
            <wp:effectExtent l="19050" t="0" r="0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3A8">
        <w:rPr>
          <w:rFonts w:ascii="Times New Roman" w:hAnsi="Times New Roman" w:cs="Times New Roman"/>
          <w:sz w:val="24"/>
          <w:szCs w:val="24"/>
        </w:rPr>
        <w:t xml:space="preserve">Empresa </w:t>
      </w:r>
      <w:r w:rsidR="0052504F">
        <w:rPr>
          <w:rFonts w:ascii="Times New Roman" w:hAnsi="Times New Roman" w:cs="Times New Roman"/>
          <w:sz w:val="24"/>
          <w:szCs w:val="24"/>
        </w:rPr>
        <w:t xml:space="preserve">de grande porte de capital aberto analisada é </w:t>
      </w:r>
      <w:r w:rsidR="00062222" w:rsidRPr="00062222">
        <w:rPr>
          <w:rFonts w:ascii="Times New Roman" w:hAnsi="Times New Roman" w:cs="Times New Roman"/>
          <w:sz w:val="24"/>
          <w:szCs w:val="24"/>
        </w:rPr>
        <w:t>a</w:t>
      </w:r>
      <w:r w:rsidR="0006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3A8" w:rsidRPr="00C67D1A">
        <w:rPr>
          <w:rFonts w:ascii="Times New Roman" w:hAnsi="Times New Roman" w:cs="Times New Roman"/>
          <w:b/>
          <w:sz w:val="24"/>
          <w:szCs w:val="24"/>
        </w:rPr>
        <w:t>Petrobras SA</w:t>
      </w:r>
      <w:r w:rsidR="004513AF">
        <w:rPr>
          <w:rFonts w:ascii="Times New Roman" w:hAnsi="Times New Roman" w:cs="Times New Roman"/>
          <w:b/>
          <w:sz w:val="24"/>
          <w:szCs w:val="24"/>
        </w:rPr>
        <w:t>, e</w:t>
      </w:r>
      <w:r w:rsidR="004513AF">
        <w:rPr>
          <w:rFonts w:ascii="Times New Roman" w:hAnsi="Times New Roman" w:cs="Times New Roman"/>
          <w:sz w:val="24"/>
          <w:szCs w:val="24"/>
        </w:rPr>
        <w:t>sta</w:t>
      </w:r>
      <w:r w:rsidR="00C67D1A">
        <w:rPr>
          <w:rFonts w:ascii="Times New Roman" w:hAnsi="Times New Roman" w:cs="Times New Roman"/>
          <w:sz w:val="24"/>
          <w:szCs w:val="24"/>
        </w:rPr>
        <w:t xml:space="preserve"> empresa do Ramo petroleiro </w:t>
      </w:r>
      <w:r w:rsidR="004513AF">
        <w:rPr>
          <w:rFonts w:ascii="Times New Roman" w:hAnsi="Times New Roman" w:cs="Times New Roman"/>
          <w:sz w:val="24"/>
          <w:szCs w:val="24"/>
        </w:rPr>
        <w:t xml:space="preserve">que </w:t>
      </w:r>
      <w:r w:rsidR="00C67D1A">
        <w:rPr>
          <w:rFonts w:ascii="Times New Roman" w:hAnsi="Times New Roman" w:cs="Times New Roman"/>
          <w:sz w:val="24"/>
          <w:szCs w:val="24"/>
        </w:rPr>
        <w:t xml:space="preserve">vem já se adaptando as normas internacionais de contabilidade, no que tange </w:t>
      </w:r>
      <w:r w:rsidR="00C04DDD">
        <w:rPr>
          <w:rFonts w:ascii="Times New Roman" w:hAnsi="Times New Roman" w:cs="Times New Roman"/>
          <w:sz w:val="24"/>
          <w:szCs w:val="24"/>
        </w:rPr>
        <w:t>a utilização dos pronunciamentos contábeis.</w:t>
      </w:r>
      <w:r w:rsidR="002E3852">
        <w:rPr>
          <w:rFonts w:ascii="Times New Roman" w:hAnsi="Times New Roman" w:cs="Times New Roman"/>
          <w:sz w:val="24"/>
          <w:szCs w:val="24"/>
        </w:rPr>
        <w:t xml:space="preserve"> </w:t>
      </w:r>
      <w:r w:rsidR="004513AF">
        <w:rPr>
          <w:rFonts w:ascii="Times New Roman" w:hAnsi="Times New Roman" w:cs="Times New Roman"/>
          <w:sz w:val="24"/>
          <w:szCs w:val="24"/>
        </w:rPr>
        <w:t>Nas suas demonstrações contábeis de 2009 e 2010, ela vem apresentada as modificações estabelecidas pela lei 11.638 em curso das normas internacionais de contabilidade.</w:t>
      </w:r>
    </w:p>
    <w:p w:rsidR="00D030A9" w:rsidRPr="00897DF1" w:rsidRDefault="00D030A9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FEF" w:rsidRDefault="00DC2AB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5715</wp:posOffset>
            </wp:positionV>
            <wp:extent cx="6216650" cy="8356600"/>
            <wp:effectExtent l="19050" t="0" r="0" b="0"/>
            <wp:wrapNone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FEF" w:rsidRDefault="00546FEF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CFC" w:rsidRDefault="00480CFC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8F743E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lastRenderedPageBreak/>
        <w:drawing>
          <wp:inline distT="0" distB="0" distL="0" distR="0">
            <wp:extent cx="5454650" cy="7905356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860" cy="789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4B" w:rsidRDefault="00E5014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0C0" w:rsidRDefault="00CE40C0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0C0" w:rsidRDefault="003F0A2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94615</wp:posOffset>
            </wp:positionV>
            <wp:extent cx="6292850" cy="8648700"/>
            <wp:effectExtent l="19050" t="0" r="0" b="0"/>
            <wp:wrapNone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0C0" w:rsidRDefault="00CE40C0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A2B" w:rsidRDefault="003F0A2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5B8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5B8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5B8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5B8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5B8" w:rsidRDefault="00FC65B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371" w:rsidRDefault="00146371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43E" w:rsidRDefault="008F743E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A2B" w:rsidRDefault="003F0A2B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30A9" w:rsidRPr="00897DF1" w:rsidRDefault="00D030A9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DF1">
        <w:rPr>
          <w:rFonts w:ascii="Times New Roman" w:hAnsi="Times New Roman" w:cs="Times New Roman"/>
          <w:b/>
          <w:sz w:val="24"/>
          <w:szCs w:val="24"/>
          <w:u w:val="single"/>
        </w:rPr>
        <w:t>Conclusão</w:t>
      </w:r>
    </w:p>
    <w:p w:rsidR="00C35B80" w:rsidRDefault="00D4591C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72D">
        <w:rPr>
          <w:rFonts w:ascii="Times New Roman" w:hAnsi="Times New Roman" w:cs="Times New Roman"/>
          <w:sz w:val="24"/>
          <w:szCs w:val="24"/>
        </w:rPr>
        <w:t>Conclui-se que as modificações estabelecidas</w:t>
      </w:r>
      <w:r w:rsidR="00C56896">
        <w:rPr>
          <w:rFonts w:ascii="Times New Roman" w:hAnsi="Times New Roman" w:cs="Times New Roman"/>
          <w:sz w:val="24"/>
          <w:szCs w:val="24"/>
        </w:rPr>
        <w:t xml:space="preserve"> e editas pela</w:t>
      </w:r>
      <w:r w:rsidRPr="005D072D">
        <w:rPr>
          <w:rFonts w:ascii="Times New Roman" w:hAnsi="Times New Roman" w:cs="Times New Roman"/>
          <w:sz w:val="24"/>
          <w:szCs w:val="24"/>
        </w:rPr>
        <w:t xml:space="preserve"> lei 11.638</w:t>
      </w:r>
      <w:r w:rsidR="00C35B80">
        <w:rPr>
          <w:rFonts w:ascii="Times New Roman" w:hAnsi="Times New Roman" w:cs="Times New Roman"/>
          <w:sz w:val="24"/>
          <w:szCs w:val="24"/>
        </w:rPr>
        <w:t xml:space="preserve"> em curso das normas internacionais de contabilidade, tentem a demonstrar a realidade das empresa</w:t>
      </w:r>
      <w:r w:rsidR="005E3B69">
        <w:rPr>
          <w:rFonts w:ascii="Times New Roman" w:hAnsi="Times New Roman" w:cs="Times New Roman"/>
          <w:sz w:val="24"/>
          <w:szCs w:val="24"/>
        </w:rPr>
        <w:t>s</w:t>
      </w:r>
      <w:r w:rsidR="00C35B80">
        <w:rPr>
          <w:rFonts w:ascii="Times New Roman" w:hAnsi="Times New Roman" w:cs="Times New Roman"/>
          <w:sz w:val="24"/>
          <w:szCs w:val="24"/>
        </w:rPr>
        <w:t xml:space="preserve">, pelo motivo que ela reconhece se os ativos realmente iram </w:t>
      </w:r>
      <w:r w:rsidR="00234AA3">
        <w:rPr>
          <w:rFonts w:ascii="Times New Roman" w:hAnsi="Times New Roman" w:cs="Times New Roman"/>
          <w:sz w:val="24"/>
          <w:szCs w:val="24"/>
        </w:rPr>
        <w:t xml:space="preserve">gerar os benefícios proposto, e se caso, ocorra algo que demonstre que estes benefícios não iram </w:t>
      </w:r>
      <w:r w:rsidR="005E3B69">
        <w:rPr>
          <w:rFonts w:ascii="Times New Roman" w:hAnsi="Times New Roman" w:cs="Times New Roman"/>
          <w:sz w:val="24"/>
          <w:szCs w:val="24"/>
        </w:rPr>
        <w:t xml:space="preserve">acontecer como </w:t>
      </w:r>
      <w:r w:rsidR="00D34D68">
        <w:rPr>
          <w:rFonts w:ascii="Times New Roman" w:hAnsi="Times New Roman" w:cs="Times New Roman"/>
          <w:sz w:val="24"/>
          <w:szCs w:val="24"/>
        </w:rPr>
        <w:t>contabilizados pelo custo de aquisição</w:t>
      </w:r>
      <w:r w:rsidR="005E3B69">
        <w:rPr>
          <w:rFonts w:ascii="Times New Roman" w:hAnsi="Times New Roman" w:cs="Times New Roman"/>
          <w:sz w:val="24"/>
          <w:szCs w:val="24"/>
        </w:rPr>
        <w:t>, logo terão que ser reconhecidos</w:t>
      </w:r>
      <w:r w:rsidR="00D34D68">
        <w:rPr>
          <w:rFonts w:ascii="Times New Roman" w:hAnsi="Times New Roman" w:cs="Times New Roman"/>
          <w:sz w:val="24"/>
          <w:szCs w:val="24"/>
        </w:rPr>
        <w:t xml:space="preserve"> perdas</w:t>
      </w:r>
      <w:r w:rsidR="005E3B69">
        <w:rPr>
          <w:rFonts w:ascii="Times New Roman" w:hAnsi="Times New Roman" w:cs="Times New Roman"/>
          <w:sz w:val="24"/>
          <w:szCs w:val="24"/>
        </w:rPr>
        <w:t>. Entretanto para fins da base de c</w:t>
      </w:r>
      <w:r w:rsidR="00D34D68">
        <w:rPr>
          <w:rFonts w:ascii="Times New Roman" w:hAnsi="Times New Roman" w:cs="Times New Roman"/>
          <w:sz w:val="24"/>
          <w:szCs w:val="24"/>
        </w:rPr>
        <w:t>alculo do imposto de renda,</w:t>
      </w:r>
      <w:r w:rsidR="00481FE8">
        <w:rPr>
          <w:rFonts w:ascii="Times New Roman" w:hAnsi="Times New Roman" w:cs="Times New Roman"/>
          <w:sz w:val="24"/>
          <w:szCs w:val="24"/>
        </w:rPr>
        <w:t xml:space="preserve"> </w:t>
      </w:r>
      <w:r w:rsidR="00D34D68">
        <w:rPr>
          <w:rFonts w:ascii="Times New Roman" w:hAnsi="Times New Roman" w:cs="Times New Roman"/>
          <w:sz w:val="24"/>
          <w:szCs w:val="24"/>
        </w:rPr>
        <w:t>estas perdas não são dedutíveis para o imposto de renda; então foi promulgada a lei 11.941, que</w:t>
      </w:r>
      <w:r w:rsidR="00481FE8">
        <w:rPr>
          <w:rFonts w:ascii="Times New Roman" w:hAnsi="Times New Roman" w:cs="Times New Roman"/>
          <w:sz w:val="24"/>
          <w:szCs w:val="24"/>
        </w:rPr>
        <w:t xml:space="preserve"> </w:t>
      </w:r>
      <w:r w:rsidR="00D34D68">
        <w:rPr>
          <w:rFonts w:ascii="Times New Roman" w:hAnsi="Times New Roman" w:cs="Times New Roman"/>
          <w:sz w:val="24"/>
          <w:szCs w:val="24"/>
        </w:rPr>
        <w:t>resolveu este da RTT,  este impa</w:t>
      </w:r>
      <w:r w:rsidR="000C3479">
        <w:rPr>
          <w:rFonts w:ascii="Times New Roman" w:hAnsi="Times New Roman" w:cs="Times New Roman"/>
          <w:sz w:val="24"/>
          <w:szCs w:val="24"/>
        </w:rPr>
        <w:t xml:space="preserve">sse, ou seja, conforme a RTT as alterações feitas nas demonstrações contábeis, em curso para as normas internacionais de contabilidade serão neutras, ou seja, não integraram a base de calculo do imposto de renda. </w:t>
      </w:r>
    </w:p>
    <w:p w:rsidR="000C3479" w:rsidRDefault="000C3479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de grande porte tendem a realizar as sua</w:t>
      </w:r>
      <w:r w:rsidR="007628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demonstrações contábeis conforme as normas internacionais, e que a receita federal esta se adaptando a essa nova regra</w:t>
      </w:r>
    </w:p>
    <w:p w:rsidR="00C35B80" w:rsidRDefault="00C35B8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B80" w:rsidRDefault="00C35B8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B80" w:rsidRDefault="00C35B8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B80" w:rsidRDefault="00C35B80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EE6" w:rsidRDefault="00517675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Default="00DE7288" w:rsidP="00652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88" w:rsidRPr="007677B3" w:rsidRDefault="00DE7288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88">
        <w:rPr>
          <w:rFonts w:ascii="Times New Roman" w:hAnsi="Times New Roman" w:cs="Times New Roman"/>
          <w:b/>
          <w:sz w:val="24"/>
          <w:szCs w:val="24"/>
        </w:rPr>
        <w:lastRenderedPageBreak/>
        <w:t>Bibliografia.</w:t>
      </w:r>
    </w:p>
    <w:p w:rsidR="00EE2FF2" w:rsidRDefault="00EE2FF2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7B3">
        <w:rPr>
          <w:rFonts w:ascii="Times New Roman" w:hAnsi="Times New Roman" w:cs="Times New Roman"/>
          <w:b/>
          <w:sz w:val="24"/>
          <w:szCs w:val="24"/>
        </w:rPr>
        <w:t xml:space="preserve">Manual de Contabilidade Societária </w:t>
      </w:r>
      <w:r w:rsidR="007677B3">
        <w:rPr>
          <w:rFonts w:ascii="Times New Roman" w:hAnsi="Times New Roman" w:cs="Times New Roman"/>
          <w:b/>
          <w:sz w:val="24"/>
          <w:szCs w:val="24"/>
        </w:rPr>
        <w:t>(FIPECAF)</w:t>
      </w:r>
      <w:r w:rsidRPr="007677B3">
        <w:rPr>
          <w:rFonts w:ascii="Times New Roman" w:hAnsi="Times New Roman" w:cs="Times New Roman"/>
          <w:b/>
          <w:sz w:val="24"/>
          <w:szCs w:val="24"/>
        </w:rPr>
        <w:t>– Uudicibus Sergio; Martins Eliseu;</w:t>
      </w:r>
      <w:r w:rsidR="007677B3" w:rsidRPr="007677B3">
        <w:rPr>
          <w:rFonts w:ascii="Times New Roman" w:hAnsi="Times New Roman" w:cs="Times New Roman"/>
          <w:b/>
          <w:sz w:val="24"/>
          <w:szCs w:val="24"/>
        </w:rPr>
        <w:t xml:space="preserve">  Gelbcke Ernesto Rubens; Santos Ariovaldo dos</w:t>
      </w:r>
    </w:p>
    <w:p w:rsidR="007677B3" w:rsidRPr="007677B3" w:rsidRDefault="007677B3" w:rsidP="00652C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7B3" w:rsidRPr="007677B3" w:rsidSect="00C51FE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34" w:rsidRDefault="00E33F34" w:rsidP="00D818DE">
      <w:pPr>
        <w:spacing w:after="0" w:line="240" w:lineRule="auto"/>
      </w:pPr>
      <w:r>
        <w:separator/>
      </w:r>
    </w:p>
  </w:endnote>
  <w:endnote w:type="continuationSeparator" w:id="1">
    <w:p w:rsidR="00E33F34" w:rsidRDefault="00E33F34" w:rsidP="00D8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34" w:rsidRDefault="00E33F34" w:rsidP="00D818DE">
      <w:pPr>
        <w:spacing w:after="0" w:line="240" w:lineRule="auto"/>
      </w:pPr>
      <w:r>
        <w:separator/>
      </w:r>
    </w:p>
  </w:footnote>
  <w:footnote w:type="continuationSeparator" w:id="1">
    <w:p w:rsidR="00E33F34" w:rsidRDefault="00E33F34" w:rsidP="00D8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94A"/>
    <w:rsid w:val="000042E5"/>
    <w:rsid w:val="00004CBE"/>
    <w:rsid w:val="00004E86"/>
    <w:rsid w:val="00027852"/>
    <w:rsid w:val="00027FD4"/>
    <w:rsid w:val="00030BC2"/>
    <w:rsid w:val="00031D36"/>
    <w:rsid w:val="00037E93"/>
    <w:rsid w:val="0004457E"/>
    <w:rsid w:val="00046582"/>
    <w:rsid w:val="000513A8"/>
    <w:rsid w:val="000533FA"/>
    <w:rsid w:val="00054E7E"/>
    <w:rsid w:val="00062222"/>
    <w:rsid w:val="00065530"/>
    <w:rsid w:val="0007792C"/>
    <w:rsid w:val="00096A6F"/>
    <w:rsid w:val="000A1435"/>
    <w:rsid w:val="000A76FA"/>
    <w:rsid w:val="000C3479"/>
    <w:rsid w:val="000C4F08"/>
    <w:rsid w:val="000F27F4"/>
    <w:rsid w:val="000F3D59"/>
    <w:rsid w:val="000F57A5"/>
    <w:rsid w:val="000F72A3"/>
    <w:rsid w:val="00103AAC"/>
    <w:rsid w:val="00113731"/>
    <w:rsid w:val="00125FC2"/>
    <w:rsid w:val="001269C1"/>
    <w:rsid w:val="00127852"/>
    <w:rsid w:val="0013344B"/>
    <w:rsid w:val="00146371"/>
    <w:rsid w:val="0015453F"/>
    <w:rsid w:val="001666AE"/>
    <w:rsid w:val="0017189B"/>
    <w:rsid w:val="001B06BD"/>
    <w:rsid w:val="001C09C1"/>
    <w:rsid w:val="001C79AE"/>
    <w:rsid w:val="001D0AC2"/>
    <w:rsid w:val="001E01FF"/>
    <w:rsid w:val="001E4E44"/>
    <w:rsid w:val="001F3B8A"/>
    <w:rsid w:val="001F47FA"/>
    <w:rsid w:val="00214344"/>
    <w:rsid w:val="00215F90"/>
    <w:rsid w:val="002344D0"/>
    <w:rsid w:val="00234AA3"/>
    <w:rsid w:val="00242B88"/>
    <w:rsid w:val="002455D4"/>
    <w:rsid w:val="00283721"/>
    <w:rsid w:val="0029174F"/>
    <w:rsid w:val="0029381A"/>
    <w:rsid w:val="0029443A"/>
    <w:rsid w:val="002A4B68"/>
    <w:rsid w:val="002B1E11"/>
    <w:rsid w:val="002B7114"/>
    <w:rsid w:val="002C6E9F"/>
    <w:rsid w:val="002D49A7"/>
    <w:rsid w:val="002E0516"/>
    <w:rsid w:val="002E3852"/>
    <w:rsid w:val="00304DC2"/>
    <w:rsid w:val="00310B6C"/>
    <w:rsid w:val="00324B44"/>
    <w:rsid w:val="00326492"/>
    <w:rsid w:val="003339AA"/>
    <w:rsid w:val="003353E5"/>
    <w:rsid w:val="00342EDF"/>
    <w:rsid w:val="003450BA"/>
    <w:rsid w:val="00345E78"/>
    <w:rsid w:val="00351812"/>
    <w:rsid w:val="00356BEB"/>
    <w:rsid w:val="00360123"/>
    <w:rsid w:val="003A0C2C"/>
    <w:rsid w:val="003D717E"/>
    <w:rsid w:val="003F0A2B"/>
    <w:rsid w:val="003F0B62"/>
    <w:rsid w:val="003F604E"/>
    <w:rsid w:val="004005DE"/>
    <w:rsid w:val="00402CD8"/>
    <w:rsid w:val="0040658C"/>
    <w:rsid w:val="004166F5"/>
    <w:rsid w:val="00420B5C"/>
    <w:rsid w:val="00434B99"/>
    <w:rsid w:val="00435CF3"/>
    <w:rsid w:val="004364E1"/>
    <w:rsid w:val="0043781F"/>
    <w:rsid w:val="004513AF"/>
    <w:rsid w:val="0045190E"/>
    <w:rsid w:val="00455AEE"/>
    <w:rsid w:val="00480CFC"/>
    <w:rsid w:val="00481FE8"/>
    <w:rsid w:val="00484D4E"/>
    <w:rsid w:val="00497DBE"/>
    <w:rsid w:val="004A6D5F"/>
    <w:rsid w:val="004B406F"/>
    <w:rsid w:val="004D6946"/>
    <w:rsid w:val="004E25B7"/>
    <w:rsid w:val="004F57CF"/>
    <w:rsid w:val="0051388F"/>
    <w:rsid w:val="0051514C"/>
    <w:rsid w:val="005151F2"/>
    <w:rsid w:val="00517675"/>
    <w:rsid w:val="0052504F"/>
    <w:rsid w:val="005265D6"/>
    <w:rsid w:val="00534C44"/>
    <w:rsid w:val="00544BF0"/>
    <w:rsid w:val="0054649C"/>
    <w:rsid w:val="00546FEF"/>
    <w:rsid w:val="00552704"/>
    <w:rsid w:val="00570225"/>
    <w:rsid w:val="0058425B"/>
    <w:rsid w:val="00592B55"/>
    <w:rsid w:val="005C5576"/>
    <w:rsid w:val="005D072D"/>
    <w:rsid w:val="005D2DDD"/>
    <w:rsid w:val="005D3D46"/>
    <w:rsid w:val="005D6CE7"/>
    <w:rsid w:val="005E3064"/>
    <w:rsid w:val="005E3B69"/>
    <w:rsid w:val="005E639B"/>
    <w:rsid w:val="005F0464"/>
    <w:rsid w:val="006018B3"/>
    <w:rsid w:val="00604290"/>
    <w:rsid w:val="0061248A"/>
    <w:rsid w:val="006267CC"/>
    <w:rsid w:val="00633941"/>
    <w:rsid w:val="00643BB9"/>
    <w:rsid w:val="00646EAF"/>
    <w:rsid w:val="00652C6F"/>
    <w:rsid w:val="00665670"/>
    <w:rsid w:val="0066706B"/>
    <w:rsid w:val="00671616"/>
    <w:rsid w:val="006743EF"/>
    <w:rsid w:val="00677498"/>
    <w:rsid w:val="00697A86"/>
    <w:rsid w:val="006A745A"/>
    <w:rsid w:val="006B130E"/>
    <w:rsid w:val="006C15AD"/>
    <w:rsid w:val="006C24D9"/>
    <w:rsid w:val="006D1F18"/>
    <w:rsid w:val="006D22DE"/>
    <w:rsid w:val="006F4705"/>
    <w:rsid w:val="006F5878"/>
    <w:rsid w:val="00710E7B"/>
    <w:rsid w:val="00721A20"/>
    <w:rsid w:val="00721B47"/>
    <w:rsid w:val="007250B2"/>
    <w:rsid w:val="007270E9"/>
    <w:rsid w:val="00734BFF"/>
    <w:rsid w:val="0074034B"/>
    <w:rsid w:val="00751324"/>
    <w:rsid w:val="0075790E"/>
    <w:rsid w:val="00757D73"/>
    <w:rsid w:val="0076287C"/>
    <w:rsid w:val="00763E17"/>
    <w:rsid w:val="007677B3"/>
    <w:rsid w:val="00771DB9"/>
    <w:rsid w:val="007827EB"/>
    <w:rsid w:val="00783CA7"/>
    <w:rsid w:val="00794F0D"/>
    <w:rsid w:val="00795D83"/>
    <w:rsid w:val="007A4A88"/>
    <w:rsid w:val="007A60BA"/>
    <w:rsid w:val="007B61DF"/>
    <w:rsid w:val="007C05CF"/>
    <w:rsid w:val="007D184D"/>
    <w:rsid w:val="007E7AAC"/>
    <w:rsid w:val="007F04BE"/>
    <w:rsid w:val="007F5BE6"/>
    <w:rsid w:val="008062A3"/>
    <w:rsid w:val="00865361"/>
    <w:rsid w:val="00873A4B"/>
    <w:rsid w:val="00897DF1"/>
    <w:rsid w:val="008A5E96"/>
    <w:rsid w:val="008B3DA7"/>
    <w:rsid w:val="008B68FD"/>
    <w:rsid w:val="008C0777"/>
    <w:rsid w:val="008C2F49"/>
    <w:rsid w:val="008D5317"/>
    <w:rsid w:val="008F5D6D"/>
    <w:rsid w:val="008F743E"/>
    <w:rsid w:val="00915CAC"/>
    <w:rsid w:val="00927B0F"/>
    <w:rsid w:val="009360DE"/>
    <w:rsid w:val="00955E0C"/>
    <w:rsid w:val="00956E8C"/>
    <w:rsid w:val="0095798A"/>
    <w:rsid w:val="00962DDD"/>
    <w:rsid w:val="00962F90"/>
    <w:rsid w:val="00974F27"/>
    <w:rsid w:val="00975277"/>
    <w:rsid w:val="00980772"/>
    <w:rsid w:val="00982C0C"/>
    <w:rsid w:val="009A02BC"/>
    <w:rsid w:val="009A5F66"/>
    <w:rsid w:val="009B2D0A"/>
    <w:rsid w:val="009C05F3"/>
    <w:rsid w:val="009D22D0"/>
    <w:rsid w:val="009E4419"/>
    <w:rsid w:val="009E7CDB"/>
    <w:rsid w:val="009F24F5"/>
    <w:rsid w:val="00A05A86"/>
    <w:rsid w:val="00A05C4D"/>
    <w:rsid w:val="00A148D5"/>
    <w:rsid w:val="00A37A15"/>
    <w:rsid w:val="00A56DCD"/>
    <w:rsid w:val="00A73AA3"/>
    <w:rsid w:val="00A75B2A"/>
    <w:rsid w:val="00A825BD"/>
    <w:rsid w:val="00A9401A"/>
    <w:rsid w:val="00AB25BF"/>
    <w:rsid w:val="00AD12CD"/>
    <w:rsid w:val="00AD247A"/>
    <w:rsid w:val="00AD32DC"/>
    <w:rsid w:val="00AF5BB2"/>
    <w:rsid w:val="00AF6121"/>
    <w:rsid w:val="00B0028D"/>
    <w:rsid w:val="00B05E86"/>
    <w:rsid w:val="00B20232"/>
    <w:rsid w:val="00B26278"/>
    <w:rsid w:val="00B344CB"/>
    <w:rsid w:val="00B3603D"/>
    <w:rsid w:val="00B40EE6"/>
    <w:rsid w:val="00B52BB4"/>
    <w:rsid w:val="00B70D1C"/>
    <w:rsid w:val="00B753FE"/>
    <w:rsid w:val="00B84257"/>
    <w:rsid w:val="00BA3912"/>
    <w:rsid w:val="00BA5F62"/>
    <w:rsid w:val="00BB08F4"/>
    <w:rsid w:val="00BC779B"/>
    <w:rsid w:val="00BC79A7"/>
    <w:rsid w:val="00BD0788"/>
    <w:rsid w:val="00BE7383"/>
    <w:rsid w:val="00C016A8"/>
    <w:rsid w:val="00C04DDD"/>
    <w:rsid w:val="00C35B80"/>
    <w:rsid w:val="00C4095A"/>
    <w:rsid w:val="00C43F83"/>
    <w:rsid w:val="00C51FE7"/>
    <w:rsid w:val="00C543E0"/>
    <w:rsid w:val="00C56896"/>
    <w:rsid w:val="00C6555C"/>
    <w:rsid w:val="00C67D1A"/>
    <w:rsid w:val="00C72BBA"/>
    <w:rsid w:val="00C823B0"/>
    <w:rsid w:val="00C82C26"/>
    <w:rsid w:val="00C82CEB"/>
    <w:rsid w:val="00CA70F1"/>
    <w:rsid w:val="00CC5BEA"/>
    <w:rsid w:val="00CC741F"/>
    <w:rsid w:val="00CD3CC4"/>
    <w:rsid w:val="00CE348A"/>
    <w:rsid w:val="00CE387A"/>
    <w:rsid w:val="00CE40C0"/>
    <w:rsid w:val="00D030A9"/>
    <w:rsid w:val="00D06C52"/>
    <w:rsid w:val="00D114B9"/>
    <w:rsid w:val="00D3279A"/>
    <w:rsid w:val="00D34D68"/>
    <w:rsid w:val="00D42595"/>
    <w:rsid w:val="00D4591C"/>
    <w:rsid w:val="00D509D7"/>
    <w:rsid w:val="00D54FAC"/>
    <w:rsid w:val="00D57AB5"/>
    <w:rsid w:val="00D65229"/>
    <w:rsid w:val="00D818DE"/>
    <w:rsid w:val="00DA511D"/>
    <w:rsid w:val="00DA7883"/>
    <w:rsid w:val="00DB5254"/>
    <w:rsid w:val="00DC013C"/>
    <w:rsid w:val="00DC2AB1"/>
    <w:rsid w:val="00DC378A"/>
    <w:rsid w:val="00DC4608"/>
    <w:rsid w:val="00DC7836"/>
    <w:rsid w:val="00DD0352"/>
    <w:rsid w:val="00DE15A9"/>
    <w:rsid w:val="00DE26F7"/>
    <w:rsid w:val="00DE2C0F"/>
    <w:rsid w:val="00DE3C15"/>
    <w:rsid w:val="00DE4A05"/>
    <w:rsid w:val="00DE7288"/>
    <w:rsid w:val="00DF3A77"/>
    <w:rsid w:val="00E035F0"/>
    <w:rsid w:val="00E03999"/>
    <w:rsid w:val="00E20447"/>
    <w:rsid w:val="00E241DF"/>
    <w:rsid w:val="00E33F34"/>
    <w:rsid w:val="00E43EF2"/>
    <w:rsid w:val="00E4776B"/>
    <w:rsid w:val="00E5014B"/>
    <w:rsid w:val="00E55C40"/>
    <w:rsid w:val="00E5670F"/>
    <w:rsid w:val="00E84140"/>
    <w:rsid w:val="00E97480"/>
    <w:rsid w:val="00EB3C31"/>
    <w:rsid w:val="00EC74BE"/>
    <w:rsid w:val="00ED58A5"/>
    <w:rsid w:val="00EE2E88"/>
    <w:rsid w:val="00EE2FF2"/>
    <w:rsid w:val="00EE7372"/>
    <w:rsid w:val="00EF7F96"/>
    <w:rsid w:val="00F166D4"/>
    <w:rsid w:val="00F16C01"/>
    <w:rsid w:val="00F203DD"/>
    <w:rsid w:val="00F3294A"/>
    <w:rsid w:val="00F32D9D"/>
    <w:rsid w:val="00F370E0"/>
    <w:rsid w:val="00F3758F"/>
    <w:rsid w:val="00F37DF3"/>
    <w:rsid w:val="00F53328"/>
    <w:rsid w:val="00F5534D"/>
    <w:rsid w:val="00F57D78"/>
    <w:rsid w:val="00F620A3"/>
    <w:rsid w:val="00F733AE"/>
    <w:rsid w:val="00FB334E"/>
    <w:rsid w:val="00FB5B24"/>
    <w:rsid w:val="00FC46E4"/>
    <w:rsid w:val="00FC65B8"/>
    <w:rsid w:val="00FE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174F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rsid w:val="000F5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57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8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18DE"/>
  </w:style>
  <w:style w:type="paragraph" w:styleId="Rodap">
    <w:name w:val="footer"/>
    <w:basedOn w:val="Normal"/>
    <w:link w:val="RodapChar"/>
    <w:uiPriority w:val="99"/>
    <w:unhideWhenUsed/>
    <w:rsid w:val="00D8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8DE"/>
  </w:style>
  <w:style w:type="paragraph" w:styleId="Textodebalo">
    <w:name w:val="Balloon Text"/>
    <w:basedOn w:val="Normal"/>
    <w:link w:val="TextodebaloChar"/>
    <w:uiPriority w:val="99"/>
    <w:semiHidden/>
    <w:unhideWhenUsed/>
    <w:rsid w:val="00C4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F021-C5B5-462A-AAD9-9FC31DA7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15</Pages>
  <Words>2171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306</cp:revision>
  <cp:lastPrinted>2011-05-16T18:12:00Z</cp:lastPrinted>
  <dcterms:created xsi:type="dcterms:W3CDTF">2011-05-01T19:22:00Z</dcterms:created>
  <dcterms:modified xsi:type="dcterms:W3CDTF">2011-05-16T22:16:00Z</dcterms:modified>
</cp:coreProperties>
</file>