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D3" w:rsidRPr="007111D3" w:rsidRDefault="007111D3" w:rsidP="007111D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11D3">
        <w:rPr>
          <w:rFonts w:ascii="Arial" w:hAnsi="Arial" w:cs="Arial"/>
          <w:b/>
          <w:sz w:val="24"/>
          <w:szCs w:val="24"/>
        </w:rPr>
        <w:t>Multa por quebra de Contrato de Locação de Imóveis</w:t>
      </w:r>
    </w:p>
    <w:p w:rsidR="007111D3" w:rsidRPr="007111D3" w:rsidRDefault="007111D3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b/>
          <w:sz w:val="24"/>
          <w:szCs w:val="24"/>
        </w:rPr>
      </w:pPr>
    </w:p>
    <w:p w:rsidR="007111D3" w:rsidRDefault="007111D3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7111D3" w:rsidRDefault="007111D3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D73D4B" w:rsidRDefault="00D73D4B" w:rsidP="007111D3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o art. 413 do Código Civil, A penalidade deve ser reduzida equitativamente pelo juiz se a obrigação principal tiver sido cumprida em parte, ou se o montante da penalidade for manifestamente excessivo, tendo-se em vista a natureza e a finalidade do </w:t>
      </w:r>
      <w:r w:rsidR="008D6FFC">
        <w:rPr>
          <w:rFonts w:ascii="Arial" w:hAnsi="Arial" w:cs="Arial"/>
          <w:sz w:val="24"/>
          <w:szCs w:val="24"/>
        </w:rPr>
        <w:t>negócio.</w:t>
      </w:r>
    </w:p>
    <w:p w:rsidR="00D73D4B" w:rsidRDefault="00D73D4B" w:rsidP="007111D3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D73D4B" w:rsidRDefault="008D6FFC" w:rsidP="00D73D4B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73D4B">
        <w:rPr>
          <w:rFonts w:ascii="Arial" w:hAnsi="Arial" w:cs="Arial"/>
          <w:sz w:val="24"/>
          <w:szCs w:val="24"/>
        </w:rPr>
        <w:t>O advogado do lojista ressalta que seu cliente, ao constatar a inviabilidade econômico-financeira de seu negócio, entendeu por bem rescindir o contrato de locação e entregar as chaves do imóvel ao shopping.</w:t>
      </w:r>
    </w:p>
    <w:p w:rsidR="00D73D4B" w:rsidRDefault="00D73D4B" w:rsidP="007111D3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7111D3" w:rsidRDefault="007111D3" w:rsidP="007111D3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juíza da 4ª Vara civil de Santo Amaro - São Paulo</w:t>
      </w:r>
      <w:r w:rsidR="008D6FFC">
        <w:rPr>
          <w:rFonts w:ascii="Arial" w:hAnsi="Arial" w:cs="Arial"/>
          <w:sz w:val="24"/>
          <w:szCs w:val="24"/>
        </w:rPr>
        <w:t xml:space="preserve"> foi</w:t>
      </w:r>
      <w:r>
        <w:rPr>
          <w:rFonts w:ascii="Arial" w:hAnsi="Arial" w:cs="Arial"/>
          <w:sz w:val="24"/>
          <w:szCs w:val="24"/>
        </w:rPr>
        <w:t xml:space="preserve"> a favor da redução da multa por um lojista instalado no Shopping Jardim Sul, pela rescisão antecipada de contrato de locação, o valor proposto pelo lojista para a rescisão contratual foi de R$ 8.024,30, já o shopping pretendia receber um valor de R$ 76.379,29 pela devida rescisão, sem acordo o advogado do lojista impetrou com uma ação de consignação em pagamento para resolver o caso.</w:t>
      </w:r>
    </w:p>
    <w:p w:rsidR="00D73D4B" w:rsidRDefault="00D73D4B" w:rsidP="007111D3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D73D4B" w:rsidRPr="009E73D1" w:rsidRDefault="00D73D4B" w:rsidP="00D73D4B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entendimento da Juíza da 4ª Vara Civil de Santo Amaro, a cláusula foi considerada abusiva e a multa foi reduzida àquela pretendida pelo lojista onde o valor pretendido era equivalente a três alugueis, de forma proporcional ao período em que ocupou a loja. A Juíza destaca que analisando as circunstâncias fáticas, impõe-se considerar que o locatário de loja em Shopping Center não tem qualquer oportunidade de negociar as cláusulas do contrato, e assume o risco de pagar aluguéis de alto valor, independentemente do sucesso do negócio que se explora. </w:t>
      </w:r>
    </w:p>
    <w:p w:rsidR="00D73D4B" w:rsidRDefault="00D73D4B" w:rsidP="007111D3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7111D3" w:rsidRDefault="007111D3" w:rsidP="007111D3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decisão da Juíza ressalta ainda a vantagem econômica excessiva do shopping neste caso "A ré nada perde". Enquanto não consegue novo locatário continua recebendo tudo, integralmente, o que estava té então sendo pago pelo antigo locatário. Onde o mesmo não está usufruindo do </w:t>
      </w:r>
      <w:r>
        <w:rPr>
          <w:rFonts w:ascii="Arial" w:hAnsi="Arial" w:cs="Arial"/>
          <w:sz w:val="24"/>
          <w:szCs w:val="24"/>
        </w:rPr>
        <w:lastRenderedPageBreak/>
        <w:t>imóvel, não está sendo privilegiando pelos serviços ou pelo fundo de comércio, não está lucrando com a atividade comercial que exercia no Shopping, mas continua sob pesado fardo.</w:t>
      </w:r>
    </w:p>
    <w:p w:rsidR="007111D3" w:rsidRDefault="007111D3" w:rsidP="007111D3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Neste caso o valor exigido pela autora pela rescisão antecipada do contrato é de R$ 76.379,29, diante do exposto, considera-se manifestamente excessivo e merece redução, no qual foi autorizado.</w:t>
      </w:r>
    </w:p>
    <w:p w:rsidR="007111D3" w:rsidRDefault="007111D3" w:rsidP="007111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E83EC5">
        <w:rPr>
          <w:rFonts w:ascii="Arial" w:hAnsi="Arial" w:cs="Arial"/>
          <w:sz w:val="24"/>
          <w:szCs w:val="24"/>
        </w:rPr>
        <w:t>As cláusulas abusivas estão entre as cláusulas gerais dos contratos  que atribuem vant</w:t>
      </w:r>
      <w:r>
        <w:rPr>
          <w:rFonts w:ascii="Arial" w:hAnsi="Arial" w:cs="Arial"/>
          <w:sz w:val="24"/>
          <w:szCs w:val="24"/>
        </w:rPr>
        <w:t>agens excessivas ao contratante</w:t>
      </w:r>
      <w:r w:rsidRPr="00E83EC5">
        <w:rPr>
          <w:rFonts w:ascii="Arial" w:hAnsi="Arial" w:cs="Arial"/>
          <w:sz w:val="24"/>
          <w:szCs w:val="24"/>
        </w:rPr>
        <w:t xml:space="preserve">, acarretando em contrapartida demasiada onerosidade ao aderente e um injusto desequilíbrio contratual. E, situa-se no âmbito das condições gerais pode ser válido do contrato negociado. </w:t>
      </w:r>
    </w:p>
    <w:p w:rsidR="008D6FFC" w:rsidRPr="00E83EC5" w:rsidRDefault="008D6FFC" w:rsidP="007111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11D3" w:rsidRDefault="008D6FFC" w:rsidP="008D6FFC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Eduardo Espínola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, rescisão, relação jurídica obrigacional pode se ter constituído de modo vicioso, determinando grave prejuízo para uma das partes, a qual deu o seu consentimento premido pelas circunstâncias.  </w:t>
      </w:r>
    </w:p>
    <w:p w:rsidR="008D6FFC" w:rsidRDefault="008D6FFC" w:rsidP="008D6FFC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935AA7" w:rsidRDefault="000B55F4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Carlos Robe</w:t>
      </w:r>
      <w:r w:rsidR="009E73D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to Gonçalves</w:t>
      </w:r>
      <w:r w:rsidR="009E73D1"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, a locação de coisas, segundo o art.1.188 do Código Civil, é contrato pelo qual uma das partes se obriga a ceder à outra, por tempo determinado, ou não, o uso e gozo de coisa não fungíve</w:t>
      </w:r>
      <w:r w:rsidR="00204F35">
        <w:rPr>
          <w:rFonts w:ascii="Arial" w:hAnsi="Arial" w:cs="Arial"/>
          <w:sz w:val="24"/>
          <w:szCs w:val="24"/>
        </w:rPr>
        <w:t>l, mediante certa retribuição. É</w:t>
      </w:r>
      <w:r>
        <w:rPr>
          <w:rFonts w:ascii="Arial" w:hAnsi="Arial" w:cs="Arial"/>
          <w:sz w:val="24"/>
          <w:szCs w:val="24"/>
        </w:rPr>
        <w:t xml:space="preserve"> bilateral (envolve prestações recíprocas), oneroso (ambas as partes obtêm proveito), consensual (aperfeiçoa-se com o acordo de vontades), comutativo (não envolve risco), não solene (a forma é livre), e de trato sucessivo (prolonga no tempo)</w:t>
      </w:r>
      <w:r w:rsidR="009E73D1">
        <w:rPr>
          <w:rFonts w:ascii="Arial" w:hAnsi="Arial" w:cs="Arial"/>
          <w:sz w:val="24"/>
          <w:szCs w:val="24"/>
        </w:rPr>
        <w:t>. Verifica-se, assim, que três são os elementos fundamentais da locação de coisas: o objeto, o preço e o consentimento.</w:t>
      </w:r>
    </w:p>
    <w:p w:rsidR="009E73D1" w:rsidRDefault="009E73D1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Carlos Roberto Gonçalves, o objeto pode ser coisa móvel ou imóvel. O bem móvel deve ser infungível; se fungível, será contrato de mútuo. Admite-se, no entanto, a locação de coisa móvel fungível quando o seu uso tenha sido cedido </w:t>
      </w:r>
      <w:r w:rsidRPr="009E73D1">
        <w:rPr>
          <w:rFonts w:ascii="Arial" w:hAnsi="Arial" w:cs="Arial"/>
          <w:i/>
          <w:sz w:val="24"/>
          <w:szCs w:val="24"/>
        </w:rPr>
        <w:t>ad pompam vel ostentationem</w:t>
      </w:r>
      <w:r>
        <w:rPr>
          <w:rFonts w:ascii="Arial" w:hAnsi="Arial" w:cs="Arial"/>
          <w:sz w:val="24"/>
          <w:szCs w:val="24"/>
        </w:rPr>
        <w:t xml:space="preserve"> (para ornamentação), como uma cesta de frutas com adornos raros, por exemplo.</w:t>
      </w:r>
    </w:p>
    <w:p w:rsidR="004A2E20" w:rsidRDefault="009E73D1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Em relação ao preço, denominado aluguel ou remuneração, é essencial para a sua configuração, pois haverá comodato, e não locação, e se o uso e gozo da coisa forem </w:t>
      </w:r>
      <w:r w:rsidR="0086122B">
        <w:rPr>
          <w:rFonts w:ascii="Arial" w:hAnsi="Arial" w:cs="Arial"/>
          <w:sz w:val="24"/>
          <w:szCs w:val="24"/>
        </w:rPr>
        <w:t xml:space="preserve">cedidos a título gratuito. Será fixado pelas partes ou mediante arbitramento (CC, art. 1.218), ou ainda por ato governamental (aluguel de taxi, p. ex.). Como também ocorre na compra e venda, deve ser sério (real), determinado ou ao menos determinável. </w:t>
      </w:r>
      <w:r w:rsidR="0087368B">
        <w:rPr>
          <w:rFonts w:ascii="Arial" w:hAnsi="Arial" w:cs="Arial"/>
          <w:sz w:val="24"/>
          <w:szCs w:val="24"/>
        </w:rPr>
        <w:tab/>
      </w:r>
      <w:r w:rsidR="0087368B">
        <w:rPr>
          <w:rFonts w:ascii="Arial" w:hAnsi="Arial" w:cs="Arial"/>
          <w:sz w:val="24"/>
          <w:szCs w:val="24"/>
        </w:rPr>
        <w:tab/>
      </w:r>
      <w:r w:rsidR="0086122B">
        <w:rPr>
          <w:rFonts w:ascii="Arial" w:hAnsi="Arial" w:cs="Arial"/>
          <w:sz w:val="24"/>
          <w:szCs w:val="24"/>
        </w:rPr>
        <w:t>Embora o pagamento deva ser feito, via de regra, em dinheiro, nada impede que se convencione outro modo, podendo ser misto (parte em dinheiro e parte em obras). A atual Lei do Inquilinato (Lei nº 8.245/91) veda a vinculação do aluguel à variação cambial ou salário mínimo, não admitindo a exigência de pagamento antecipado, salvo algumas exceções apontadas (art. 20). A falta de pagamento do aluguel enseja ao locador o direito de cobrá-lo sob a forma de execução (CPC, art. 585, IV) ou de pleitear a resolução do contrato. Já o consentimento pode ser expresso ou tácito. É capaz de locar quem tem poderes de administração. Não se exige, necessariamente, que seja proprietário, como ocorre com o inventariante em relação aos bens do espólio, com o usufrut</w:t>
      </w:r>
      <w:r w:rsidR="004A2E20">
        <w:rPr>
          <w:rFonts w:ascii="Arial" w:hAnsi="Arial" w:cs="Arial"/>
          <w:sz w:val="24"/>
          <w:szCs w:val="24"/>
        </w:rPr>
        <w:t>uário, com os pais e outros representantes legais no tocante aos bens dos representados etc.</w:t>
      </w:r>
    </w:p>
    <w:p w:rsidR="0087368B" w:rsidRDefault="00E83EC5" w:rsidP="00E83E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7368B">
        <w:rPr>
          <w:rFonts w:ascii="Arial" w:hAnsi="Arial" w:cs="Arial"/>
          <w:sz w:val="24"/>
          <w:szCs w:val="24"/>
        </w:rPr>
        <w:t>Para Maria Helena Diniz</w:t>
      </w:r>
      <w:r w:rsidR="00342449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87368B">
        <w:rPr>
          <w:rFonts w:ascii="Arial" w:hAnsi="Arial" w:cs="Arial"/>
          <w:sz w:val="24"/>
          <w:szCs w:val="24"/>
        </w:rPr>
        <w:t xml:space="preserve">, o pagamento em consignação é o meio indireto do devedor exonerar-se do liame obrigacional, consiste no depósito judicial ou em estabelecimento bancário da coisa devida, nos casos e formas legais de acordo com o artigo 334 do Código Civil. È um modo especial de liberar-se da obrigação, concedido por lei ao devedor, se ocorrerem certas hipóteses excepcionais, impedidas do pagamento. </w:t>
      </w:r>
    </w:p>
    <w:p w:rsidR="00242797" w:rsidRDefault="00242797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242797" w:rsidRDefault="00242797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5E2279" w:rsidRDefault="005E2279" w:rsidP="008D6FFC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E2279" w:rsidRDefault="005E2279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b/>
          <w:sz w:val="24"/>
          <w:szCs w:val="24"/>
        </w:rPr>
      </w:pPr>
    </w:p>
    <w:p w:rsidR="005E2279" w:rsidRDefault="005E2279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b/>
          <w:sz w:val="24"/>
          <w:szCs w:val="24"/>
        </w:rPr>
      </w:pPr>
    </w:p>
    <w:p w:rsidR="008D6FFC" w:rsidRDefault="008D6FFC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b/>
          <w:sz w:val="24"/>
          <w:szCs w:val="24"/>
        </w:rPr>
      </w:pPr>
    </w:p>
    <w:p w:rsidR="008D6FFC" w:rsidRDefault="008D6FFC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b/>
          <w:sz w:val="24"/>
          <w:szCs w:val="24"/>
        </w:rPr>
      </w:pPr>
    </w:p>
    <w:p w:rsidR="005E2279" w:rsidRDefault="005E2279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b/>
          <w:sz w:val="24"/>
          <w:szCs w:val="24"/>
        </w:rPr>
      </w:pPr>
    </w:p>
    <w:p w:rsidR="00242797" w:rsidRPr="00342449" w:rsidRDefault="00342449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b/>
          <w:sz w:val="24"/>
          <w:szCs w:val="24"/>
        </w:rPr>
      </w:pPr>
      <w:r w:rsidRPr="00342449">
        <w:rPr>
          <w:rFonts w:ascii="Arial" w:hAnsi="Arial" w:cs="Arial"/>
          <w:b/>
          <w:sz w:val="24"/>
          <w:szCs w:val="24"/>
        </w:rPr>
        <w:lastRenderedPageBreak/>
        <w:t>REFERÊNCIAS:</w:t>
      </w:r>
    </w:p>
    <w:p w:rsidR="00342449" w:rsidRDefault="00342449" w:rsidP="007272F6">
      <w:pPr>
        <w:pStyle w:val="SemEspaamento"/>
        <w:spacing w:line="360" w:lineRule="auto"/>
        <w:ind w:left="851" w:firstLine="851"/>
        <w:jc w:val="both"/>
        <w:rPr>
          <w:rFonts w:ascii="Arial" w:hAnsi="Arial" w:cs="Arial"/>
          <w:sz w:val="24"/>
          <w:szCs w:val="24"/>
        </w:rPr>
      </w:pPr>
    </w:p>
    <w:p w:rsidR="00342449" w:rsidRPr="00342449" w:rsidRDefault="00342449" w:rsidP="00342449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  <w:r w:rsidRPr="00342449">
        <w:rPr>
          <w:rFonts w:ascii="Arial" w:hAnsi="Arial" w:cs="Arial"/>
          <w:sz w:val="24"/>
          <w:szCs w:val="24"/>
        </w:rPr>
        <w:t>GONÇALVES, Carlos Roberto, Direito da Obrigações, 3ª edição, Editora Saraiva, 2000, Pag. 94</w:t>
      </w:r>
      <w:r>
        <w:rPr>
          <w:rFonts w:ascii="Arial" w:hAnsi="Arial" w:cs="Arial"/>
          <w:sz w:val="24"/>
          <w:szCs w:val="24"/>
        </w:rPr>
        <w:t>.</w:t>
      </w:r>
    </w:p>
    <w:p w:rsidR="00342449" w:rsidRPr="00342449" w:rsidRDefault="00342449" w:rsidP="00342449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  <w:r w:rsidRPr="00342449">
        <w:rPr>
          <w:rFonts w:ascii="Arial" w:hAnsi="Arial" w:cs="Arial"/>
          <w:sz w:val="24"/>
          <w:szCs w:val="24"/>
        </w:rPr>
        <w:t>ESPINOLA Eduardo, Garantias e Extinção das Obrigações, Campinas, SP, Bookseller, 2005,Pag.248,249</w:t>
      </w:r>
      <w:r>
        <w:rPr>
          <w:rFonts w:ascii="Arial" w:hAnsi="Arial" w:cs="Arial"/>
          <w:sz w:val="24"/>
          <w:szCs w:val="24"/>
        </w:rPr>
        <w:t>.</w:t>
      </w:r>
      <w:r w:rsidRPr="00342449">
        <w:rPr>
          <w:rFonts w:ascii="Arial" w:hAnsi="Arial" w:cs="Arial"/>
          <w:sz w:val="24"/>
          <w:szCs w:val="24"/>
        </w:rPr>
        <w:t xml:space="preserve"> </w:t>
      </w:r>
    </w:p>
    <w:p w:rsidR="00342449" w:rsidRDefault="00342449" w:rsidP="000C6511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  <w:r w:rsidRPr="00342449">
        <w:rPr>
          <w:rFonts w:ascii="Arial" w:hAnsi="Arial" w:cs="Arial"/>
          <w:sz w:val="24"/>
          <w:szCs w:val="24"/>
        </w:rPr>
        <w:t>DINIZ Maria Helena, Direito Civil Brasileiro, 18ª Edição, Editora Saraiva, 2003, Pag. 242</w:t>
      </w:r>
      <w:r>
        <w:rPr>
          <w:rFonts w:ascii="Arial" w:hAnsi="Arial" w:cs="Arial"/>
          <w:sz w:val="24"/>
          <w:szCs w:val="24"/>
        </w:rPr>
        <w:t>.</w:t>
      </w:r>
      <w:r w:rsidRPr="00342449">
        <w:rPr>
          <w:rFonts w:ascii="Arial" w:hAnsi="Arial" w:cs="Arial"/>
          <w:sz w:val="24"/>
          <w:szCs w:val="24"/>
        </w:rPr>
        <w:t xml:space="preserve"> </w:t>
      </w:r>
    </w:p>
    <w:p w:rsidR="008D6FFC" w:rsidRDefault="008D6FFC" w:rsidP="000C6511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Publicado JULGADO em 21/112011</w:t>
      </w:r>
    </w:p>
    <w:p w:rsidR="000C6511" w:rsidRDefault="000C6511" w:rsidP="000C6511">
      <w:pPr>
        <w:pStyle w:val="Textodenotaderodap"/>
        <w:spacing w:line="360" w:lineRule="auto"/>
        <w:rPr>
          <w:rFonts w:ascii="Arial" w:hAnsi="Arial" w:cs="Arial"/>
          <w:sz w:val="24"/>
          <w:szCs w:val="24"/>
        </w:rPr>
      </w:pPr>
    </w:p>
    <w:p w:rsidR="00342449" w:rsidRDefault="00342449" w:rsidP="000C651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42449" w:rsidSect="00633B1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27" w:rsidRDefault="005A0227" w:rsidP="0056303D">
      <w:pPr>
        <w:spacing w:after="0" w:line="240" w:lineRule="auto"/>
      </w:pPr>
      <w:r>
        <w:separator/>
      </w:r>
    </w:p>
  </w:endnote>
  <w:endnote w:type="continuationSeparator" w:id="0">
    <w:p w:rsidR="005A0227" w:rsidRDefault="005A0227" w:rsidP="0056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27" w:rsidRDefault="005A0227" w:rsidP="0056303D">
      <w:pPr>
        <w:spacing w:after="0" w:line="240" w:lineRule="auto"/>
      </w:pPr>
      <w:r>
        <w:separator/>
      </w:r>
    </w:p>
  </w:footnote>
  <w:footnote w:type="continuationSeparator" w:id="0">
    <w:p w:rsidR="005A0227" w:rsidRDefault="005A0227" w:rsidP="0056303D">
      <w:pPr>
        <w:spacing w:after="0" w:line="240" w:lineRule="auto"/>
      </w:pPr>
      <w:r>
        <w:continuationSeparator/>
      </w:r>
    </w:p>
  </w:footnote>
  <w:footnote w:id="1">
    <w:p w:rsidR="008D6FFC" w:rsidRDefault="008D6FFC" w:rsidP="008D6FFC">
      <w:pPr>
        <w:pStyle w:val="Textodenotaderodap"/>
      </w:pPr>
      <w:r>
        <w:rPr>
          <w:rStyle w:val="Refdenotaderodap"/>
        </w:rPr>
        <w:footnoteRef/>
      </w:r>
      <w:r>
        <w:t xml:space="preserve"> ESPINOLA Eduardo, Garantias e Extinção das Obrigações, Campinas, SP, Bookseller, 2005,Pag.248,249 </w:t>
      </w:r>
    </w:p>
  </w:footnote>
  <w:footnote w:id="2">
    <w:p w:rsidR="009E73D1" w:rsidRPr="009E73D1" w:rsidRDefault="009E73D1" w:rsidP="009E73D1">
      <w:pPr>
        <w:pStyle w:val="Textodenotaderodap"/>
        <w:rPr>
          <w:sz w:val="18"/>
        </w:rPr>
      </w:pPr>
      <w:r>
        <w:rPr>
          <w:rStyle w:val="Refdenotaderodap"/>
        </w:rPr>
        <w:footnoteRef/>
      </w:r>
      <w:r>
        <w:t xml:space="preserve"> GONÇALVES, Carlos Roberto, Direito da Obrigações, 3</w:t>
      </w:r>
      <w:r>
        <w:rPr>
          <w:sz w:val="18"/>
        </w:rPr>
        <w:t>ª edição, Editora Saraiva, 2000, Pag. 94</w:t>
      </w:r>
    </w:p>
    <w:p w:rsidR="009E73D1" w:rsidRDefault="009E73D1" w:rsidP="009E73D1">
      <w:pPr>
        <w:pStyle w:val="Textodenotaderodap"/>
      </w:pPr>
    </w:p>
    <w:p w:rsidR="009E73D1" w:rsidRDefault="009E73D1">
      <w:pPr>
        <w:pStyle w:val="Textodenotaderodap"/>
      </w:pPr>
    </w:p>
  </w:footnote>
  <w:footnote w:id="3">
    <w:p w:rsidR="00342449" w:rsidRDefault="00342449">
      <w:pPr>
        <w:pStyle w:val="Textodenotaderodap"/>
      </w:pPr>
      <w:r>
        <w:rPr>
          <w:rStyle w:val="Refdenotaderodap"/>
        </w:rPr>
        <w:footnoteRef/>
      </w:r>
      <w:r>
        <w:t xml:space="preserve">  DINIZ Maria Helena, Direito Civil Brasileiro, 18ª Edição, Editora Saraiva, 2003, Pag. 242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E5D"/>
    <w:multiLevelType w:val="hybridMultilevel"/>
    <w:tmpl w:val="C5724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C4FC8"/>
    <w:multiLevelType w:val="hybridMultilevel"/>
    <w:tmpl w:val="7638E19E"/>
    <w:lvl w:ilvl="0" w:tplc="0F905948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">
    <w:nsid w:val="31926558"/>
    <w:multiLevelType w:val="multilevel"/>
    <w:tmpl w:val="E23EFB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">
    <w:nsid w:val="4CB90CA8"/>
    <w:multiLevelType w:val="multilevel"/>
    <w:tmpl w:val="4CF236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/>
      </w:rPr>
    </w:lvl>
  </w:abstractNum>
  <w:abstractNum w:abstractNumId="4">
    <w:nsid w:val="5C5862EA"/>
    <w:multiLevelType w:val="hybridMultilevel"/>
    <w:tmpl w:val="ED4C2D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7790F"/>
    <w:multiLevelType w:val="multilevel"/>
    <w:tmpl w:val="EB3E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18"/>
    <w:rsid w:val="000153C1"/>
    <w:rsid w:val="00051607"/>
    <w:rsid w:val="00086217"/>
    <w:rsid w:val="000B55F4"/>
    <w:rsid w:val="000C6511"/>
    <w:rsid w:val="00115BA7"/>
    <w:rsid w:val="00186D5A"/>
    <w:rsid w:val="00195C50"/>
    <w:rsid w:val="001C5962"/>
    <w:rsid w:val="00204F35"/>
    <w:rsid w:val="00226799"/>
    <w:rsid w:val="0024181D"/>
    <w:rsid w:val="00242797"/>
    <w:rsid w:val="00242EF8"/>
    <w:rsid w:val="00260FC6"/>
    <w:rsid w:val="00261C34"/>
    <w:rsid w:val="00271DB2"/>
    <w:rsid w:val="00271F92"/>
    <w:rsid w:val="00295B75"/>
    <w:rsid w:val="002B6489"/>
    <w:rsid w:val="002D6D35"/>
    <w:rsid w:val="002E08CD"/>
    <w:rsid w:val="003312CE"/>
    <w:rsid w:val="003407A8"/>
    <w:rsid w:val="00342449"/>
    <w:rsid w:val="00374BB8"/>
    <w:rsid w:val="003B7218"/>
    <w:rsid w:val="003D1E2B"/>
    <w:rsid w:val="003E4D79"/>
    <w:rsid w:val="003E5296"/>
    <w:rsid w:val="00434DBD"/>
    <w:rsid w:val="00470D75"/>
    <w:rsid w:val="004970DE"/>
    <w:rsid w:val="004A2E20"/>
    <w:rsid w:val="004D5E34"/>
    <w:rsid w:val="00500F60"/>
    <w:rsid w:val="0056303D"/>
    <w:rsid w:val="00594B1F"/>
    <w:rsid w:val="005A0227"/>
    <w:rsid w:val="005B6B6B"/>
    <w:rsid w:val="005E2279"/>
    <w:rsid w:val="005F61E0"/>
    <w:rsid w:val="00633B14"/>
    <w:rsid w:val="00635797"/>
    <w:rsid w:val="006441CD"/>
    <w:rsid w:val="00684F68"/>
    <w:rsid w:val="00687479"/>
    <w:rsid w:val="00690028"/>
    <w:rsid w:val="006E0CB9"/>
    <w:rsid w:val="007111D3"/>
    <w:rsid w:val="0071510E"/>
    <w:rsid w:val="00724B05"/>
    <w:rsid w:val="007272F6"/>
    <w:rsid w:val="00787419"/>
    <w:rsid w:val="007B0507"/>
    <w:rsid w:val="007B3C3A"/>
    <w:rsid w:val="007C1B51"/>
    <w:rsid w:val="007E66B0"/>
    <w:rsid w:val="00845256"/>
    <w:rsid w:val="0086122B"/>
    <w:rsid w:val="00863521"/>
    <w:rsid w:val="0087368B"/>
    <w:rsid w:val="008A37F8"/>
    <w:rsid w:val="008A4FD2"/>
    <w:rsid w:val="008B3958"/>
    <w:rsid w:val="008B5ECE"/>
    <w:rsid w:val="008D6FFC"/>
    <w:rsid w:val="008E4C3B"/>
    <w:rsid w:val="00911604"/>
    <w:rsid w:val="009146FE"/>
    <w:rsid w:val="00923863"/>
    <w:rsid w:val="00935AA7"/>
    <w:rsid w:val="00985BEF"/>
    <w:rsid w:val="0099176A"/>
    <w:rsid w:val="00995C80"/>
    <w:rsid w:val="009A7346"/>
    <w:rsid w:val="009C5019"/>
    <w:rsid w:val="009C5CF8"/>
    <w:rsid w:val="009D72AB"/>
    <w:rsid w:val="009E41B7"/>
    <w:rsid w:val="009E73D1"/>
    <w:rsid w:val="00A1565E"/>
    <w:rsid w:val="00A22946"/>
    <w:rsid w:val="00A72137"/>
    <w:rsid w:val="00A75BEF"/>
    <w:rsid w:val="00B14CAE"/>
    <w:rsid w:val="00B65281"/>
    <w:rsid w:val="00B90D20"/>
    <w:rsid w:val="00BA2C4C"/>
    <w:rsid w:val="00BB67DC"/>
    <w:rsid w:val="00BE0D01"/>
    <w:rsid w:val="00C933D0"/>
    <w:rsid w:val="00CB37DE"/>
    <w:rsid w:val="00CE10D1"/>
    <w:rsid w:val="00CE4423"/>
    <w:rsid w:val="00D14A18"/>
    <w:rsid w:val="00D61A04"/>
    <w:rsid w:val="00D73D4B"/>
    <w:rsid w:val="00D93CBB"/>
    <w:rsid w:val="00DB1824"/>
    <w:rsid w:val="00DC336A"/>
    <w:rsid w:val="00E23409"/>
    <w:rsid w:val="00E55F3F"/>
    <w:rsid w:val="00E83EC5"/>
    <w:rsid w:val="00E97AFE"/>
    <w:rsid w:val="00F2019C"/>
    <w:rsid w:val="00F21384"/>
    <w:rsid w:val="00F255C4"/>
    <w:rsid w:val="00F64038"/>
    <w:rsid w:val="00FA0055"/>
    <w:rsid w:val="00FB3208"/>
    <w:rsid w:val="00FD0812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721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2B6489"/>
  </w:style>
  <w:style w:type="character" w:styleId="Hyperlink">
    <w:name w:val="Hyperlink"/>
    <w:basedOn w:val="Fontepargpadro"/>
    <w:uiPriority w:val="99"/>
    <w:unhideWhenUsed/>
    <w:rsid w:val="002B6489"/>
    <w:rPr>
      <w:color w:val="0000FF"/>
      <w:u w:val="single"/>
    </w:rPr>
  </w:style>
  <w:style w:type="paragraph" w:styleId="SemEspaamento">
    <w:name w:val="No Spacing"/>
    <w:uiPriority w:val="1"/>
    <w:qFormat/>
    <w:rsid w:val="00D14A18"/>
    <w:rPr>
      <w:sz w:val="22"/>
      <w:szCs w:val="22"/>
      <w:lang w:eastAsia="en-US"/>
    </w:rPr>
  </w:style>
  <w:style w:type="paragraph" w:styleId="Rodap">
    <w:name w:val="footer"/>
    <w:basedOn w:val="Normal"/>
    <w:link w:val="RodapChar"/>
    <w:rsid w:val="005F61E0"/>
    <w:pPr>
      <w:tabs>
        <w:tab w:val="left" w:pos="1701"/>
        <w:tab w:val="left" w:pos="3402"/>
        <w:tab w:val="center" w:pos="4320"/>
        <w:tab w:val="left" w:pos="4536"/>
        <w:tab w:val="right" w:pos="864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F61E0"/>
    <w:rPr>
      <w:rFonts w:ascii="Times New Roman" w:eastAsia="Times New Roman" w:hAnsi="Times New Roman"/>
    </w:rPr>
  </w:style>
  <w:style w:type="character" w:styleId="CitaoHTML">
    <w:name w:val="HTML Cite"/>
    <w:basedOn w:val="Fontepargpadro"/>
    <w:uiPriority w:val="99"/>
    <w:semiHidden/>
    <w:unhideWhenUsed/>
    <w:rsid w:val="00A75BE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630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303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56303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5E3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5E3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D5E34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470D75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70D75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721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2B6489"/>
  </w:style>
  <w:style w:type="character" w:styleId="Hyperlink">
    <w:name w:val="Hyperlink"/>
    <w:basedOn w:val="Fontepargpadro"/>
    <w:uiPriority w:val="99"/>
    <w:unhideWhenUsed/>
    <w:rsid w:val="002B6489"/>
    <w:rPr>
      <w:color w:val="0000FF"/>
      <w:u w:val="single"/>
    </w:rPr>
  </w:style>
  <w:style w:type="paragraph" w:styleId="SemEspaamento">
    <w:name w:val="No Spacing"/>
    <w:uiPriority w:val="1"/>
    <w:qFormat/>
    <w:rsid w:val="00D14A18"/>
    <w:rPr>
      <w:sz w:val="22"/>
      <w:szCs w:val="22"/>
      <w:lang w:eastAsia="en-US"/>
    </w:rPr>
  </w:style>
  <w:style w:type="paragraph" w:styleId="Rodap">
    <w:name w:val="footer"/>
    <w:basedOn w:val="Normal"/>
    <w:link w:val="RodapChar"/>
    <w:rsid w:val="005F61E0"/>
    <w:pPr>
      <w:tabs>
        <w:tab w:val="left" w:pos="1701"/>
        <w:tab w:val="left" w:pos="3402"/>
        <w:tab w:val="center" w:pos="4320"/>
        <w:tab w:val="left" w:pos="4536"/>
        <w:tab w:val="right" w:pos="864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F61E0"/>
    <w:rPr>
      <w:rFonts w:ascii="Times New Roman" w:eastAsia="Times New Roman" w:hAnsi="Times New Roman"/>
    </w:rPr>
  </w:style>
  <w:style w:type="character" w:styleId="CitaoHTML">
    <w:name w:val="HTML Cite"/>
    <w:basedOn w:val="Fontepargpadro"/>
    <w:uiPriority w:val="99"/>
    <w:semiHidden/>
    <w:unhideWhenUsed/>
    <w:rsid w:val="00A75BE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630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303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56303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5E3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5E3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D5E34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470D75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70D75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19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3293-7ED0-4272-A10F-E388AB20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Links>
    <vt:vector size="6" baseType="variant">
      <vt:variant>
        <vt:i4>4849731</vt:i4>
      </vt:variant>
      <vt:variant>
        <vt:i4>0</vt:i4>
      </vt:variant>
      <vt:variant>
        <vt:i4>0</vt:i4>
      </vt:variant>
      <vt:variant>
        <vt:i4>5</vt:i4>
      </vt:variant>
      <vt:variant>
        <vt:lpwstr>http://www.boletimjuridico.com.b/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IVONE OLIVEIRA SANTANA</cp:lastModifiedBy>
  <cp:revision>2</cp:revision>
  <dcterms:created xsi:type="dcterms:W3CDTF">2015-06-13T01:08:00Z</dcterms:created>
  <dcterms:modified xsi:type="dcterms:W3CDTF">2015-06-13T01:08:00Z</dcterms:modified>
</cp:coreProperties>
</file>