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4B" w:rsidRPr="00C2494B" w:rsidRDefault="00C2494B" w:rsidP="00C2494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494B">
        <w:rPr>
          <w:rFonts w:ascii="Arial" w:hAnsi="Arial" w:cs="Arial"/>
          <w:b/>
          <w:sz w:val="24"/>
          <w:szCs w:val="24"/>
        </w:rPr>
        <w:t>RM CARDÍACO</w:t>
      </w:r>
    </w:p>
    <w:p w:rsidR="00C2494B" w:rsidRPr="00C2494B" w:rsidRDefault="00C2494B" w:rsidP="00C249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C2494B" w:rsidRPr="00C2494B" w:rsidRDefault="00C2494B" w:rsidP="00C2494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494B">
        <w:rPr>
          <w:rFonts w:ascii="Arial" w:hAnsi="Arial" w:cs="Arial"/>
          <w:b/>
          <w:sz w:val="24"/>
          <w:szCs w:val="24"/>
        </w:rPr>
        <w:t>1. Desenvolvimento da Ressonância Magnética na Cardiologia</w:t>
      </w: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advento da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teconologia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os avanços da ciência contribuíram sem dúvidas para a Medicina Diagnóstica, o que antes só era possível ser realizado através de uma cirurgia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exploratoria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passou a ser realizado através do diagnóstico por imagem.  Em cardiologia a Ressonância Magnética (RM) ainda vem se desenvolvendo, mais de forma muito rápida de modo a contribuir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significamente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prática clínica, rotina diária em cardiologia e até mesmo para a pesquisa podendo ser aplicado no que diz respeito ao diagnóstico de doenças cardiovasculares. 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Pr="00C2494B">
        <w:rPr>
          <w:rFonts w:ascii="Arial" w:hAnsi="Arial" w:cs="Arial"/>
          <w:sz w:val="24"/>
          <w:szCs w:val="24"/>
        </w:rPr>
        <w:t>a</w:t>
      </w:r>
      <w:proofErr w:type="gramEnd"/>
      <w:r w:rsidRPr="00C249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94B">
        <w:rPr>
          <w:rFonts w:ascii="Arial" w:hAnsi="Arial" w:cs="Arial"/>
          <w:sz w:val="24"/>
          <w:szCs w:val="24"/>
        </w:rPr>
        <w:t>artefados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causados pela mobilidade de estruturas </w:t>
      </w:r>
      <w:proofErr w:type="spellStart"/>
      <w:r w:rsidRPr="00C2494B">
        <w:rPr>
          <w:rFonts w:ascii="Arial" w:hAnsi="Arial" w:cs="Arial"/>
          <w:sz w:val="24"/>
          <w:szCs w:val="24"/>
        </w:rPr>
        <w:t>cadiovasculares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o desenvolvimento da RM é mais lento. Mas graças a novos métodos com o objetivo de reduzir esses artefatos, tornou a mesma mais sofisticada.</w:t>
      </w: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Contribuindo respectivamente para aquisição de imagens de alta resolução espacial na </w:t>
      </w:r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investigação</w:t>
      </w:r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clínica e básica o que torna um método não só essencial, mas preciso para diversas determinações quantitativas no coração, isso graças a sua menor variabilidade apresentada na RM tornando o método de alta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acurácia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RM permiti uma maior caracterização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tecidiual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uma maior resolução temporal obtida através de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sequências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pulsos ultra-rápidos e adaptação do hardware para a prática cardiológica, contribuindo crucialmente com informações importantes para a tomada de decisões referente </w:t>
      </w:r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melhor terapêutica a ser aplicada de acordo com a clínica de cada paciente. 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Em suma o desenvolvimento da Ressonância Magnética na Cardiologia contribui para avaliação cardiovascular em </w:t>
      </w:r>
      <w:proofErr w:type="spellStart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>criaças</w:t>
      </w:r>
      <w:proofErr w:type="spellEnd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mais velhas, adolescentes, adultos, pacientes operados com tecido fibroso na região </w:t>
      </w:r>
      <w:proofErr w:type="spellStart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>esternal</w:t>
      </w:r>
      <w:proofErr w:type="spellEnd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onde a </w:t>
      </w:r>
      <w:proofErr w:type="spellStart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>ecocardiografia</w:t>
      </w:r>
      <w:proofErr w:type="spellEnd"/>
      <w:r w:rsidRPr="00C2494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na maioria das vezes é insatisfatória dificultando a obtenção de imagens apropriadas para um diagnóstico clínico. </w:t>
      </w:r>
    </w:p>
    <w:p w:rsidR="00C2494B" w:rsidRPr="00C2494B" w:rsidRDefault="00C2494B" w:rsidP="00C2494B">
      <w:pPr>
        <w:rPr>
          <w:rFonts w:ascii="Arial" w:hAnsi="Arial" w:cs="Arial"/>
          <w:b/>
          <w:sz w:val="24"/>
          <w:szCs w:val="24"/>
        </w:rPr>
      </w:pPr>
    </w:p>
    <w:p w:rsidR="00C2494B" w:rsidRPr="00C2494B" w:rsidRDefault="00C2494B" w:rsidP="00C2494B">
      <w:pPr>
        <w:rPr>
          <w:rFonts w:ascii="Arial" w:hAnsi="Arial" w:cs="Arial"/>
          <w:b/>
          <w:sz w:val="24"/>
          <w:szCs w:val="24"/>
        </w:rPr>
      </w:pPr>
    </w:p>
    <w:p w:rsidR="00C2494B" w:rsidRPr="00C2494B" w:rsidRDefault="00C2494B" w:rsidP="00C2494B">
      <w:pPr>
        <w:rPr>
          <w:rFonts w:ascii="Arial" w:hAnsi="Arial" w:cs="Arial"/>
          <w:b/>
          <w:sz w:val="24"/>
          <w:szCs w:val="24"/>
        </w:rPr>
      </w:pPr>
      <w:r w:rsidRPr="00C2494B">
        <w:rPr>
          <w:rFonts w:ascii="Arial" w:hAnsi="Arial" w:cs="Arial"/>
          <w:b/>
          <w:sz w:val="24"/>
          <w:szCs w:val="24"/>
        </w:rPr>
        <w:lastRenderedPageBreak/>
        <w:t>2. Principais Indicações da RM na Cardiologia</w:t>
      </w:r>
    </w:p>
    <w:p w:rsidR="00C2494B" w:rsidRPr="00C2494B" w:rsidRDefault="00C2494B" w:rsidP="00C2494B">
      <w:pPr>
        <w:rPr>
          <w:rFonts w:ascii="Arial" w:hAnsi="Arial" w:cs="Arial"/>
          <w:b/>
        </w:rPr>
      </w:pP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Avaliação de isquemia miocárdica;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Avaliação de viabilidade miocárdica;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Avaliação de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cardiomiopatias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 não-isquêmicas (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cardiomiopatia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 hipertrófica,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siderótica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,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amiloidose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 cardíaca, doença de chagas e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etc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>);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Diferenciação etiológica entre cardiopatias </w:t>
      </w:r>
      <w:proofErr w:type="gram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isquêmica e não-isquêmicas</w:t>
      </w:r>
      <w:proofErr w:type="gramEnd"/>
      <w:r w:rsidRPr="00C2494B">
        <w:rPr>
          <w:rFonts w:ascii="Arial" w:eastAsia="Times New Roman" w:hAnsi="Arial" w:cs="Arial"/>
          <w:color w:val="4F4F4F"/>
          <w:sz w:val="24"/>
          <w:szCs w:val="24"/>
        </w:rPr>
        <w:t>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Avaliação do ventrículo direito (investigação de displasia arritmogênica do VD);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Esclarecimento da anatomia das veias pulmonares pré-ablação para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fibrilação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 atrial;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Investigação de miocardite;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Invetigação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 xml:space="preserve"> de massas </w:t>
      </w:r>
      <w:proofErr w:type="spellStart"/>
      <w:r w:rsidRPr="00C2494B">
        <w:rPr>
          <w:rFonts w:ascii="Arial" w:eastAsia="Times New Roman" w:hAnsi="Arial" w:cs="Arial"/>
          <w:color w:val="4F4F4F"/>
          <w:sz w:val="24"/>
          <w:szCs w:val="24"/>
        </w:rPr>
        <w:t>intracardíacas</w:t>
      </w:r>
      <w:proofErr w:type="spellEnd"/>
      <w:r w:rsidRPr="00C2494B">
        <w:rPr>
          <w:rFonts w:ascii="Arial" w:eastAsia="Times New Roman" w:hAnsi="Arial" w:cs="Arial"/>
          <w:color w:val="4F4F4F"/>
          <w:sz w:val="24"/>
          <w:szCs w:val="24"/>
        </w:rPr>
        <w:t>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Doenças do pericárdio;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Cardiopatias congênitas em adultos;</w:t>
      </w:r>
    </w:p>
    <w:p w:rsidR="00C2494B" w:rsidRPr="00C2494B" w:rsidRDefault="00C2494B" w:rsidP="00C24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rPr>
          <w:rFonts w:ascii="Arial" w:eastAsia="Times New Roman" w:hAnsi="Arial" w:cs="Arial"/>
          <w:b/>
          <w:color w:val="4F4F4F"/>
          <w:sz w:val="24"/>
          <w:szCs w:val="24"/>
        </w:rPr>
      </w:pPr>
      <w:r w:rsidRPr="00C2494B">
        <w:rPr>
          <w:rFonts w:ascii="Arial" w:eastAsia="Times New Roman" w:hAnsi="Arial" w:cs="Arial"/>
          <w:color w:val="4F4F4F"/>
          <w:sz w:val="24"/>
          <w:szCs w:val="24"/>
        </w:rPr>
        <w:t>Dentre outras.</w:t>
      </w:r>
    </w:p>
    <w:p w:rsidR="00C2494B" w:rsidRPr="00C2494B" w:rsidRDefault="00C2494B">
      <w:pPr>
        <w:rPr>
          <w:rFonts w:ascii="Arial" w:hAnsi="Arial" w:cs="Arial"/>
          <w:b/>
        </w:rPr>
      </w:pPr>
    </w:p>
    <w:p w:rsidR="00C2494B" w:rsidRPr="00C2494B" w:rsidRDefault="00C2494B" w:rsidP="00C2494B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494B">
        <w:rPr>
          <w:rFonts w:ascii="Arial" w:hAnsi="Arial" w:cs="Arial"/>
          <w:b/>
          <w:sz w:val="24"/>
          <w:szCs w:val="24"/>
        </w:rPr>
        <w:t>3. Aplicação Clínica da RM na Cardiologia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A RM aplicada ao sistema cardiovascular é capaz de fornecer informações anatômicas e funcionais úteis para uma grande variedade de patologias dessa região. 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2494B">
        <w:rPr>
          <w:rFonts w:ascii="Arial" w:hAnsi="Arial" w:cs="Arial"/>
          <w:sz w:val="24"/>
          <w:szCs w:val="24"/>
        </w:rPr>
        <w:t>A realização e a interpretação do exame do coração pela ressonância requer</w:t>
      </w:r>
      <w:proofErr w:type="gramEnd"/>
      <w:r w:rsidRPr="00C2494B">
        <w:rPr>
          <w:rFonts w:ascii="Arial" w:hAnsi="Arial" w:cs="Arial"/>
          <w:sz w:val="24"/>
          <w:szCs w:val="24"/>
        </w:rPr>
        <w:t xml:space="preserve"> conhecimentos não apenas anatômicos, para definição dos planos básicos deste órgão, mas também da fisiologia cardíaca e dos fenômenos elétricos do ciclo cardíaco e seus correspondentes na mecânica contrátil do coração. 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Os planos anatômicos utilizados para estudar as imagens cardíacas por ressonância magnética são aqueles fundamentais: transversal, coronal e sagital. Projeções em tomadas oblíquas, no entanto, são realizadas com a finalidade de melhor evidenciar certas estruturas cardíacas, como câmaras atriais e ventriculares, seus eixos longos e curtos e as relações do coração com os grandes vasos da base. 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Dois tipos básicos de imagens são usados em ressonância cardíaca. As imagens do tipo sangue ausente, nas quais não se observa a presença do sinal do </w:t>
      </w:r>
      <w:r w:rsidRPr="00C2494B">
        <w:rPr>
          <w:rFonts w:ascii="Arial" w:hAnsi="Arial" w:cs="Arial"/>
          <w:sz w:val="24"/>
          <w:szCs w:val="24"/>
        </w:rPr>
        <w:lastRenderedPageBreak/>
        <w:t>sangue nas imagens, consideradas ideais para o estudo da anatomia cardíaca, e as imagens de sangue brilhante, que apresentam sinal intenso da presença de sangue.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Mecanismo de obtenção de imagens com sincronização </w:t>
      </w:r>
      <w:proofErr w:type="spellStart"/>
      <w:r w:rsidRPr="00C2494B">
        <w:rPr>
          <w:rFonts w:ascii="Arial" w:hAnsi="Arial" w:cs="Arial"/>
          <w:sz w:val="24"/>
          <w:szCs w:val="24"/>
        </w:rPr>
        <w:t>cardíaca-ECG</w:t>
      </w:r>
      <w:proofErr w:type="spellEnd"/>
      <w:r w:rsidRPr="00C2494B">
        <w:rPr>
          <w:rFonts w:ascii="Arial" w:hAnsi="Arial" w:cs="Arial"/>
          <w:sz w:val="24"/>
          <w:szCs w:val="24"/>
        </w:rPr>
        <w:t>, e com acoplamento respiratório (</w:t>
      </w:r>
      <w:proofErr w:type="spellStart"/>
      <w:r w:rsidRPr="00C2494B">
        <w:rPr>
          <w:rFonts w:ascii="Arial" w:hAnsi="Arial" w:cs="Arial"/>
          <w:sz w:val="24"/>
          <w:szCs w:val="24"/>
        </w:rPr>
        <w:t>gating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) associados a técnicas de pré-saturação de fluxo, são recursos indispensáveis e necessários para a qualidade dos exames dessa região. 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>Algumas vantagens do exame do coração por RM são: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>Alta resolução das imagens;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>Método não-invasivo;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Usa contraste à base de gadolínio de baixíssima </w:t>
      </w:r>
      <w:proofErr w:type="spellStart"/>
      <w:r w:rsidRPr="00C2494B">
        <w:rPr>
          <w:rFonts w:ascii="Arial" w:hAnsi="Arial" w:cs="Arial"/>
          <w:sz w:val="24"/>
          <w:szCs w:val="24"/>
        </w:rPr>
        <w:t>nefrotoxicidade</w:t>
      </w:r>
      <w:proofErr w:type="spellEnd"/>
      <w:r w:rsidRPr="00C2494B">
        <w:rPr>
          <w:rFonts w:ascii="Arial" w:hAnsi="Arial" w:cs="Arial"/>
          <w:sz w:val="24"/>
          <w:szCs w:val="24"/>
        </w:rPr>
        <w:t>;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Permite apresentação dinâmica e </w:t>
      </w:r>
      <w:proofErr w:type="spellStart"/>
      <w:r w:rsidRPr="00C2494B">
        <w:rPr>
          <w:rFonts w:ascii="Arial" w:hAnsi="Arial" w:cs="Arial"/>
          <w:sz w:val="24"/>
          <w:szCs w:val="24"/>
        </w:rPr>
        <w:t>tridimenssional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(3D) das imagens;</w:t>
      </w:r>
    </w:p>
    <w:p w:rsidR="00C2494B" w:rsidRPr="00C2494B" w:rsidRDefault="00C2494B" w:rsidP="00C2494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Equipamentos mais atuais apresentam </w:t>
      </w:r>
      <w:proofErr w:type="spellStart"/>
      <w:r w:rsidRPr="00C2494B">
        <w:rPr>
          <w:rFonts w:ascii="Arial" w:hAnsi="Arial" w:cs="Arial"/>
          <w:sz w:val="24"/>
          <w:szCs w:val="24"/>
        </w:rPr>
        <w:t>sequências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ultra-rápidas.</w:t>
      </w:r>
    </w:p>
    <w:p w:rsidR="00C2494B" w:rsidRPr="00C2494B" w:rsidRDefault="00C2494B" w:rsidP="00C2494B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494B">
        <w:rPr>
          <w:rFonts w:ascii="Arial" w:hAnsi="Arial" w:cs="Arial"/>
          <w:b/>
          <w:sz w:val="24"/>
          <w:szCs w:val="24"/>
        </w:rPr>
        <w:t xml:space="preserve">Tipos de </w:t>
      </w:r>
      <w:proofErr w:type="spellStart"/>
      <w:r w:rsidRPr="00C2494B">
        <w:rPr>
          <w:rFonts w:ascii="Arial" w:hAnsi="Arial" w:cs="Arial"/>
          <w:b/>
          <w:sz w:val="24"/>
          <w:szCs w:val="24"/>
        </w:rPr>
        <w:t>sicronização</w:t>
      </w:r>
      <w:proofErr w:type="spellEnd"/>
      <w:r w:rsidRPr="00C2494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C2494B">
        <w:rPr>
          <w:rFonts w:ascii="Arial" w:hAnsi="Arial" w:cs="Arial"/>
          <w:b/>
          <w:sz w:val="24"/>
          <w:szCs w:val="24"/>
        </w:rPr>
        <w:t>gating</w:t>
      </w:r>
      <w:proofErr w:type="spellEnd"/>
      <w:r w:rsidRPr="00C2494B">
        <w:rPr>
          <w:rFonts w:ascii="Arial" w:hAnsi="Arial" w:cs="Arial"/>
          <w:b/>
          <w:sz w:val="24"/>
          <w:szCs w:val="24"/>
        </w:rPr>
        <w:t>)</w:t>
      </w:r>
    </w:p>
    <w:p w:rsidR="00C2494B" w:rsidRPr="00C2494B" w:rsidRDefault="00C2494B" w:rsidP="00C2494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hAnsi="Arial" w:cs="Arial"/>
          <w:sz w:val="24"/>
          <w:szCs w:val="24"/>
        </w:rPr>
        <w:t xml:space="preserve">A aquisição das imagens é realizada após </w:t>
      </w:r>
      <w:proofErr w:type="gramStart"/>
      <w:r w:rsidRPr="00C2494B">
        <w:rPr>
          <w:rFonts w:ascii="Arial" w:hAnsi="Arial" w:cs="Arial"/>
          <w:sz w:val="24"/>
          <w:szCs w:val="24"/>
        </w:rPr>
        <w:t>um certo</w:t>
      </w:r>
      <w:proofErr w:type="gramEnd"/>
      <w:r w:rsidRPr="00C2494B">
        <w:rPr>
          <w:rFonts w:ascii="Arial" w:hAnsi="Arial" w:cs="Arial"/>
          <w:sz w:val="24"/>
          <w:szCs w:val="24"/>
        </w:rPr>
        <w:t xml:space="preserve"> retardo de tempo (time </w:t>
      </w:r>
      <w:proofErr w:type="spellStart"/>
      <w:r w:rsidRPr="00C2494B">
        <w:rPr>
          <w:rFonts w:ascii="Arial" w:hAnsi="Arial" w:cs="Arial"/>
          <w:sz w:val="24"/>
          <w:szCs w:val="24"/>
        </w:rPr>
        <w:t>deplay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) em relação à onda R do traçado de ECG. Deve-se observar o efeito magneto </w:t>
      </w:r>
      <w:proofErr w:type="spellStart"/>
      <w:r w:rsidRPr="00C2494B">
        <w:rPr>
          <w:rFonts w:ascii="Arial" w:hAnsi="Arial" w:cs="Arial"/>
          <w:sz w:val="24"/>
          <w:szCs w:val="24"/>
        </w:rPr>
        <w:t>hidrodinâmico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induzido pelo campo magnético principal B0 sobre a linha de base do ECG quando o paciente está no interior do aparelho, podendo-se, nessas circunstâncias, observar a elevação da onda T em níveis próximos da onda R, com conseqüente erro de interpretação de sincronismo pelo sistema de RM. O traçado obtido pelo ECG em pacientes posicionados no interior de sistemas de RM não se presta </w:t>
      </w:r>
      <w:proofErr w:type="gramStart"/>
      <w:r w:rsidRPr="00C2494B">
        <w:rPr>
          <w:rFonts w:ascii="Arial" w:hAnsi="Arial" w:cs="Arial"/>
          <w:sz w:val="24"/>
          <w:szCs w:val="24"/>
        </w:rPr>
        <w:t>à</w:t>
      </w:r>
      <w:proofErr w:type="gramEnd"/>
      <w:r w:rsidRPr="00C2494B">
        <w:rPr>
          <w:rFonts w:ascii="Arial" w:hAnsi="Arial" w:cs="Arial"/>
          <w:sz w:val="24"/>
          <w:szCs w:val="24"/>
        </w:rPr>
        <w:t xml:space="preserve"> monitorizarão clínica, pois a interferência do campo magnético e dos pulsos de RF alteram as características do traçado, o qual deve ser utilizado exclusivamente para aquisição das imagens em ressonância. </w:t>
      </w:r>
      <w:proofErr w:type="spellStart"/>
      <w:r w:rsidRPr="00C2494B">
        <w:rPr>
          <w:rFonts w:ascii="Arial" w:hAnsi="Arial" w:cs="Arial"/>
          <w:sz w:val="24"/>
          <w:szCs w:val="24"/>
        </w:rPr>
        <w:t>Monitorização</w:t>
      </w:r>
      <w:proofErr w:type="spellEnd"/>
      <w:r w:rsidRPr="00C2494B">
        <w:rPr>
          <w:rFonts w:ascii="Arial" w:hAnsi="Arial" w:cs="Arial"/>
          <w:sz w:val="24"/>
          <w:szCs w:val="24"/>
        </w:rPr>
        <w:t xml:space="preserve"> auxiliares, com equipamentos apropriados para ambiente de ressonância e o contato visual e verbal com o paciente durante todo o exame devem ser adotados particularmente em pacientes sob estresse farmacológico.</w:t>
      </w:r>
    </w:p>
    <w:p w:rsidR="00C2494B" w:rsidRPr="00C2494B" w:rsidRDefault="00C2494B" w:rsidP="00C2494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494B">
        <w:rPr>
          <w:rFonts w:ascii="Arial" w:hAnsi="Arial" w:cs="Arial"/>
          <w:b/>
          <w:sz w:val="24"/>
          <w:szCs w:val="24"/>
        </w:rPr>
        <w:t>4. Investigação da Isquemia Miocárdica por RM e contrastes utilizados</w:t>
      </w: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 isquemia miocárdica tem sido investigada por RM através de dois tipos de estudos: o que avalia a perfusão miocárdica durante estresse com vasodilatadores (adenosina ou dipiridamol) e o que avalia a contractilidade miocárdica local e regional durante estresse com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dobutamina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avaliação da perfusão miocárdica injeta-se um contraste de RM (gadolínio) durante a aquisição de imagens ultra-rápidas (uma a cada 100 milésimos do segundo) e observa-se a distribuição do gadolínio e, portanto, do sangue através do miocárdio. Regiões com retardo na chegada do contraste são </w:t>
      </w:r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identificados</w:t>
      </w:r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defeitos de perfusão, que têm mostrado grande concordância com outros métodos clássicos (medicina nuclear e PET) . A vantagem da RM aqui seria a possibilidade de quantificar em detalhe a extensão e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transmuralidade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defeito, o que pode ter implicações clínicas importantes</w:t>
      </w:r>
    </w:p>
    <w:p w:rsidR="00C2494B" w:rsidRPr="00C2494B" w:rsidRDefault="00C2494B" w:rsidP="00C2494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494B">
        <w:rPr>
          <w:rFonts w:ascii="Arial" w:hAnsi="Arial" w:cs="Arial"/>
          <w:b/>
          <w:sz w:val="24"/>
          <w:szCs w:val="24"/>
        </w:rPr>
        <w:t>5. Avaliação da Contractilidade e Viabilidade Miocárdica por RM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avaliação da contractilidade miocárdica, a RM pode identificar paredes do ventrículo esquerdo que falham em aumentar ou mesmo pioram a sua contractilidade durante pico de estresse com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dobutamina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Essas alterações são compatíveis com isquemia miocárdica, usualmente causada por obstrução importante de uma artéria coronária. Essa técnica também pode detectar paredes ventriculares acinéticas que melhoram a contractilidade durante baixa dose de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dobutamina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que identifica viabilidade miocárdica naquela região. A vantagem da RM com este método, que é realizado classicamente pela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ecocardiografia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é a alta qualidade da imagem e a perfeita localização espacial dos cortes do coração nas diferentes fases do estudo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isquemia miocárdica tem sido investigada por RM através de dois tipos de estudos: o que avalia a perfusão miocárdica durante estresse com vasodilatadores (adenosina ou dipiridamol) e o que avalia a contractilidade miocárdica local e regional durante estresse com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dobutamina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avaliação da viabilidade miocárdica por RM tem alcançado grande impacto recente na literatura. Esta técnica baseia-se nas características de distribuição do </w:t>
      </w: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gadolínio em diferentes tecidos, como o miocárdio normal, infartado recente e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fibrótico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gadolínio se distribui nos espaços extracelulares. O miocárdio normal tem menos espaço extracelular que o infarto e a fibrose. Assim, regiões miocárdicas infartadas e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fibróticas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aparecem claras devido </w:t>
      </w:r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maior distribuição do contraste nessas regiões. As imagens desta técnica delineiam as áreas não viáveis do coração (fibrose e infarto) de forma precisa e com resolução sem precedente. Regiões de "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no-reflow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ou, mais precisamente, de obstrução microvascular podem aparecer como áreas escuras no interior do infarto, reafirmando a não viabilidade daquela região miocárdica. Esta técnica caminha seriamente para uma futura posição de padrão-ouro na detecção de viabilidade miocárdica. O exame é simples, não-invasivo, rápido (20 minutos) e não utiliza qualquer tipo de material radioativo. O contraste de RM tem-se mostrado totalmente inócuo, não lesando qualquer função orgânica. A avaliação de viabilidade miocárdica, ainda em fase de pesquisa clínica, já tem sido requisitada por grupos clínicos de nossa instituição e tem alcançado grande sucesso, pela facilidade com que é realizado o exame e pela enorme quantidade de informações que pode fornecer. No nosso país, este técnica de estudo foi primeiramente desenvolvida, e se encontra disponível no Instituto do Coração (</w:t>
      </w:r>
      <w:proofErr w:type="spellStart"/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InCor</w:t>
      </w:r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-HC-FMUSP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tendo sido resultado da colaboração do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InCor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Johns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Hopkins Hospital e a General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Electric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ambas dos Estados Unidos.</w:t>
      </w:r>
    </w:p>
    <w:p w:rsidR="00C2494B" w:rsidRPr="00C2494B" w:rsidRDefault="00C2494B" w:rsidP="00C249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94B" w:rsidRPr="00C2494B" w:rsidRDefault="00C2494B" w:rsidP="00C249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2494B">
        <w:rPr>
          <w:rFonts w:ascii="Arial" w:hAnsi="Arial" w:cs="Arial"/>
          <w:b/>
          <w:sz w:val="24"/>
          <w:szCs w:val="24"/>
        </w:rPr>
        <w:t>6. Visualização das Artérias Coronárias através da RM</w:t>
      </w:r>
    </w:p>
    <w:p w:rsidR="00C2494B" w:rsidRPr="00C2494B" w:rsidRDefault="00C2494B" w:rsidP="00C249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Ainda não é possível realizar a visualização das artérias coronárias e seus extensores, mas esperasse no futuro poder identificar e quantificar lesões coronárias seu fluxo e reserva coronária caracterizando ainda os componentes da lesão obstrutiva. O que hoje ainda não é possível em um futuro não tão distante revolucionará a cardiologia. Segundo o INCOR, o estudo na área demanda de muito tempo para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indentificar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porções iniciais das artérias coronárias onde a quantificação das lesões é ainda tecnicamente difícil.</w:t>
      </w:r>
    </w:p>
    <w:p w:rsidR="00C2494B" w:rsidRPr="00C2494B" w:rsidRDefault="00C2494B" w:rsidP="00C2494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o Dr. Carlos Eduardo </w:t>
      </w:r>
      <w:proofErr w:type="spell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Rochitte</w:t>
      </w:r>
      <w:proofErr w:type="spell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dos médicos assistentes do </w:t>
      </w:r>
      <w:proofErr w:type="spellStart"/>
      <w:proofErr w:type="gramStart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InCor-HC</w:t>
      </w:r>
      <w:proofErr w:type="spellEnd"/>
      <w:proofErr w:type="gramEnd"/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.FMUSP responsável pelos estudos de ressonância magnética em </w:t>
      </w:r>
      <w:r w:rsidRPr="00C2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cardiologia "a doença arterial coronária constitui-se num dos focos prioritários desta nova tecnologia devido a sua óbvia importância na sociedade moderna e a necessidade de métodos não invasivos mais precisos, tanto na investigação científica, como na aplicação clínica rotineira. Especificamente na avaliação da doença arterial coronária, a RM poderá em futuro próximo se constituir numa abordagem onde vários aspectos desta doença serão avaliados em um único estudo: anatomia, função e massa ventricular, isquemia e viabilidade miocárdicas e detecção, quantificação e caracterização das lesões ateroscleróticas coronárias".</w:t>
      </w:r>
    </w:p>
    <w:p w:rsidR="00C2494B" w:rsidRPr="00C2494B" w:rsidRDefault="00C2494B" w:rsidP="00C249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2494B" w:rsidRPr="00C2494B" w:rsidRDefault="00C2494B" w:rsidP="00C2494B">
      <w:pPr>
        <w:rPr>
          <w:rFonts w:ascii="Arial" w:hAnsi="Arial" w:cs="Arial"/>
          <w:b/>
          <w:sz w:val="24"/>
          <w:szCs w:val="24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</w:rPr>
      </w:pPr>
    </w:p>
    <w:p w:rsidR="00C2494B" w:rsidRPr="00C2494B" w:rsidRDefault="00C2494B">
      <w:pPr>
        <w:rPr>
          <w:rFonts w:ascii="Arial" w:hAnsi="Arial" w:cs="Arial"/>
          <w:b/>
          <w:sz w:val="28"/>
          <w:szCs w:val="28"/>
        </w:rPr>
      </w:pPr>
      <w:r w:rsidRPr="00C2494B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000000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494B">
        <w:rPr>
          <w:rFonts w:ascii="Arial" w:hAnsi="Arial" w:cs="Arial"/>
          <w:sz w:val="28"/>
          <w:szCs w:val="28"/>
        </w:rPr>
        <w:t>NOBREGA, Almir</w:t>
      </w:r>
      <w:proofErr w:type="gramStart"/>
      <w:r w:rsidRPr="00C2494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C2494B">
        <w:rPr>
          <w:rFonts w:ascii="Arial" w:hAnsi="Arial" w:cs="Arial"/>
          <w:sz w:val="28"/>
          <w:szCs w:val="28"/>
        </w:rPr>
        <w:t xml:space="preserve">Inácio </w:t>
      </w:r>
      <w:proofErr w:type="spellStart"/>
      <w:r w:rsidRPr="00C2494B">
        <w:rPr>
          <w:rFonts w:ascii="Arial" w:hAnsi="Arial" w:cs="Arial"/>
          <w:sz w:val="28"/>
          <w:szCs w:val="28"/>
        </w:rPr>
        <w:t>da.</w:t>
      </w:r>
      <w:proofErr w:type="spellEnd"/>
      <w:r w:rsidRPr="00C2494B">
        <w:rPr>
          <w:rFonts w:ascii="Arial" w:hAnsi="Arial" w:cs="Arial"/>
          <w:sz w:val="28"/>
          <w:szCs w:val="28"/>
        </w:rPr>
        <w:t xml:space="preserve"> </w:t>
      </w:r>
      <w:r w:rsidRPr="00C2494B">
        <w:rPr>
          <w:rFonts w:ascii="Arial" w:hAnsi="Arial" w:cs="Arial"/>
          <w:bCs/>
          <w:sz w:val="28"/>
          <w:szCs w:val="28"/>
        </w:rPr>
        <w:t xml:space="preserve">Tecnologia Radiológica e Diagnóstico por Imagem. </w:t>
      </w:r>
      <w:r w:rsidRPr="00C2494B">
        <w:rPr>
          <w:rFonts w:ascii="Arial" w:hAnsi="Arial" w:cs="Arial"/>
          <w:sz w:val="28"/>
          <w:szCs w:val="28"/>
        </w:rPr>
        <w:t>4º Ed. DIFUSÃO: 2006.</w:t>
      </w:r>
    </w:p>
    <w:p w:rsidR="00000000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494B">
        <w:rPr>
          <w:rFonts w:ascii="Arial" w:hAnsi="Arial" w:cs="Arial"/>
          <w:sz w:val="28"/>
          <w:szCs w:val="28"/>
        </w:rPr>
        <w:t>http://www.incor.usp.br/conteudomedico/geral/ressonancia%</w:t>
      </w:r>
      <w:proofErr w:type="gramStart"/>
      <w:r w:rsidRPr="00C2494B">
        <w:rPr>
          <w:rFonts w:ascii="Arial" w:hAnsi="Arial" w:cs="Arial"/>
          <w:sz w:val="28"/>
          <w:szCs w:val="28"/>
        </w:rPr>
        <w:t>20magnetica.</w:t>
      </w:r>
      <w:proofErr w:type="gramEnd"/>
      <w:r w:rsidRPr="00C2494B">
        <w:rPr>
          <w:rFonts w:ascii="Arial" w:hAnsi="Arial" w:cs="Arial"/>
          <w:sz w:val="28"/>
          <w:szCs w:val="28"/>
        </w:rPr>
        <w:t xml:space="preserve">html </w:t>
      </w:r>
    </w:p>
    <w:p w:rsidR="00000000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2494B">
        <w:rPr>
          <w:rFonts w:ascii="Arial" w:hAnsi="Arial" w:cs="Arial"/>
          <w:sz w:val="28"/>
          <w:szCs w:val="28"/>
        </w:rPr>
        <w:t>http://www.scielo.br/scielo.</w:t>
      </w:r>
      <w:proofErr w:type="gramEnd"/>
      <w:r w:rsidRPr="00C2494B">
        <w:rPr>
          <w:rFonts w:ascii="Arial" w:hAnsi="Arial" w:cs="Arial"/>
          <w:sz w:val="28"/>
          <w:szCs w:val="28"/>
        </w:rPr>
        <w:t>php?</w:t>
      </w:r>
      <w:proofErr w:type="gramStart"/>
      <w:r w:rsidRPr="00C2494B">
        <w:rPr>
          <w:rFonts w:ascii="Arial" w:hAnsi="Arial" w:cs="Arial"/>
          <w:sz w:val="28"/>
          <w:szCs w:val="28"/>
        </w:rPr>
        <w:t>script</w:t>
      </w:r>
      <w:proofErr w:type="gramEnd"/>
      <w:r w:rsidRPr="00C2494B">
        <w:rPr>
          <w:rFonts w:ascii="Arial" w:hAnsi="Arial" w:cs="Arial"/>
          <w:sz w:val="28"/>
          <w:szCs w:val="28"/>
        </w:rPr>
        <w:t>=</w:t>
      </w:r>
      <w:r w:rsidRPr="00C2494B">
        <w:rPr>
          <w:rFonts w:ascii="Arial" w:hAnsi="Arial" w:cs="Arial"/>
          <w:sz w:val="28"/>
          <w:szCs w:val="28"/>
        </w:rPr>
        <w:t>sci_arttext&amp;pid=S0066-782X2006002200001</w:t>
      </w:r>
    </w:p>
    <w:p w:rsidR="00000000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494B">
        <w:rPr>
          <w:rFonts w:ascii="Arial" w:hAnsi="Arial" w:cs="Arial"/>
          <w:sz w:val="28"/>
          <w:szCs w:val="28"/>
        </w:rPr>
        <w:t>http://www.scielo.br/pdf/rb/v36n5/v36n5a01.pdf</w:t>
      </w:r>
    </w:p>
    <w:p w:rsidR="00C2494B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Pr="00C2494B" w:rsidRDefault="00C2494B" w:rsidP="00C249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494B">
        <w:rPr>
          <w:rFonts w:ascii="Arial" w:hAnsi="Arial" w:cs="Arial"/>
          <w:sz w:val="28"/>
          <w:szCs w:val="28"/>
        </w:rPr>
        <w:t>http://www.arquivosonline.com.br/2010/9506/pdf/9506014.pdf</w:t>
      </w:r>
    </w:p>
    <w:p w:rsidR="00C2494B" w:rsidRPr="00C2494B" w:rsidRDefault="00C2494B" w:rsidP="00C2494B">
      <w:pPr>
        <w:spacing w:after="0"/>
        <w:rPr>
          <w:rFonts w:ascii="Arial" w:hAnsi="Arial" w:cs="Arial"/>
          <w:b/>
          <w:sz w:val="28"/>
          <w:szCs w:val="28"/>
        </w:rPr>
      </w:pPr>
    </w:p>
    <w:sectPr w:rsidR="00C2494B" w:rsidRPr="00C2494B" w:rsidSect="00D637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018"/>
    <w:multiLevelType w:val="hybridMultilevel"/>
    <w:tmpl w:val="21923122"/>
    <w:lvl w:ilvl="0" w:tplc="56521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6D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E5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A0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45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D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C9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B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C52444"/>
    <w:multiLevelType w:val="hybridMultilevel"/>
    <w:tmpl w:val="1074862E"/>
    <w:lvl w:ilvl="0" w:tplc="17965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49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AC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A3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06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01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4B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67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65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F360B2"/>
    <w:multiLevelType w:val="hybridMultilevel"/>
    <w:tmpl w:val="8CA4E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10C97"/>
    <w:multiLevelType w:val="hybridMultilevel"/>
    <w:tmpl w:val="4A3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E60A3"/>
    <w:multiLevelType w:val="multilevel"/>
    <w:tmpl w:val="BB3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494B"/>
    <w:rsid w:val="0001384E"/>
    <w:rsid w:val="00455259"/>
    <w:rsid w:val="00507132"/>
    <w:rsid w:val="00C2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4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1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1658</Words>
  <Characters>8956</Characters>
  <Application>Microsoft Office Word</Application>
  <DocSecurity>0</DocSecurity>
  <Lines>74</Lines>
  <Paragraphs>21</Paragraphs>
  <ScaleCrop>false</ScaleCrop>
  <Company>Home</Company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BrunoRicardoSantana</dc:creator>
  <cp:lastModifiedBy>BrunoRicardoSantana</cp:lastModifiedBy>
  <cp:revision>1</cp:revision>
  <dcterms:created xsi:type="dcterms:W3CDTF">2015-05-22T15:37:00Z</dcterms:created>
  <dcterms:modified xsi:type="dcterms:W3CDTF">2015-05-22T15:40:00Z</dcterms:modified>
</cp:coreProperties>
</file>