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9B4" w:rsidRDefault="00A638E1" w:rsidP="007639B4">
      <w:pPr>
        <w:spacing w:line="360" w:lineRule="auto"/>
        <w:rPr>
          <w:rFonts w:ascii="Times New Roman" w:hAnsi="Times New Roman" w:cs="Times New Roman"/>
          <w:sz w:val="28"/>
          <w:szCs w:val="28"/>
        </w:rPr>
      </w:pPr>
      <w:r>
        <w:rPr>
          <w:rFonts w:ascii="Times New Roman" w:hAnsi="Times New Roman" w:cs="Times New Roman"/>
          <w:sz w:val="28"/>
          <w:szCs w:val="28"/>
        </w:rPr>
        <w:t xml:space="preserve">UNIVERSIDADE PAULISTA </w:t>
      </w:r>
      <w:r w:rsidR="00772DCB">
        <w:rPr>
          <w:rFonts w:ascii="Times New Roman" w:hAnsi="Times New Roman" w:cs="Times New Roman"/>
          <w:sz w:val="28"/>
          <w:szCs w:val="28"/>
        </w:rPr>
        <w:t>–</w:t>
      </w:r>
      <w:r>
        <w:rPr>
          <w:rFonts w:ascii="Times New Roman" w:hAnsi="Times New Roman" w:cs="Times New Roman"/>
          <w:sz w:val="28"/>
          <w:szCs w:val="28"/>
        </w:rPr>
        <w:t xml:space="preserve"> UNIP</w:t>
      </w:r>
    </w:p>
    <w:p w:rsidR="00772DCB" w:rsidRDefault="00772DCB" w:rsidP="00772DCB">
      <w:pPr>
        <w:spacing w:line="360" w:lineRule="auto"/>
        <w:jc w:val="both"/>
        <w:rPr>
          <w:rFonts w:ascii="Times New Roman" w:hAnsi="Times New Roman" w:cs="Times New Roman"/>
          <w:sz w:val="28"/>
          <w:szCs w:val="28"/>
        </w:rPr>
      </w:pPr>
    </w:p>
    <w:p w:rsidR="00772DCB" w:rsidRPr="00FA16BD" w:rsidRDefault="00772DCB" w:rsidP="00F0397C">
      <w:pPr>
        <w:spacing w:line="360" w:lineRule="auto"/>
        <w:rPr>
          <w:rFonts w:ascii="Times New Roman" w:hAnsi="Times New Roman" w:cs="Times New Roman"/>
          <w:sz w:val="28"/>
          <w:szCs w:val="28"/>
        </w:rPr>
      </w:pPr>
      <w:r w:rsidRPr="00FA16BD">
        <w:rPr>
          <w:rFonts w:ascii="Times New Roman" w:hAnsi="Times New Roman" w:cs="Times New Roman"/>
          <w:sz w:val="28"/>
          <w:szCs w:val="28"/>
        </w:rPr>
        <w:t>ABRAO HENRIQUE  DA SILVA FILHO</w:t>
      </w:r>
      <w:r w:rsidR="00F0397C" w:rsidRPr="00FA16BD">
        <w:rPr>
          <w:rFonts w:ascii="Times New Roman" w:hAnsi="Times New Roman" w:cs="Times New Roman"/>
          <w:sz w:val="28"/>
          <w:szCs w:val="28"/>
        </w:rPr>
        <w:t xml:space="preserve"> </w:t>
      </w:r>
      <w:r w:rsidRPr="00FA16BD">
        <w:rPr>
          <w:rFonts w:ascii="Times New Roman" w:hAnsi="Times New Roman" w:cs="Times New Roman"/>
          <w:sz w:val="28"/>
          <w:szCs w:val="28"/>
        </w:rPr>
        <w:t>RA:B85IHB-9</w:t>
      </w:r>
    </w:p>
    <w:p w:rsidR="007639B4" w:rsidRPr="00FA16BD" w:rsidRDefault="00A638E1" w:rsidP="00F0397C">
      <w:pPr>
        <w:spacing w:line="360" w:lineRule="auto"/>
        <w:rPr>
          <w:rFonts w:ascii="Times New Roman" w:hAnsi="Times New Roman" w:cs="Times New Roman"/>
          <w:sz w:val="28"/>
          <w:szCs w:val="28"/>
        </w:rPr>
      </w:pPr>
      <w:r w:rsidRPr="00FA16BD">
        <w:rPr>
          <w:rFonts w:ascii="Times New Roman" w:hAnsi="Times New Roman" w:cs="Times New Roman"/>
          <w:sz w:val="28"/>
          <w:szCs w:val="28"/>
        </w:rPr>
        <w:t>DANIEL MARQUES DOS SANTOS</w:t>
      </w:r>
      <w:r w:rsidR="00F0397C" w:rsidRPr="00FA16BD">
        <w:rPr>
          <w:rFonts w:ascii="Times New Roman" w:hAnsi="Times New Roman" w:cs="Times New Roman"/>
          <w:sz w:val="28"/>
          <w:szCs w:val="28"/>
        </w:rPr>
        <w:t xml:space="preserve"> </w:t>
      </w:r>
      <w:r w:rsidR="00772DCB" w:rsidRPr="00FA16BD">
        <w:rPr>
          <w:rFonts w:ascii="Times New Roman" w:hAnsi="Times New Roman" w:cs="Times New Roman"/>
          <w:sz w:val="28"/>
          <w:szCs w:val="28"/>
        </w:rPr>
        <w:t>RA:B7320J-9</w:t>
      </w:r>
    </w:p>
    <w:p w:rsidR="007639B4" w:rsidRPr="00FA16BD" w:rsidRDefault="00A638E1" w:rsidP="00F0397C">
      <w:pPr>
        <w:spacing w:line="360" w:lineRule="auto"/>
        <w:rPr>
          <w:rFonts w:ascii="Times New Roman" w:hAnsi="Times New Roman" w:cs="Times New Roman"/>
          <w:sz w:val="28"/>
          <w:szCs w:val="28"/>
        </w:rPr>
      </w:pPr>
      <w:r w:rsidRPr="00FA16BD">
        <w:rPr>
          <w:rFonts w:ascii="Times New Roman" w:hAnsi="Times New Roman" w:cs="Times New Roman"/>
          <w:sz w:val="28"/>
          <w:szCs w:val="28"/>
        </w:rPr>
        <w:t>KEILA RIBEIRO SALDANHA</w:t>
      </w:r>
      <w:r w:rsidR="00F0397C" w:rsidRPr="00FA16BD">
        <w:rPr>
          <w:rFonts w:ascii="Times New Roman" w:hAnsi="Times New Roman" w:cs="Times New Roman"/>
          <w:sz w:val="28"/>
          <w:szCs w:val="28"/>
        </w:rPr>
        <w:t xml:space="preserve"> </w:t>
      </w:r>
      <w:r w:rsidR="00772DCB" w:rsidRPr="00FA16BD">
        <w:rPr>
          <w:rFonts w:ascii="Times New Roman" w:hAnsi="Times New Roman" w:cs="Times New Roman"/>
          <w:sz w:val="28"/>
          <w:szCs w:val="28"/>
        </w:rPr>
        <w:t>RA:B7320H-2</w:t>
      </w:r>
    </w:p>
    <w:p w:rsidR="00A638E1" w:rsidRPr="00FA16BD" w:rsidRDefault="00A638E1" w:rsidP="00F0397C">
      <w:pPr>
        <w:spacing w:line="360" w:lineRule="auto"/>
        <w:rPr>
          <w:rFonts w:ascii="Times New Roman" w:hAnsi="Times New Roman" w:cs="Times New Roman"/>
          <w:sz w:val="28"/>
          <w:szCs w:val="28"/>
        </w:rPr>
      </w:pPr>
      <w:r w:rsidRPr="00FA16BD">
        <w:rPr>
          <w:rFonts w:ascii="Times New Roman" w:hAnsi="Times New Roman" w:cs="Times New Roman"/>
          <w:sz w:val="28"/>
          <w:szCs w:val="28"/>
        </w:rPr>
        <w:t>FABRICIO CORDEIRO DOS SANTOS</w:t>
      </w:r>
      <w:r w:rsidR="00F0397C" w:rsidRPr="00FA16BD">
        <w:rPr>
          <w:rFonts w:ascii="Times New Roman" w:hAnsi="Times New Roman" w:cs="Times New Roman"/>
          <w:sz w:val="28"/>
          <w:szCs w:val="28"/>
        </w:rPr>
        <w:t xml:space="preserve"> </w:t>
      </w:r>
      <w:r w:rsidR="00772DCB" w:rsidRPr="00FA16BD">
        <w:rPr>
          <w:rFonts w:ascii="Times New Roman" w:hAnsi="Times New Roman" w:cs="Times New Roman"/>
          <w:sz w:val="28"/>
          <w:szCs w:val="28"/>
        </w:rPr>
        <w:t>RA: B6992F-3</w:t>
      </w:r>
    </w:p>
    <w:p w:rsidR="007639B4" w:rsidRPr="00FA16BD" w:rsidRDefault="00A638E1" w:rsidP="00F0397C">
      <w:pPr>
        <w:spacing w:line="360" w:lineRule="auto"/>
        <w:rPr>
          <w:rFonts w:ascii="Times New Roman" w:hAnsi="Times New Roman" w:cs="Times New Roman"/>
          <w:sz w:val="28"/>
          <w:szCs w:val="28"/>
        </w:rPr>
      </w:pPr>
      <w:r w:rsidRPr="00FA16BD">
        <w:rPr>
          <w:rFonts w:ascii="Times New Roman" w:hAnsi="Times New Roman" w:cs="Times New Roman"/>
          <w:sz w:val="28"/>
          <w:szCs w:val="28"/>
        </w:rPr>
        <w:t>LEANDRO COSTA DE OLIVEIRA</w:t>
      </w:r>
      <w:r w:rsidR="00F0397C" w:rsidRPr="00FA16BD">
        <w:rPr>
          <w:rFonts w:ascii="Times New Roman" w:hAnsi="Times New Roman" w:cs="Times New Roman"/>
          <w:sz w:val="28"/>
          <w:szCs w:val="28"/>
        </w:rPr>
        <w:t xml:space="preserve"> </w:t>
      </w:r>
      <w:r w:rsidR="00772DCB" w:rsidRPr="00FA16BD">
        <w:rPr>
          <w:rFonts w:ascii="Times New Roman" w:hAnsi="Times New Roman" w:cs="Times New Roman"/>
          <w:sz w:val="28"/>
          <w:szCs w:val="28"/>
        </w:rPr>
        <w:t>RA: B762FJ-5</w:t>
      </w:r>
    </w:p>
    <w:p w:rsidR="005E16EB" w:rsidRPr="00FA16BD" w:rsidRDefault="005E16EB" w:rsidP="00F0397C">
      <w:pPr>
        <w:spacing w:line="360" w:lineRule="auto"/>
        <w:rPr>
          <w:rFonts w:ascii="Times New Roman" w:hAnsi="Times New Roman" w:cs="Times New Roman"/>
          <w:sz w:val="28"/>
          <w:szCs w:val="28"/>
        </w:rPr>
      </w:pPr>
      <w:r w:rsidRPr="00FA16BD">
        <w:rPr>
          <w:rFonts w:ascii="Times New Roman" w:hAnsi="Times New Roman" w:cs="Times New Roman"/>
          <w:sz w:val="28"/>
          <w:szCs w:val="28"/>
        </w:rPr>
        <w:t>LUCIANA RODRIGUES DE SOUZA</w:t>
      </w:r>
      <w:r w:rsidR="00F0397C" w:rsidRPr="00FA16BD">
        <w:rPr>
          <w:rFonts w:ascii="Times New Roman" w:hAnsi="Times New Roman" w:cs="Times New Roman"/>
          <w:sz w:val="28"/>
          <w:szCs w:val="28"/>
        </w:rPr>
        <w:t xml:space="preserve">  </w:t>
      </w:r>
      <w:r w:rsidRPr="00FA16BD">
        <w:rPr>
          <w:rFonts w:ascii="Times New Roman" w:hAnsi="Times New Roman" w:cs="Times New Roman"/>
          <w:sz w:val="28"/>
          <w:szCs w:val="28"/>
        </w:rPr>
        <w:t>RA:T210DB-0</w:t>
      </w:r>
    </w:p>
    <w:p w:rsidR="00CE2198" w:rsidRPr="00FA16BD" w:rsidRDefault="00CE2198" w:rsidP="00CE2198">
      <w:pPr>
        <w:spacing w:line="360" w:lineRule="auto"/>
        <w:rPr>
          <w:rFonts w:ascii="Times New Roman" w:hAnsi="Times New Roman" w:cs="Times New Roman"/>
          <w:sz w:val="28"/>
          <w:szCs w:val="28"/>
        </w:rPr>
      </w:pPr>
      <w:r w:rsidRPr="00FA16BD">
        <w:rPr>
          <w:rFonts w:ascii="Times New Roman" w:hAnsi="Times New Roman" w:cs="Times New Roman"/>
          <w:sz w:val="28"/>
          <w:szCs w:val="28"/>
        </w:rPr>
        <w:t>TURMA:DR5P34</w:t>
      </w:r>
    </w:p>
    <w:p w:rsidR="007639B4" w:rsidRPr="00F0397C" w:rsidRDefault="007639B4" w:rsidP="005E16EB">
      <w:pPr>
        <w:spacing w:line="360" w:lineRule="auto"/>
        <w:jc w:val="both"/>
        <w:rPr>
          <w:rFonts w:ascii="Times New Roman" w:hAnsi="Times New Roman" w:cs="Times New Roman"/>
        </w:rPr>
      </w:pPr>
    </w:p>
    <w:p w:rsidR="007639B4" w:rsidRPr="00695E80" w:rsidRDefault="007639B4" w:rsidP="007639B4">
      <w:pPr>
        <w:spacing w:line="360" w:lineRule="auto"/>
        <w:rPr>
          <w:rFonts w:ascii="Times New Roman" w:hAnsi="Times New Roman" w:cs="Times New Roman"/>
          <w:sz w:val="28"/>
          <w:szCs w:val="28"/>
        </w:rPr>
      </w:pPr>
    </w:p>
    <w:p w:rsidR="007639B4" w:rsidRPr="00695E80" w:rsidRDefault="007639B4" w:rsidP="007639B4">
      <w:pPr>
        <w:spacing w:line="360" w:lineRule="auto"/>
        <w:rPr>
          <w:rFonts w:ascii="Times New Roman" w:hAnsi="Times New Roman" w:cs="Times New Roman"/>
          <w:sz w:val="28"/>
          <w:szCs w:val="28"/>
        </w:rPr>
      </w:pPr>
    </w:p>
    <w:p w:rsidR="007639B4" w:rsidRPr="00695E80" w:rsidRDefault="007639B4" w:rsidP="007639B4">
      <w:pPr>
        <w:spacing w:line="360" w:lineRule="auto"/>
        <w:rPr>
          <w:rFonts w:ascii="Times New Roman" w:hAnsi="Times New Roman" w:cs="Times New Roman"/>
          <w:sz w:val="28"/>
          <w:szCs w:val="28"/>
        </w:rPr>
      </w:pPr>
    </w:p>
    <w:p w:rsidR="007639B4" w:rsidRPr="00695E80" w:rsidRDefault="007639B4" w:rsidP="007639B4">
      <w:pPr>
        <w:spacing w:line="360" w:lineRule="auto"/>
        <w:rPr>
          <w:rFonts w:ascii="Times New Roman" w:hAnsi="Times New Roman" w:cs="Times New Roman"/>
          <w:sz w:val="28"/>
          <w:szCs w:val="28"/>
        </w:rPr>
      </w:pPr>
    </w:p>
    <w:p w:rsidR="007639B4" w:rsidRPr="00695E80" w:rsidRDefault="007639B4" w:rsidP="007639B4">
      <w:pPr>
        <w:spacing w:line="360" w:lineRule="auto"/>
        <w:rPr>
          <w:rFonts w:ascii="Times New Roman" w:hAnsi="Times New Roman" w:cs="Times New Roman"/>
          <w:sz w:val="28"/>
          <w:szCs w:val="28"/>
        </w:rPr>
      </w:pPr>
    </w:p>
    <w:p w:rsidR="007639B4" w:rsidRPr="00695E80" w:rsidRDefault="007639B4" w:rsidP="007639B4">
      <w:pPr>
        <w:spacing w:line="360" w:lineRule="auto"/>
        <w:rPr>
          <w:rFonts w:ascii="Times New Roman" w:hAnsi="Times New Roman" w:cs="Times New Roman"/>
          <w:sz w:val="28"/>
          <w:szCs w:val="28"/>
        </w:rPr>
      </w:pPr>
    </w:p>
    <w:p w:rsidR="007639B4" w:rsidRDefault="007639B4" w:rsidP="007639B4">
      <w:pPr>
        <w:spacing w:line="360" w:lineRule="auto"/>
        <w:ind w:left="1935"/>
        <w:rPr>
          <w:rFonts w:ascii="Times New Roman" w:hAnsi="Times New Roman" w:cs="Times New Roman"/>
          <w:b/>
          <w:sz w:val="28"/>
          <w:szCs w:val="28"/>
        </w:rPr>
      </w:pPr>
    </w:p>
    <w:p w:rsidR="007639B4" w:rsidRDefault="00CE612E" w:rsidP="007639B4">
      <w:pPr>
        <w:spacing w:line="360" w:lineRule="auto"/>
        <w:rPr>
          <w:rFonts w:ascii="Times New Roman" w:hAnsi="Times New Roman" w:cs="Times New Roman"/>
          <w:b/>
          <w:sz w:val="28"/>
          <w:szCs w:val="28"/>
        </w:rPr>
      </w:pPr>
      <w:r>
        <w:rPr>
          <w:rFonts w:ascii="Times New Roman" w:hAnsi="Times New Roman" w:cs="Times New Roman"/>
          <w:b/>
          <w:sz w:val="28"/>
          <w:szCs w:val="28"/>
        </w:rPr>
        <w:t>A EVOLUÇAO NORMATIVA DA EVOLUÇAO DE JUROS DO BRASIL</w:t>
      </w:r>
    </w:p>
    <w:p w:rsidR="007639B4" w:rsidRDefault="007639B4" w:rsidP="007639B4">
      <w:pPr>
        <w:spacing w:line="360" w:lineRule="auto"/>
        <w:ind w:left="1935"/>
        <w:rPr>
          <w:rFonts w:ascii="Times New Roman" w:hAnsi="Times New Roman" w:cs="Times New Roman"/>
          <w:b/>
          <w:sz w:val="28"/>
          <w:szCs w:val="28"/>
        </w:rPr>
      </w:pPr>
    </w:p>
    <w:p w:rsidR="007639B4" w:rsidRDefault="007639B4" w:rsidP="007639B4">
      <w:pPr>
        <w:spacing w:line="360" w:lineRule="auto"/>
        <w:rPr>
          <w:rFonts w:ascii="Times New Roman" w:hAnsi="Times New Roman" w:cs="Times New Roman"/>
          <w:b/>
          <w:sz w:val="28"/>
          <w:szCs w:val="28"/>
        </w:rPr>
      </w:pPr>
    </w:p>
    <w:p w:rsidR="007639B4" w:rsidRDefault="007639B4" w:rsidP="007639B4">
      <w:pPr>
        <w:spacing w:line="360" w:lineRule="auto"/>
        <w:rPr>
          <w:rFonts w:ascii="Times New Roman" w:hAnsi="Times New Roman" w:cs="Times New Roman"/>
          <w:b/>
          <w:sz w:val="28"/>
          <w:szCs w:val="28"/>
        </w:rPr>
      </w:pPr>
    </w:p>
    <w:p w:rsidR="007639B4" w:rsidRDefault="007639B4" w:rsidP="007639B4">
      <w:pPr>
        <w:spacing w:line="360" w:lineRule="auto"/>
        <w:rPr>
          <w:rFonts w:ascii="Times New Roman" w:hAnsi="Times New Roman" w:cs="Times New Roman"/>
          <w:b/>
          <w:sz w:val="28"/>
          <w:szCs w:val="28"/>
        </w:rPr>
      </w:pPr>
    </w:p>
    <w:p w:rsidR="007639B4" w:rsidRDefault="007639B4" w:rsidP="007639B4">
      <w:pPr>
        <w:spacing w:line="360" w:lineRule="auto"/>
        <w:rPr>
          <w:rFonts w:ascii="Times New Roman" w:hAnsi="Times New Roman" w:cs="Times New Roman"/>
          <w:b/>
          <w:sz w:val="28"/>
          <w:szCs w:val="28"/>
        </w:rPr>
      </w:pPr>
    </w:p>
    <w:p w:rsidR="007639B4" w:rsidRDefault="007639B4" w:rsidP="00F0397C">
      <w:pPr>
        <w:spacing w:line="360" w:lineRule="auto"/>
        <w:jc w:val="both"/>
        <w:rPr>
          <w:rFonts w:ascii="Times New Roman" w:hAnsi="Times New Roman" w:cs="Times New Roman"/>
          <w:b/>
          <w:sz w:val="28"/>
          <w:szCs w:val="28"/>
        </w:rPr>
      </w:pPr>
    </w:p>
    <w:p w:rsidR="00F0397C" w:rsidRDefault="00F0397C" w:rsidP="00F0397C">
      <w:pPr>
        <w:spacing w:line="360" w:lineRule="auto"/>
        <w:jc w:val="both"/>
        <w:rPr>
          <w:rFonts w:ascii="Times New Roman" w:hAnsi="Times New Roman" w:cs="Times New Roman"/>
          <w:b/>
          <w:sz w:val="28"/>
          <w:szCs w:val="28"/>
        </w:rPr>
      </w:pPr>
    </w:p>
    <w:p w:rsidR="00F0397C" w:rsidRDefault="00F0397C" w:rsidP="00F0397C">
      <w:pPr>
        <w:spacing w:line="360" w:lineRule="auto"/>
        <w:jc w:val="both"/>
        <w:rPr>
          <w:rFonts w:ascii="Times New Roman" w:hAnsi="Times New Roman" w:cs="Times New Roman"/>
          <w:b/>
          <w:sz w:val="28"/>
          <w:szCs w:val="28"/>
        </w:rPr>
      </w:pPr>
    </w:p>
    <w:p w:rsidR="007639B4" w:rsidRPr="007B6BEF" w:rsidRDefault="007639B4" w:rsidP="00FA16BD">
      <w:pPr>
        <w:spacing w:line="360" w:lineRule="auto"/>
        <w:rPr>
          <w:rFonts w:ascii="Times New Roman" w:hAnsi="Times New Roman" w:cs="Times New Roman"/>
          <w:sz w:val="24"/>
          <w:szCs w:val="24"/>
        </w:rPr>
      </w:pPr>
      <w:r w:rsidRPr="007B6BEF">
        <w:rPr>
          <w:rFonts w:ascii="Times New Roman" w:hAnsi="Times New Roman" w:cs="Times New Roman"/>
          <w:sz w:val="24"/>
          <w:szCs w:val="24"/>
        </w:rPr>
        <w:t>Manaus-AM</w:t>
      </w:r>
    </w:p>
    <w:p w:rsidR="00F0397C" w:rsidRDefault="0074432B" w:rsidP="00FA16BD">
      <w:pPr>
        <w:spacing w:line="360" w:lineRule="auto"/>
        <w:rPr>
          <w:rFonts w:ascii="Times New Roman" w:hAnsi="Times New Roman" w:cs="Times New Roman"/>
          <w:sz w:val="24"/>
          <w:szCs w:val="24"/>
        </w:rPr>
      </w:pPr>
      <w:r>
        <w:rPr>
          <w:rFonts w:ascii="Times New Roman" w:hAnsi="Times New Roman" w:cs="Times New Roman"/>
          <w:sz w:val="24"/>
          <w:szCs w:val="24"/>
        </w:rPr>
        <w:t>2015</w:t>
      </w:r>
    </w:p>
    <w:p w:rsidR="00F0397C" w:rsidRPr="00FA16BD" w:rsidRDefault="00F0397C" w:rsidP="00F0397C">
      <w:pPr>
        <w:spacing w:line="360" w:lineRule="auto"/>
        <w:rPr>
          <w:rFonts w:ascii="Times New Roman" w:hAnsi="Times New Roman" w:cs="Times New Roman"/>
          <w:sz w:val="28"/>
          <w:szCs w:val="28"/>
        </w:rPr>
      </w:pPr>
      <w:r w:rsidRPr="00FA16BD">
        <w:rPr>
          <w:rFonts w:ascii="Times New Roman" w:hAnsi="Times New Roman" w:cs="Times New Roman"/>
          <w:sz w:val="28"/>
          <w:szCs w:val="28"/>
        </w:rPr>
        <w:lastRenderedPageBreak/>
        <w:t>ABRAO HENRIQUE  DA SILVA FILHO  RA:B85IHB-9</w:t>
      </w:r>
    </w:p>
    <w:p w:rsidR="00F0397C" w:rsidRPr="00FA16BD" w:rsidRDefault="00F0397C" w:rsidP="00F0397C">
      <w:pPr>
        <w:spacing w:line="360" w:lineRule="auto"/>
        <w:rPr>
          <w:rFonts w:ascii="Times New Roman" w:hAnsi="Times New Roman" w:cs="Times New Roman"/>
          <w:sz w:val="28"/>
          <w:szCs w:val="28"/>
        </w:rPr>
      </w:pPr>
      <w:r w:rsidRPr="00FA16BD">
        <w:rPr>
          <w:rFonts w:ascii="Times New Roman" w:hAnsi="Times New Roman" w:cs="Times New Roman"/>
          <w:sz w:val="28"/>
          <w:szCs w:val="28"/>
        </w:rPr>
        <w:t>DANIEL MARQUES DOS SANTOS   RA:B7320J-9</w:t>
      </w:r>
    </w:p>
    <w:p w:rsidR="00F0397C" w:rsidRPr="00FA16BD" w:rsidRDefault="00F0397C" w:rsidP="00F0397C">
      <w:pPr>
        <w:spacing w:line="360" w:lineRule="auto"/>
        <w:rPr>
          <w:rFonts w:ascii="Times New Roman" w:hAnsi="Times New Roman" w:cs="Times New Roman"/>
          <w:sz w:val="28"/>
          <w:szCs w:val="28"/>
        </w:rPr>
      </w:pPr>
      <w:r w:rsidRPr="00FA16BD">
        <w:rPr>
          <w:rFonts w:ascii="Times New Roman" w:hAnsi="Times New Roman" w:cs="Times New Roman"/>
          <w:sz w:val="28"/>
          <w:szCs w:val="28"/>
        </w:rPr>
        <w:t>KEILA RIBEIRO SALDANHA  RA:B7320H-2</w:t>
      </w:r>
    </w:p>
    <w:p w:rsidR="00F0397C" w:rsidRPr="00FA16BD" w:rsidRDefault="00F0397C" w:rsidP="00F0397C">
      <w:pPr>
        <w:spacing w:line="360" w:lineRule="auto"/>
        <w:rPr>
          <w:rFonts w:ascii="Times New Roman" w:hAnsi="Times New Roman" w:cs="Times New Roman"/>
          <w:sz w:val="28"/>
          <w:szCs w:val="28"/>
        </w:rPr>
      </w:pPr>
      <w:r w:rsidRPr="00FA16BD">
        <w:rPr>
          <w:rFonts w:ascii="Times New Roman" w:hAnsi="Times New Roman" w:cs="Times New Roman"/>
          <w:sz w:val="28"/>
          <w:szCs w:val="28"/>
        </w:rPr>
        <w:t>FABRICIO CORDEIRO DOS SANTOS RA: B6992F-3</w:t>
      </w:r>
    </w:p>
    <w:p w:rsidR="00F0397C" w:rsidRPr="00FA16BD" w:rsidRDefault="00F0397C" w:rsidP="00F0397C">
      <w:pPr>
        <w:spacing w:line="360" w:lineRule="auto"/>
        <w:rPr>
          <w:rFonts w:ascii="Times New Roman" w:hAnsi="Times New Roman" w:cs="Times New Roman"/>
          <w:sz w:val="28"/>
          <w:szCs w:val="28"/>
        </w:rPr>
      </w:pPr>
      <w:r w:rsidRPr="00FA16BD">
        <w:rPr>
          <w:rFonts w:ascii="Times New Roman" w:hAnsi="Times New Roman" w:cs="Times New Roman"/>
          <w:sz w:val="28"/>
          <w:szCs w:val="28"/>
        </w:rPr>
        <w:t>LEANDRO COSTA DE OLIVEIRA  RA:B762FJ-5</w:t>
      </w:r>
    </w:p>
    <w:p w:rsidR="00F0397C" w:rsidRPr="00FA16BD" w:rsidRDefault="00F0397C" w:rsidP="00F0397C">
      <w:pPr>
        <w:spacing w:line="360" w:lineRule="auto"/>
        <w:rPr>
          <w:rFonts w:ascii="Times New Roman" w:hAnsi="Times New Roman" w:cs="Times New Roman"/>
          <w:sz w:val="28"/>
          <w:szCs w:val="28"/>
        </w:rPr>
      </w:pPr>
      <w:r w:rsidRPr="00FA16BD">
        <w:rPr>
          <w:rFonts w:ascii="Times New Roman" w:hAnsi="Times New Roman" w:cs="Times New Roman"/>
          <w:sz w:val="28"/>
          <w:szCs w:val="28"/>
        </w:rPr>
        <w:t>LUCIANA RODRIGUES DE SOUZA  RA:T210DB-0</w:t>
      </w:r>
    </w:p>
    <w:p w:rsidR="00F0397C" w:rsidRPr="00FA16BD" w:rsidRDefault="00CE2198" w:rsidP="00F0397C">
      <w:pPr>
        <w:spacing w:line="360" w:lineRule="auto"/>
        <w:rPr>
          <w:rFonts w:ascii="Times New Roman" w:hAnsi="Times New Roman" w:cs="Times New Roman"/>
          <w:sz w:val="28"/>
          <w:szCs w:val="28"/>
        </w:rPr>
      </w:pPr>
      <w:r w:rsidRPr="00FA16BD">
        <w:rPr>
          <w:rFonts w:ascii="Times New Roman" w:hAnsi="Times New Roman" w:cs="Times New Roman"/>
          <w:sz w:val="28"/>
          <w:szCs w:val="28"/>
        </w:rPr>
        <w:t>TURMA:DR5P34</w:t>
      </w:r>
    </w:p>
    <w:p w:rsidR="00F0397C" w:rsidRPr="00F0397C" w:rsidRDefault="00F0397C" w:rsidP="00F0397C">
      <w:pPr>
        <w:spacing w:line="360" w:lineRule="auto"/>
        <w:jc w:val="left"/>
        <w:rPr>
          <w:rFonts w:ascii="Times New Roman" w:hAnsi="Times New Roman" w:cs="Times New Roman"/>
        </w:rPr>
      </w:pPr>
      <w:r>
        <w:rPr>
          <w:rFonts w:ascii="Times New Roman" w:hAnsi="Times New Roman" w:cs="Times New Roman"/>
        </w:rPr>
        <w:t xml:space="preserve">                                                                                            </w:t>
      </w:r>
    </w:p>
    <w:p w:rsidR="007639B4" w:rsidRDefault="007639B4" w:rsidP="007639B4">
      <w:pPr>
        <w:spacing w:line="360" w:lineRule="auto"/>
        <w:rPr>
          <w:rFonts w:ascii="Times New Roman" w:hAnsi="Times New Roman" w:cs="Times New Roman"/>
          <w:sz w:val="28"/>
          <w:szCs w:val="28"/>
        </w:rPr>
      </w:pPr>
    </w:p>
    <w:p w:rsidR="007639B4" w:rsidRDefault="007639B4" w:rsidP="007639B4">
      <w:pPr>
        <w:spacing w:line="360" w:lineRule="auto"/>
        <w:rPr>
          <w:rFonts w:ascii="Times New Roman" w:hAnsi="Times New Roman" w:cs="Times New Roman"/>
          <w:sz w:val="28"/>
          <w:szCs w:val="28"/>
        </w:rPr>
      </w:pPr>
    </w:p>
    <w:p w:rsidR="007639B4" w:rsidRDefault="007639B4" w:rsidP="007639B4">
      <w:pPr>
        <w:spacing w:line="360" w:lineRule="auto"/>
        <w:rPr>
          <w:rFonts w:ascii="Times New Roman" w:hAnsi="Times New Roman" w:cs="Times New Roman"/>
          <w:sz w:val="28"/>
          <w:szCs w:val="28"/>
        </w:rPr>
      </w:pPr>
    </w:p>
    <w:p w:rsidR="007639B4" w:rsidRDefault="007639B4" w:rsidP="007639B4">
      <w:pPr>
        <w:spacing w:line="360" w:lineRule="auto"/>
        <w:rPr>
          <w:rFonts w:ascii="Times New Roman" w:hAnsi="Times New Roman" w:cs="Times New Roman"/>
          <w:sz w:val="28"/>
          <w:szCs w:val="28"/>
        </w:rPr>
      </w:pPr>
    </w:p>
    <w:p w:rsidR="007639B4" w:rsidRDefault="007639B4" w:rsidP="007639B4">
      <w:pPr>
        <w:spacing w:line="360" w:lineRule="auto"/>
        <w:rPr>
          <w:rFonts w:ascii="Times New Roman" w:hAnsi="Times New Roman" w:cs="Times New Roman"/>
          <w:sz w:val="28"/>
          <w:szCs w:val="28"/>
        </w:rPr>
      </w:pPr>
    </w:p>
    <w:p w:rsidR="007639B4" w:rsidRDefault="007639B4" w:rsidP="007639B4">
      <w:pPr>
        <w:spacing w:line="360" w:lineRule="auto"/>
        <w:rPr>
          <w:rFonts w:ascii="Times New Roman" w:hAnsi="Times New Roman" w:cs="Times New Roman"/>
          <w:sz w:val="28"/>
          <w:szCs w:val="28"/>
        </w:rPr>
      </w:pPr>
    </w:p>
    <w:p w:rsidR="00CE612E" w:rsidRDefault="00CE612E" w:rsidP="00CE612E">
      <w:pPr>
        <w:spacing w:line="360" w:lineRule="auto"/>
        <w:rPr>
          <w:rFonts w:ascii="Times New Roman" w:hAnsi="Times New Roman" w:cs="Times New Roman"/>
          <w:b/>
          <w:sz w:val="28"/>
          <w:szCs w:val="28"/>
        </w:rPr>
      </w:pPr>
      <w:r>
        <w:rPr>
          <w:rFonts w:ascii="Times New Roman" w:hAnsi="Times New Roman" w:cs="Times New Roman"/>
          <w:b/>
          <w:sz w:val="28"/>
          <w:szCs w:val="28"/>
        </w:rPr>
        <w:t>A EVOLUÇAO NORMATIVA DA EVOLUÇAO DE JUROS DO BRASIL</w:t>
      </w:r>
    </w:p>
    <w:p w:rsidR="007639B4" w:rsidRDefault="007639B4" w:rsidP="007639B4">
      <w:pPr>
        <w:spacing w:line="360" w:lineRule="auto"/>
        <w:rPr>
          <w:rFonts w:ascii="Times New Roman" w:hAnsi="Times New Roman" w:cs="Times New Roman"/>
          <w:b/>
          <w:sz w:val="28"/>
          <w:szCs w:val="28"/>
        </w:rPr>
      </w:pPr>
    </w:p>
    <w:p w:rsidR="007639B4" w:rsidRPr="00AD669B" w:rsidRDefault="007639B4" w:rsidP="007639B4">
      <w:pPr>
        <w:spacing w:line="360" w:lineRule="auto"/>
        <w:ind w:left="4536" w:right="227"/>
        <w:jc w:val="both"/>
        <w:rPr>
          <w:rFonts w:ascii="Times New Roman" w:hAnsi="Times New Roman" w:cs="Times New Roman"/>
          <w:sz w:val="20"/>
          <w:szCs w:val="20"/>
        </w:rPr>
      </w:pPr>
      <w:r w:rsidRPr="00AD669B">
        <w:rPr>
          <w:rFonts w:ascii="Times New Roman" w:hAnsi="Times New Roman" w:cs="Times New Roman"/>
          <w:sz w:val="20"/>
          <w:szCs w:val="20"/>
        </w:rPr>
        <w:t xml:space="preserve">Pré-projeto apresentado na Disciplina </w:t>
      </w:r>
      <w:r w:rsidR="00A638E1">
        <w:rPr>
          <w:rFonts w:ascii="Times New Roman" w:hAnsi="Times New Roman" w:cs="Times New Roman"/>
          <w:sz w:val="20"/>
          <w:szCs w:val="20"/>
        </w:rPr>
        <w:t>Direito das Obrigações</w:t>
      </w:r>
      <w:r w:rsidRPr="00AD669B">
        <w:rPr>
          <w:rFonts w:ascii="Times New Roman" w:hAnsi="Times New Roman" w:cs="Times New Roman"/>
          <w:sz w:val="20"/>
          <w:szCs w:val="20"/>
        </w:rPr>
        <w:t xml:space="preserve"> de Trabalho de </w:t>
      </w:r>
      <w:r w:rsidR="00A638E1">
        <w:rPr>
          <w:rFonts w:ascii="Times New Roman" w:hAnsi="Times New Roman" w:cs="Times New Roman"/>
          <w:sz w:val="20"/>
          <w:szCs w:val="20"/>
        </w:rPr>
        <w:t>obtenção de Nota Parcial</w:t>
      </w:r>
      <w:r w:rsidRPr="00AD669B">
        <w:rPr>
          <w:rFonts w:ascii="Times New Roman" w:hAnsi="Times New Roman" w:cs="Times New Roman"/>
          <w:sz w:val="20"/>
          <w:szCs w:val="20"/>
        </w:rPr>
        <w:t xml:space="preserve"> do Curso de </w:t>
      </w:r>
      <w:r w:rsidR="00A638E1">
        <w:rPr>
          <w:rFonts w:ascii="Times New Roman" w:hAnsi="Times New Roman" w:cs="Times New Roman"/>
          <w:sz w:val="20"/>
          <w:szCs w:val="20"/>
        </w:rPr>
        <w:t>Direito</w:t>
      </w:r>
      <w:r w:rsidRPr="00AD669B">
        <w:rPr>
          <w:rFonts w:ascii="Times New Roman" w:hAnsi="Times New Roman" w:cs="Times New Roman"/>
          <w:sz w:val="20"/>
          <w:szCs w:val="20"/>
        </w:rPr>
        <w:t>.</w:t>
      </w:r>
    </w:p>
    <w:p w:rsidR="007639B4" w:rsidRDefault="007639B4" w:rsidP="007639B4">
      <w:pPr>
        <w:spacing w:line="360" w:lineRule="auto"/>
        <w:jc w:val="left"/>
        <w:rPr>
          <w:rFonts w:ascii="Times New Roman" w:hAnsi="Times New Roman" w:cs="Times New Roman"/>
          <w:b/>
          <w:sz w:val="20"/>
          <w:szCs w:val="20"/>
        </w:rPr>
      </w:pPr>
    </w:p>
    <w:p w:rsidR="007639B4" w:rsidRDefault="007639B4" w:rsidP="007639B4">
      <w:pPr>
        <w:spacing w:line="360" w:lineRule="auto"/>
        <w:jc w:val="left"/>
        <w:rPr>
          <w:rFonts w:ascii="Times New Roman" w:hAnsi="Times New Roman" w:cs="Times New Roman"/>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Orientador (a): </w:t>
      </w:r>
      <w:r w:rsidR="00A638E1">
        <w:rPr>
          <w:rFonts w:ascii="Times New Roman" w:hAnsi="Times New Roman" w:cs="Times New Roman"/>
          <w:sz w:val="20"/>
          <w:szCs w:val="20"/>
        </w:rPr>
        <w:t>Anderson</w:t>
      </w:r>
      <w:r w:rsidR="00772DCB">
        <w:rPr>
          <w:rFonts w:ascii="Times New Roman" w:hAnsi="Times New Roman" w:cs="Times New Roman"/>
          <w:sz w:val="20"/>
          <w:szCs w:val="20"/>
        </w:rPr>
        <w:t xml:space="preserve"> araujo </w:t>
      </w:r>
    </w:p>
    <w:p w:rsidR="00A638E1" w:rsidRDefault="00A638E1" w:rsidP="007639B4">
      <w:pPr>
        <w:spacing w:line="360" w:lineRule="auto"/>
        <w:jc w:val="left"/>
        <w:rPr>
          <w:rFonts w:ascii="Times New Roman" w:hAnsi="Times New Roman" w:cs="Times New Roman"/>
          <w:sz w:val="20"/>
          <w:szCs w:val="20"/>
        </w:rPr>
      </w:pPr>
    </w:p>
    <w:p w:rsidR="00A638E1" w:rsidRDefault="00A638E1" w:rsidP="007639B4">
      <w:pPr>
        <w:spacing w:line="360" w:lineRule="auto"/>
        <w:jc w:val="left"/>
        <w:rPr>
          <w:rFonts w:ascii="Times New Roman" w:hAnsi="Times New Roman" w:cs="Times New Roman"/>
          <w:sz w:val="20"/>
          <w:szCs w:val="20"/>
        </w:rPr>
      </w:pPr>
    </w:p>
    <w:p w:rsidR="007639B4" w:rsidRDefault="007639B4" w:rsidP="007639B4">
      <w:pPr>
        <w:spacing w:line="360" w:lineRule="auto"/>
        <w:jc w:val="left"/>
        <w:rPr>
          <w:rFonts w:ascii="Times New Roman" w:hAnsi="Times New Roman" w:cs="Times New Roman"/>
          <w:sz w:val="20"/>
          <w:szCs w:val="20"/>
        </w:rPr>
      </w:pPr>
    </w:p>
    <w:p w:rsidR="007639B4" w:rsidRDefault="007639B4" w:rsidP="007639B4">
      <w:pPr>
        <w:spacing w:line="360" w:lineRule="auto"/>
        <w:rPr>
          <w:rFonts w:ascii="Times New Roman" w:hAnsi="Times New Roman" w:cs="Times New Roman"/>
          <w:b/>
          <w:sz w:val="20"/>
          <w:szCs w:val="20"/>
        </w:rPr>
      </w:pPr>
    </w:p>
    <w:p w:rsidR="007639B4" w:rsidRDefault="007639B4" w:rsidP="007639B4">
      <w:pPr>
        <w:spacing w:line="360" w:lineRule="auto"/>
        <w:rPr>
          <w:rFonts w:ascii="Times New Roman" w:hAnsi="Times New Roman" w:cs="Times New Roman"/>
          <w:b/>
          <w:sz w:val="20"/>
          <w:szCs w:val="20"/>
        </w:rPr>
      </w:pPr>
    </w:p>
    <w:p w:rsidR="007639B4" w:rsidRDefault="007639B4" w:rsidP="007639B4">
      <w:pPr>
        <w:spacing w:line="360" w:lineRule="auto"/>
        <w:rPr>
          <w:rFonts w:ascii="Times New Roman" w:hAnsi="Times New Roman" w:cs="Times New Roman"/>
          <w:sz w:val="28"/>
          <w:szCs w:val="28"/>
        </w:rPr>
      </w:pPr>
    </w:p>
    <w:p w:rsidR="007639B4" w:rsidRDefault="007639B4" w:rsidP="007639B4">
      <w:pPr>
        <w:spacing w:line="360" w:lineRule="auto"/>
        <w:rPr>
          <w:rFonts w:ascii="Times New Roman" w:hAnsi="Times New Roman" w:cs="Times New Roman"/>
          <w:sz w:val="28"/>
          <w:szCs w:val="28"/>
        </w:rPr>
      </w:pPr>
    </w:p>
    <w:p w:rsidR="00772DCB" w:rsidRDefault="00772DCB" w:rsidP="007639B4">
      <w:pPr>
        <w:spacing w:line="360" w:lineRule="auto"/>
        <w:rPr>
          <w:rFonts w:ascii="Times New Roman" w:hAnsi="Times New Roman" w:cs="Times New Roman"/>
          <w:sz w:val="28"/>
          <w:szCs w:val="28"/>
        </w:rPr>
      </w:pPr>
    </w:p>
    <w:p w:rsidR="00772DCB" w:rsidRDefault="007639B4" w:rsidP="00FA16BD">
      <w:pPr>
        <w:spacing w:line="360" w:lineRule="auto"/>
        <w:rPr>
          <w:rFonts w:ascii="Times New Roman" w:hAnsi="Times New Roman" w:cs="Times New Roman"/>
          <w:sz w:val="24"/>
          <w:szCs w:val="24"/>
        </w:rPr>
      </w:pPr>
      <w:r w:rsidRPr="00A638E1">
        <w:rPr>
          <w:rFonts w:ascii="Times New Roman" w:hAnsi="Times New Roman" w:cs="Times New Roman"/>
          <w:sz w:val="24"/>
          <w:szCs w:val="24"/>
        </w:rPr>
        <w:t>Manaus-AM</w:t>
      </w:r>
    </w:p>
    <w:p w:rsidR="00F0397C" w:rsidRPr="00FA16BD" w:rsidRDefault="0074432B" w:rsidP="00FA16BD">
      <w:pPr>
        <w:spacing w:line="360" w:lineRule="auto"/>
        <w:rPr>
          <w:rFonts w:ascii="Times New Roman" w:hAnsi="Times New Roman" w:cs="Times New Roman"/>
          <w:sz w:val="24"/>
          <w:szCs w:val="24"/>
          <w:lang w:val="en-US"/>
        </w:rPr>
      </w:pPr>
      <w:r w:rsidRPr="0074432B">
        <w:rPr>
          <w:rFonts w:ascii="Times New Roman" w:hAnsi="Times New Roman" w:cs="Times New Roman"/>
          <w:sz w:val="24"/>
          <w:szCs w:val="24"/>
          <w:lang w:val="en-US"/>
        </w:rPr>
        <w:t>2015</w:t>
      </w:r>
    </w:p>
    <w:tbl>
      <w:tblPr>
        <w:tblW w:w="9211" w:type="dxa"/>
        <w:tblLayout w:type="fixed"/>
        <w:tblLook w:val="01E0" w:firstRow="1" w:lastRow="1" w:firstColumn="1" w:lastColumn="1" w:noHBand="0" w:noVBand="0"/>
      </w:tblPr>
      <w:tblGrid>
        <w:gridCol w:w="8748"/>
        <w:gridCol w:w="463"/>
      </w:tblGrid>
      <w:tr w:rsidR="007639B4" w:rsidRPr="00750A8A" w:rsidTr="0074432B">
        <w:tc>
          <w:tcPr>
            <w:tcW w:w="8748" w:type="dxa"/>
          </w:tcPr>
          <w:p w:rsidR="0074432B" w:rsidRDefault="00686398" w:rsidP="00686398">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SUMÁRIO</w:t>
            </w:r>
          </w:p>
          <w:p w:rsidR="00686398" w:rsidRDefault="00686398" w:rsidP="00686398">
            <w:pPr>
              <w:spacing w:line="360" w:lineRule="auto"/>
              <w:rPr>
                <w:rFonts w:ascii="Times New Roman" w:hAnsi="Times New Roman" w:cs="Times New Roman"/>
                <w:b/>
                <w:sz w:val="24"/>
                <w:szCs w:val="24"/>
              </w:rPr>
            </w:pPr>
          </w:p>
          <w:p w:rsidR="007639B4" w:rsidRDefault="00686398" w:rsidP="007639B4">
            <w:pPr>
              <w:spacing w:line="360" w:lineRule="auto"/>
              <w:jc w:val="left"/>
              <w:rPr>
                <w:rFonts w:ascii="Times New Roman" w:hAnsi="Times New Roman" w:cs="Times New Roman"/>
                <w:sz w:val="24"/>
                <w:szCs w:val="24"/>
              </w:rPr>
            </w:pPr>
            <w:r>
              <w:rPr>
                <w:rFonts w:ascii="Times New Roman" w:hAnsi="Times New Roman" w:cs="Times New Roman"/>
                <w:b/>
                <w:sz w:val="24"/>
                <w:szCs w:val="24"/>
              </w:rPr>
              <w:t>1</w:t>
            </w:r>
            <w:r w:rsidR="0074432B">
              <w:rPr>
                <w:rFonts w:ascii="Times New Roman" w:hAnsi="Times New Roman" w:cs="Times New Roman"/>
                <w:b/>
                <w:sz w:val="24"/>
                <w:szCs w:val="24"/>
              </w:rPr>
              <w:t xml:space="preserve">    </w:t>
            </w:r>
            <w:r w:rsidR="00456565">
              <w:rPr>
                <w:rFonts w:ascii="Times New Roman" w:hAnsi="Times New Roman" w:cs="Times New Roman"/>
                <w:b/>
                <w:sz w:val="24"/>
                <w:szCs w:val="24"/>
              </w:rPr>
              <w:t xml:space="preserve"> </w:t>
            </w:r>
            <w:r>
              <w:rPr>
                <w:rFonts w:ascii="Times New Roman" w:hAnsi="Times New Roman" w:cs="Times New Roman"/>
                <w:b/>
                <w:sz w:val="24"/>
                <w:szCs w:val="24"/>
              </w:rPr>
              <w:t>INTRODUÇÃO</w:t>
            </w:r>
            <w:r>
              <w:rPr>
                <w:rFonts w:ascii="Times New Roman" w:hAnsi="Times New Roman" w:cs="Times New Roman"/>
                <w:sz w:val="24"/>
                <w:szCs w:val="24"/>
              </w:rPr>
              <w:t>........</w:t>
            </w:r>
            <w:r w:rsidR="007639B4">
              <w:rPr>
                <w:rFonts w:ascii="Times New Roman" w:hAnsi="Times New Roman" w:cs="Times New Roman"/>
                <w:sz w:val="24"/>
                <w:szCs w:val="24"/>
              </w:rPr>
              <w:t>...............................................................</w:t>
            </w:r>
            <w:r w:rsidR="003E5E34">
              <w:rPr>
                <w:rFonts w:ascii="Times New Roman" w:hAnsi="Times New Roman" w:cs="Times New Roman"/>
                <w:sz w:val="24"/>
                <w:szCs w:val="24"/>
              </w:rPr>
              <w:t>..........................</w:t>
            </w:r>
            <w:r>
              <w:rPr>
                <w:rFonts w:ascii="Times New Roman" w:hAnsi="Times New Roman" w:cs="Times New Roman"/>
                <w:sz w:val="24"/>
                <w:szCs w:val="24"/>
              </w:rPr>
              <w:t>..</w:t>
            </w:r>
            <w:r w:rsidR="00E668CE">
              <w:rPr>
                <w:rFonts w:ascii="Times New Roman" w:hAnsi="Times New Roman" w:cs="Times New Roman"/>
                <w:sz w:val="24"/>
                <w:szCs w:val="24"/>
              </w:rPr>
              <w:t>.</w:t>
            </w:r>
            <w:r w:rsidR="003E5E34">
              <w:rPr>
                <w:rFonts w:ascii="Times New Roman" w:hAnsi="Times New Roman" w:cs="Times New Roman"/>
                <w:sz w:val="24"/>
                <w:szCs w:val="24"/>
              </w:rPr>
              <w:t>.....</w:t>
            </w:r>
            <w:r w:rsidR="0046105A">
              <w:rPr>
                <w:rFonts w:ascii="Times New Roman" w:hAnsi="Times New Roman" w:cs="Times New Roman"/>
                <w:sz w:val="24"/>
                <w:szCs w:val="24"/>
              </w:rPr>
              <w:t>4</w:t>
            </w:r>
          </w:p>
          <w:p w:rsidR="007639B4" w:rsidRDefault="007639B4" w:rsidP="007639B4">
            <w:pPr>
              <w:spacing w:line="360" w:lineRule="auto"/>
              <w:jc w:val="left"/>
              <w:rPr>
                <w:rFonts w:ascii="Times New Roman" w:hAnsi="Times New Roman" w:cs="Times New Roman"/>
                <w:sz w:val="24"/>
                <w:szCs w:val="24"/>
              </w:rPr>
            </w:pPr>
            <w:r>
              <w:rPr>
                <w:rFonts w:ascii="Times New Roman" w:hAnsi="Times New Roman" w:cs="Times New Roman"/>
                <w:b/>
                <w:sz w:val="24"/>
                <w:szCs w:val="24"/>
              </w:rPr>
              <w:t xml:space="preserve">2    </w:t>
            </w:r>
            <w:r w:rsidR="00456565">
              <w:rPr>
                <w:rFonts w:ascii="Times New Roman" w:hAnsi="Times New Roman" w:cs="Times New Roman"/>
                <w:b/>
                <w:sz w:val="24"/>
                <w:szCs w:val="24"/>
              </w:rPr>
              <w:t xml:space="preserve"> </w:t>
            </w:r>
            <w:r w:rsidR="00686398" w:rsidRPr="007F58A2">
              <w:rPr>
                <w:rFonts w:ascii="Times New Roman" w:hAnsi="Times New Roman" w:cs="Times New Roman"/>
                <w:b/>
                <w:bCs/>
                <w:sz w:val="24"/>
                <w:szCs w:val="24"/>
              </w:rPr>
              <w:t>PREVISÃO LEGAL DOS JUROS DE MORA</w:t>
            </w:r>
            <w:r>
              <w:rPr>
                <w:rFonts w:ascii="Times New Roman" w:hAnsi="Times New Roman" w:cs="Times New Roman"/>
                <w:sz w:val="24"/>
                <w:szCs w:val="24"/>
              </w:rPr>
              <w:t>......</w:t>
            </w:r>
            <w:r w:rsidR="00686398">
              <w:rPr>
                <w:rFonts w:ascii="Times New Roman" w:hAnsi="Times New Roman" w:cs="Times New Roman"/>
                <w:sz w:val="24"/>
                <w:szCs w:val="24"/>
              </w:rPr>
              <w:t>.....</w:t>
            </w:r>
            <w:r>
              <w:rPr>
                <w:rFonts w:ascii="Times New Roman" w:hAnsi="Times New Roman" w:cs="Times New Roman"/>
                <w:sz w:val="24"/>
                <w:szCs w:val="24"/>
              </w:rPr>
              <w:t>....</w:t>
            </w:r>
            <w:r w:rsidR="00686398">
              <w:rPr>
                <w:rFonts w:ascii="Times New Roman" w:hAnsi="Times New Roman" w:cs="Times New Roman"/>
                <w:sz w:val="24"/>
                <w:szCs w:val="24"/>
              </w:rPr>
              <w:t>.</w:t>
            </w:r>
            <w:r>
              <w:rPr>
                <w:rFonts w:ascii="Times New Roman" w:hAnsi="Times New Roman" w:cs="Times New Roman"/>
                <w:sz w:val="24"/>
                <w:szCs w:val="24"/>
              </w:rPr>
              <w:t>.....</w:t>
            </w:r>
            <w:r w:rsidR="0046105A">
              <w:rPr>
                <w:rFonts w:ascii="Times New Roman" w:hAnsi="Times New Roman" w:cs="Times New Roman"/>
                <w:sz w:val="24"/>
                <w:szCs w:val="24"/>
              </w:rPr>
              <w:t>...........................</w:t>
            </w:r>
            <w:r w:rsidR="00686398">
              <w:rPr>
                <w:rFonts w:ascii="Times New Roman" w:hAnsi="Times New Roman" w:cs="Times New Roman"/>
                <w:sz w:val="24"/>
                <w:szCs w:val="24"/>
              </w:rPr>
              <w:t>..</w:t>
            </w:r>
            <w:r w:rsidR="0046105A">
              <w:rPr>
                <w:rFonts w:ascii="Times New Roman" w:hAnsi="Times New Roman" w:cs="Times New Roman"/>
                <w:sz w:val="24"/>
                <w:szCs w:val="24"/>
              </w:rPr>
              <w:t>..</w:t>
            </w:r>
            <w:r>
              <w:rPr>
                <w:rFonts w:ascii="Times New Roman" w:hAnsi="Times New Roman" w:cs="Times New Roman"/>
                <w:sz w:val="24"/>
                <w:szCs w:val="24"/>
              </w:rPr>
              <w:t xml:space="preserve"> </w:t>
            </w:r>
            <w:r w:rsidR="00F73605">
              <w:rPr>
                <w:rFonts w:ascii="Times New Roman" w:hAnsi="Times New Roman" w:cs="Times New Roman"/>
                <w:sz w:val="24"/>
                <w:szCs w:val="24"/>
              </w:rPr>
              <w:t>5</w:t>
            </w:r>
          </w:p>
          <w:p w:rsidR="00686398" w:rsidRDefault="00DA69E5" w:rsidP="007639B4">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686398">
              <w:rPr>
                <w:rFonts w:ascii="Times New Roman" w:hAnsi="Times New Roman" w:cs="Times New Roman"/>
                <w:sz w:val="24"/>
                <w:szCs w:val="24"/>
              </w:rPr>
              <w:t xml:space="preserve">2.1   </w:t>
            </w:r>
            <w:r w:rsidR="00686398" w:rsidRPr="008D773B">
              <w:rPr>
                <w:rFonts w:ascii="Times New Roman" w:hAnsi="Times New Roman" w:cs="Times New Roman"/>
                <w:sz w:val="24"/>
                <w:szCs w:val="24"/>
              </w:rPr>
              <w:t>EVOLUÇÃO NORMATIVA DOS JUROS DE MORA LEGAIS NO</w:t>
            </w:r>
            <w:r>
              <w:rPr>
                <w:rFonts w:ascii="Times New Roman" w:hAnsi="Times New Roman" w:cs="Times New Roman"/>
                <w:sz w:val="24"/>
                <w:szCs w:val="24"/>
              </w:rPr>
              <w:t xml:space="preserve"> </w:t>
            </w:r>
            <w:r w:rsidR="00686398" w:rsidRPr="008D773B">
              <w:rPr>
                <w:rFonts w:ascii="Times New Roman" w:hAnsi="Times New Roman" w:cs="Times New Roman"/>
                <w:sz w:val="24"/>
                <w:szCs w:val="24"/>
              </w:rPr>
              <w:t xml:space="preserve">DIREITO </w:t>
            </w:r>
            <w:r>
              <w:rPr>
                <w:rFonts w:ascii="Times New Roman" w:hAnsi="Times New Roman" w:cs="Times New Roman"/>
                <w:sz w:val="24"/>
                <w:szCs w:val="24"/>
              </w:rPr>
              <w:t xml:space="preserve"> </w:t>
            </w:r>
            <w:r w:rsidR="00686398" w:rsidRPr="008D773B">
              <w:rPr>
                <w:rFonts w:ascii="Times New Roman" w:hAnsi="Times New Roman" w:cs="Times New Roman"/>
                <w:sz w:val="24"/>
                <w:szCs w:val="24"/>
              </w:rPr>
              <w:t>BRASILEIRO</w:t>
            </w:r>
            <w:r w:rsidR="00686398">
              <w:rPr>
                <w:rFonts w:ascii="Times New Roman" w:hAnsi="Times New Roman" w:cs="Times New Roman"/>
                <w:sz w:val="24"/>
                <w:szCs w:val="24"/>
              </w:rPr>
              <w:t>....</w:t>
            </w:r>
            <w:r>
              <w:rPr>
                <w:rFonts w:ascii="Times New Roman" w:hAnsi="Times New Roman" w:cs="Times New Roman"/>
                <w:sz w:val="24"/>
                <w:szCs w:val="24"/>
              </w:rPr>
              <w:t>...................</w:t>
            </w:r>
            <w:r w:rsidR="00686398">
              <w:rPr>
                <w:rFonts w:ascii="Times New Roman" w:hAnsi="Times New Roman" w:cs="Times New Roman"/>
                <w:sz w:val="24"/>
                <w:szCs w:val="24"/>
              </w:rPr>
              <w:t>...........................................................................5</w:t>
            </w:r>
          </w:p>
          <w:p w:rsidR="007639B4" w:rsidRDefault="007639B4" w:rsidP="004D1F35">
            <w:pPr>
              <w:tabs>
                <w:tab w:val="left" w:pos="426"/>
              </w:tabs>
              <w:spacing w:line="360" w:lineRule="auto"/>
              <w:jc w:val="left"/>
              <w:rPr>
                <w:rFonts w:ascii="Times New Roman" w:hAnsi="Times New Roman" w:cs="Times New Roman"/>
                <w:sz w:val="24"/>
                <w:szCs w:val="24"/>
              </w:rPr>
            </w:pPr>
            <w:r>
              <w:rPr>
                <w:rFonts w:ascii="Times New Roman" w:hAnsi="Times New Roman" w:cs="Times New Roman"/>
                <w:b/>
                <w:sz w:val="24"/>
                <w:szCs w:val="24"/>
              </w:rPr>
              <w:t xml:space="preserve">3    </w:t>
            </w:r>
            <w:r w:rsidR="00456565">
              <w:rPr>
                <w:rFonts w:ascii="Times New Roman" w:hAnsi="Times New Roman" w:cs="Times New Roman"/>
                <w:b/>
                <w:sz w:val="24"/>
                <w:szCs w:val="24"/>
              </w:rPr>
              <w:t xml:space="preserve"> </w:t>
            </w:r>
            <w:r w:rsidR="004D1F35" w:rsidRPr="00750FAA">
              <w:rPr>
                <w:rFonts w:ascii="Times New Roman" w:hAnsi="Times New Roman" w:cs="Times New Roman"/>
                <w:b/>
                <w:bCs/>
                <w:sz w:val="24"/>
                <w:szCs w:val="24"/>
              </w:rPr>
              <w:t>A JURISPRUDÊNCIA DO STJ E O ARTIGO 406 DO CC/02</w:t>
            </w:r>
            <w:r w:rsidR="00456565">
              <w:rPr>
                <w:rFonts w:ascii="Times New Roman" w:hAnsi="Times New Roman" w:cs="Times New Roman"/>
                <w:sz w:val="24"/>
                <w:szCs w:val="24"/>
              </w:rPr>
              <w:t>...........</w:t>
            </w:r>
            <w:r w:rsidR="0046105A">
              <w:rPr>
                <w:rFonts w:ascii="Times New Roman" w:hAnsi="Times New Roman" w:cs="Times New Roman"/>
                <w:sz w:val="24"/>
                <w:szCs w:val="24"/>
              </w:rPr>
              <w:t>............</w:t>
            </w:r>
            <w:r>
              <w:rPr>
                <w:rFonts w:ascii="Times New Roman" w:hAnsi="Times New Roman" w:cs="Times New Roman"/>
                <w:sz w:val="24"/>
                <w:szCs w:val="24"/>
              </w:rPr>
              <w:t xml:space="preserve">. </w:t>
            </w:r>
            <w:r w:rsidR="0046105A">
              <w:rPr>
                <w:rFonts w:ascii="Times New Roman" w:hAnsi="Times New Roman" w:cs="Times New Roman"/>
                <w:sz w:val="24"/>
                <w:szCs w:val="24"/>
              </w:rPr>
              <w:t>1</w:t>
            </w:r>
            <w:r w:rsidR="004D1F35">
              <w:rPr>
                <w:rFonts w:ascii="Times New Roman" w:hAnsi="Times New Roman" w:cs="Times New Roman"/>
                <w:sz w:val="24"/>
                <w:szCs w:val="24"/>
              </w:rPr>
              <w:t>1</w:t>
            </w:r>
          </w:p>
          <w:p w:rsidR="007639B4" w:rsidRDefault="007639B4" w:rsidP="007639B4">
            <w:pPr>
              <w:spacing w:line="360" w:lineRule="auto"/>
              <w:jc w:val="left"/>
              <w:rPr>
                <w:rFonts w:ascii="Times New Roman" w:hAnsi="Times New Roman" w:cs="Times New Roman"/>
                <w:sz w:val="24"/>
                <w:szCs w:val="24"/>
              </w:rPr>
            </w:pPr>
            <w:r w:rsidRPr="00B47F08">
              <w:rPr>
                <w:rFonts w:ascii="Times New Roman" w:hAnsi="Times New Roman" w:cs="Times New Roman"/>
                <w:b/>
                <w:sz w:val="24"/>
                <w:szCs w:val="24"/>
              </w:rPr>
              <w:t>4</w:t>
            </w:r>
            <w:r>
              <w:rPr>
                <w:rFonts w:ascii="Times New Roman" w:hAnsi="Times New Roman" w:cs="Times New Roman"/>
                <w:b/>
                <w:sz w:val="24"/>
                <w:szCs w:val="24"/>
              </w:rPr>
              <w:t xml:space="preserve">    </w:t>
            </w:r>
            <w:r w:rsidR="00456565">
              <w:rPr>
                <w:rFonts w:ascii="Times New Roman" w:hAnsi="Times New Roman" w:cs="Times New Roman"/>
                <w:b/>
                <w:sz w:val="24"/>
                <w:szCs w:val="24"/>
              </w:rPr>
              <w:t xml:space="preserve"> </w:t>
            </w:r>
            <w:r w:rsidR="00A227E9" w:rsidRPr="00750FAA">
              <w:rPr>
                <w:rFonts w:ascii="Times New Roman" w:hAnsi="Times New Roman" w:cs="Times New Roman"/>
                <w:b/>
                <w:bCs/>
                <w:sz w:val="24"/>
                <w:szCs w:val="24"/>
              </w:rPr>
              <w:t>ANÁLISE CRÍTICA DA TAXA SELIC</w:t>
            </w:r>
            <w:r>
              <w:rPr>
                <w:rFonts w:ascii="Times New Roman" w:hAnsi="Times New Roman" w:cs="Times New Roman"/>
                <w:sz w:val="24"/>
                <w:szCs w:val="24"/>
              </w:rPr>
              <w:t>...</w:t>
            </w:r>
            <w:r w:rsidR="00A227E9">
              <w:rPr>
                <w:rFonts w:ascii="Times New Roman" w:hAnsi="Times New Roman" w:cs="Times New Roman"/>
                <w:sz w:val="24"/>
                <w:szCs w:val="24"/>
              </w:rPr>
              <w:t>.</w:t>
            </w:r>
            <w:r>
              <w:rPr>
                <w:rFonts w:ascii="Times New Roman" w:hAnsi="Times New Roman" w:cs="Times New Roman"/>
                <w:sz w:val="24"/>
                <w:szCs w:val="24"/>
              </w:rPr>
              <w:t>............................</w:t>
            </w:r>
            <w:r w:rsidR="00456565">
              <w:rPr>
                <w:rFonts w:ascii="Times New Roman" w:hAnsi="Times New Roman" w:cs="Times New Roman"/>
                <w:sz w:val="24"/>
                <w:szCs w:val="24"/>
              </w:rPr>
              <w:t>................</w:t>
            </w:r>
            <w:r w:rsidR="00B20184">
              <w:rPr>
                <w:rFonts w:ascii="Times New Roman" w:hAnsi="Times New Roman" w:cs="Times New Roman"/>
                <w:sz w:val="24"/>
                <w:szCs w:val="24"/>
              </w:rPr>
              <w:t>.............</w:t>
            </w:r>
            <w:r w:rsidR="00002732">
              <w:rPr>
                <w:rFonts w:ascii="Times New Roman" w:hAnsi="Times New Roman" w:cs="Times New Roman"/>
                <w:sz w:val="24"/>
                <w:szCs w:val="24"/>
              </w:rPr>
              <w:t>.</w:t>
            </w:r>
            <w:r w:rsidR="00B20184">
              <w:rPr>
                <w:rFonts w:ascii="Times New Roman" w:hAnsi="Times New Roman" w:cs="Times New Roman"/>
                <w:sz w:val="24"/>
                <w:szCs w:val="24"/>
              </w:rPr>
              <w:t>1</w:t>
            </w:r>
            <w:r w:rsidR="00DF3C26">
              <w:rPr>
                <w:rFonts w:ascii="Times New Roman" w:hAnsi="Times New Roman" w:cs="Times New Roman"/>
                <w:sz w:val="24"/>
                <w:szCs w:val="24"/>
              </w:rPr>
              <w:t>2</w:t>
            </w:r>
          </w:p>
          <w:p w:rsidR="00CD4D77" w:rsidRDefault="00DA69E5" w:rsidP="007639B4">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CD4D77">
              <w:rPr>
                <w:rFonts w:ascii="Times New Roman" w:hAnsi="Times New Roman" w:cs="Times New Roman"/>
                <w:sz w:val="24"/>
                <w:szCs w:val="24"/>
              </w:rPr>
              <w:t>4.1</w:t>
            </w:r>
            <w:r w:rsidR="00456565">
              <w:rPr>
                <w:rFonts w:ascii="Times New Roman" w:hAnsi="Times New Roman" w:cs="Times New Roman"/>
                <w:sz w:val="24"/>
                <w:szCs w:val="24"/>
              </w:rPr>
              <w:t xml:space="preserve"> </w:t>
            </w:r>
            <w:r w:rsidR="00CD4D77">
              <w:rPr>
                <w:rFonts w:ascii="Times New Roman" w:hAnsi="Times New Roman" w:cs="Times New Roman"/>
                <w:sz w:val="24"/>
                <w:szCs w:val="24"/>
              </w:rPr>
              <w:t xml:space="preserve"> </w:t>
            </w:r>
            <w:r w:rsidR="00CD4D77" w:rsidRPr="00750FAA">
              <w:rPr>
                <w:rFonts w:ascii="Times New Roman" w:hAnsi="Times New Roman" w:cs="Times New Roman"/>
                <w:sz w:val="24"/>
                <w:szCs w:val="24"/>
              </w:rPr>
              <w:t>A TAXA SELIC</w:t>
            </w:r>
            <w:r w:rsidR="00456565">
              <w:rPr>
                <w:rFonts w:ascii="Times New Roman" w:hAnsi="Times New Roman" w:cs="Times New Roman"/>
                <w:sz w:val="24"/>
                <w:szCs w:val="24"/>
              </w:rPr>
              <w:t>........</w:t>
            </w:r>
            <w:r w:rsidR="00CD4D77">
              <w:rPr>
                <w:rFonts w:ascii="Times New Roman" w:hAnsi="Times New Roman" w:cs="Times New Roman"/>
                <w:sz w:val="24"/>
                <w:szCs w:val="24"/>
              </w:rPr>
              <w:t>...................................................................</w:t>
            </w:r>
            <w:r>
              <w:rPr>
                <w:rFonts w:ascii="Times New Roman" w:hAnsi="Times New Roman" w:cs="Times New Roman"/>
                <w:sz w:val="24"/>
                <w:szCs w:val="24"/>
              </w:rPr>
              <w:t>.....</w:t>
            </w:r>
            <w:r w:rsidR="00CD4D77">
              <w:rPr>
                <w:rFonts w:ascii="Times New Roman" w:hAnsi="Times New Roman" w:cs="Times New Roman"/>
                <w:sz w:val="24"/>
                <w:szCs w:val="24"/>
              </w:rPr>
              <w:t>................ 12</w:t>
            </w:r>
          </w:p>
          <w:p w:rsidR="00834B5E" w:rsidRDefault="00DA69E5" w:rsidP="00834B5E">
            <w:pPr>
              <w:pStyle w:val="Default"/>
              <w:spacing w:line="360" w:lineRule="auto"/>
              <w:rPr>
                <w:rFonts w:ascii="Times New Roman" w:hAnsi="Times New Roman" w:cs="Times New Roman"/>
              </w:rPr>
            </w:pPr>
            <w:r>
              <w:rPr>
                <w:rFonts w:ascii="Times New Roman" w:hAnsi="Times New Roman" w:cs="Times New Roman"/>
              </w:rPr>
              <w:t xml:space="preserve">       </w:t>
            </w:r>
            <w:r w:rsidR="00456565">
              <w:rPr>
                <w:rFonts w:ascii="Times New Roman" w:hAnsi="Times New Roman" w:cs="Times New Roman"/>
              </w:rPr>
              <w:t>4.2</w:t>
            </w:r>
            <w:r w:rsidR="00456565" w:rsidRPr="00750FAA">
              <w:rPr>
                <w:rFonts w:ascii="Times New Roman" w:hAnsi="Times New Roman" w:cs="Times New Roman"/>
              </w:rPr>
              <w:t xml:space="preserve"> </w:t>
            </w:r>
            <w:r w:rsidR="00456565">
              <w:rPr>
                <w:rFonts w:ascii="Times New Roman" w:hAnsi="Times New Roman" w:cs="Times New Roman"/>
              </w:rPr>
              <w:t xml:space="preserve"> </w:t>
            </w:r>
            <w:r w:rsidR="00456565" w:rsidRPr="00750FAA">
              <w:rPr>
                <w:rFonts w:ascii="Times New Roman" w:hAnsi="Times New Roman" w:cs="Times New Roman"/>
              </w:rPr>
              <w:t>TAXA SELIC E INSEGURANÇA JURÍDICA</w:t>
            </w:r>
            <w:r w:rsidR="00456565">
              <w:rPr>
                <w:rFonts w:ascii="Times New Roman" w:hAnsi="Times New Roman" w:cs="Times New Roman"/>
              </w:rPr>
              <w:t>........</w:t>
            </w:r>
            <w:r>
              <w:rPr>
                <w:rFonts w:ascii="Times New Roman" w:hAnsi="Times New Roman" w:cs="Times New Roman"/>
              </w:rPr>
              <w:t>..................</w:t>
            </w:r>
            <w:r w:rsidR="00456565">
              <w:rPr>
                <w:rFonts w:ascii="Times New Roman" w:hAnsi="Times New Roman" w:cs="Times New Roman"/>
              </w:rPr>
              <w:t>..................... 14</w:t>
            </w:r>
          </w:p>
          <w:p w:rsidR="00DA69E5" w:rsidRDefault="00DA69E5" w:rsidP="00834B5E">
            <w:pPr>
              <w:pStyle w:val="Default"/>
              <w:spacing w:line="360" w:lineRule="auto"/>
              <w:rPr>
                <w:rFonts w:ascii="Times New Roman" w:hAnsi="Times New Roman" w:cs="Times New Roman"/>
              </w:rPr>
            </w:pPr>
            <w:r>
              <w:rPr>
                <w:rFonts w:ascii="Times New Roman" w:hAnsi="Times New Roman" w:cs="Times New Roman"/>
              </w:rPr>
              <w:t xml:space="preserve">       </w:t>
            </w:r>
            <w:r w:rsidR="00834B5E" w:rsidRPr="00750FAA">
              <w:rPr>
                <w:rFonts w:ascii="Times New Roman" w:hAnsi="Times New Roman" w:cs="Times New Roman"/>
              </w:rPr>
              <w:t>4.3. TAXA SELIC E CORREÇÃO MONETÁRIA</w:t>
            </w:r>
            <w:r w:rsidR="00834B5E">
              <w:rPr>
                <w:rFonts w:ascii="Times New Roman" w:hAnsi="Times New Roman" w:cs="Times New Roman"/>
              </w:rPr>
              <w:t>................................................ 15</w:t>
            </w:r>
          </w:p>
          <w:p w:rsidR="00DA69E5" w:rsidRDefault="00DA69E5" w:rsidP="00DA69E5">
            <w:pPr>
              <w:pStyle w:val="Default"/>
              <w:spacing w:line="360" w:lineRule="auto"/>
              <w:jc w:val="both"/>
              <w:rPr>
                <w:rFonts w:ascii="Times New Roman" w:hAnsi="Times New Roman" w:cs="Times New Roman"/>
              </w:rPr>
            </w:pPr>
            <w:r>
              <w:rPr>
                <w:rFonts w:ascii="Times New Roman" w:hAnsi="Times New Roman" w:cs="Times New Roman"/>
              </w:rPr>
              <w:t xml:space="preserve">       </w:t>
            </w:r>
            <w:r w:rsidRPr="00750FAA">
              <w:rPr>
                <w:rFonts w:ascii="Times New Roman" w:hAnsi="Times New Roman" w:cs="Times New Roman"/>
              </w:rPr>
              <w:t>4.3.1. INCOMPATIBILIDADE ENTRE A TAXA SELIC E A SISTEMÁTICA DA CORREÇÃO MONETÁRIA E DOS JUROS</w:t>
            </w:r>
            <w:r>
              <w:rPr>
                <w:rFonts w:ascii="Times New Roman" w:hAnsi="Times New Roman" w:cs="Times New Roman"/>
              </w:rPr>
              <w:t xml:space="preserve"> DE MORA............................................. 16</w:t>
            </w:r>
          </w:p>
          <w:p w:rsidR="007639B4" w:rsidRPr="00235F5D" w:rsidRDefault="00235F5D" w:rsidP="00762701">
            <w:pPr>
              <w:pStyle w:val="Default"/>
              <w:spacing w:line="360" w:lineRule="auto"/>
              <w:rPr>
                <w:rFonts w:ascii="Times New Roman" w:hAnsi="Times New Roman" w:cs="Times New Roman"/>
                <w:b/>
                <w:bCs/>
              </w:rPr>
            </w:pPr>
            <w:r>
              <w:rPr>
                <w:rFonts w:ascii="Times New Roman" w:hAnsi="Times New Roman" w:cs="Times New Roman"/>
                <w:b/>
              </w:rPr>
              <w:t xml:space="preserve">5     </w:t>
            </w:r>
            <w:r w:rsidRPr="00750FAA">
              <w:rPr>
                <w:rFonts w:ascii="Times New Roman" w:hAnsi="Times New Roman" w:cs="Times New Roman"/>
                <w:b/>
                <w:bCs/>
              </w:rPr>
              <w:t xml:space="preserve">SOLUÇÃO </w:t>
            </w:r>
            <w:r w:rsidR="00B20184" w:rsidRPr="006C76CC">
              <w:rPr>
                <w:rFonts w:ascii="Times New Roman" w:hAnsi="Times New Roman" w:cs="Times New Roman"/>
              </w:rPr>
              <w:t>.........</w:t>
            </w:r>
            <w:r>
              <w:rPr>
                <w:rFonts w:ascii="Times New Roman" w:hAnsi="Times New Roman" w:cs="Times New Roman"/>
              </w:rPr>
              <w:t>...............................................................................</w:t>
            </w:r>
            <w:r w:rsidR="00B20184" w:rsidRPr="006C76CC">
              <w:rPr>
                <w:rFonts w:ascii="Times New Roman" w:hAnsi="Times New Roman" w:cs="Times New Roman"/>
              </w:rPr>
              <w:t>....................</w:t>
            </w:r>
            <w:r w:rsidR="00002732">
              <w:rPr>
                <w:rFonts w:ascii="Times New Roman" w:hAnsi="Times New Roman" w:cs="Times New Roman"/>
              </w:rPr>
              <w:t>..</w:t>
            </w:r>
            <w:r w:rsidR="00B20184" w:rsidRPr="006C76CC">
              <w:rPr>
                <w:rFonts w:ascii="Times New Roman" w:hAnsi="Times New Roman" w:cs="Times New Roman"/>
              </w:rPr>
              <w:t>1</w:t>
            </w:r>
            <w:r w:rsidR="00F73605">
              <w:rPr>
                <w:rFonts w:ascii="Times New Roman" w:hAnsi="Times New Roman" w:cs="Times New Roman"/>
              </w:rPr>
              <w:t>8</w:t>
            </w:r>
          </w:p>
          <w:p w:rsidR="007639B4" w:rsidRPr="006C76CC" w:rsidRDefault="004910D7" w:rsidP="00762701">
            <w:pPr>
              <w:spacing w:line="360" w:lineRule="auto"/>
              <w:jc w:val="left"/>
              <w:rPr>
                <w:rFonts w:ascii="Times New Roman" w:hAnsi="Times New Roman" w:cs="Times New Roman"/>
                <w:sz w:val="24"/>
                <w:szCs w:val="24"/>
              </w:rPr>
            </w:pPr>
            <w:r>
              <w:rPr>
                <w:rFonts w:ascii="Times New Roman" w:hAnsi="Times New Roman" w:cs="Times New Roman"/>
                <w:b/>
                <w:sz w:val="24"/>
                <w:szCs w:val="24"/>
              </w:rPr>
              <w:t xml:space="preserve">6     </w:t>
            </w:r>
            <w:r w:rsidRPr="00750FAA">
              <w:rPr>
                <w:rFonts w:ascii="Times New Roman" w:hAnsi="Times New Roman" w:cs="Times New Roman"/>
                <w:b/>
                <w:bCs/>
                <w:sz w:val="24"/>
                <w:szCs w:val="24"/>
              </w:rPr>
              <w:t>CONCLUSÃO</w:t>
            </w:r>
            <w:r w:rsidR="00EB4A79" w:rsidRPr="006C76CC">
              <w:rPr>
                <w:rFonts w:ascii="Times New Roman" w:hAnsi="Times New Roman" w:cs="Times New Roman"/>
                <w:b/>
                <w:sz w:val="24"/>
                <w:szCs w:val="24"/>
              </w:rPr>
              <w:t xml:space="preserve"> </w:t>
            </w:r>
            <w:r w:rsidR="007639B4" w:rsidRPr="006C76CC">
              <w:rPr>
                <w:rFonts w:ascii="Times New Roman" w:hAnsi="Times New Roman" w:cs="Times New Roman"/>
                <w:sz w:val="24"/>
                <w:szCs w:val="24"/>
              </w:rPr>
              <w:t>............................................................</w:t>
            </w:r>
            <w:r>
              <w:rPr>
                <w:rFonts w:ascii="Times New Roman" w:hAnsi="Times New Roman" w:cs="Times New Roman"/>
                <w:sz w:val="24"/>
                <w:szCs w:val="24"/>
              </w:rPr>
              <w:t>...................................</w:t>
            </w:r>
            <w:r w:rsidR="007639B4" w:rsidRPr="006C76CC">
              <w:rPr>
                <w:rFonts w:ascii="Times New Roman" w:hAnsi="Times New Roman" w:cs="Times New Roman"/>
                <w:sz w:val="24"/>
                <w:szCs w:val="24"/>
              </w:rPr>
              <w:t xml:space="preserve">........ </w:t>
            </w:r>
            <w:r w:rsidR="00EB4A79" w:rsidRPr="006C76CC">
              <w:rPr>
                <w:rFonts w:ascii="Times New Roman" w:hAnsi="Times New Roman" w:cs="Times New Roman"/>
                <w:sz w:val="24"/>
                <w:szCs w:val="24"/>
              </w:rPr>
              <w:t>1</w:t>
            </w:r>
            <w:r>
              <w:rPr>
                <w:rFonts w:ascii="Times New Roman" w:hAnsi="Times New Roman" w:cs="Times New Roman"/>
                <w:sz w:val="24"/>
                <w:szCs w:val="24"/>
              </w:rPr>
              <w:t>9</w:t>
            </w:r>
          </w:p>
          <w:p w:rsidR="00EB4A79" w:rsidRDefault="00EB4A79" w:rsidP="00762701">
            <w:pPr>
              <w:spacing w:line="360" w:lineRule="auto"/>
              <w:jc w:val="left"/>
              <w:rPr>
                <w:rFonts w:ascii="Times New Roman" w:hAnsi="Times New Roman" w:cs="Times New Roman"/>
                <w:sz w:val="24"/>
                <w:szCs w:val="24"/>
              </w:rPr>
            </w:pPr>
            <w:r w:rsidRPr="006C76CC">
              <w:rPr>
                <w:rFonts w:ascii="Times New Roman" w:hAnsi="Times New Roman" w:cs="Times New Roman"/>
                <w:b/>
                <w:sz w:val="24"/>
                <w:szCs w:val="24"/>
              </w:rPr>
              <w:t>7</w:t>
            </w:r>
            <w:r w:rsidR="00AE4CB8">
              <w:rPr>
                <w:rFonts w:ascii="Times New Roman" w:hAnsi="Times New Roman" w:cs="Times New Roman"/>
                <w:sz w:val="24"/>
                <w:szCs w:val="24"/>
              </w:rPr>
              <w:t xml:space="preserve">     </w:t>
            </w:r>
            <w:r w:rsidR="00AE4CB8" w:rsidRPr="006C76CC">
              <w:rPr>
                <w:rFonts w:ascii="Times New Roman" w:hAnsi="Times New Roman" w:cs="Times New Roman"/>
                <w:b/>
                <w:sz w:val="24"/>
                <w:szCs w:val="24"/>
              </w:rPr>
              <w:t>REFERÊNCIAS BIBLIOGRÁFICAS</w:t>
            </w:r>
            <w:r w:rsidRPr="006C76CC">
              <w:rPr>
                <w:rFonts w:ascii="Times New Roman" w:hAnsi="Times New Roman" w:cs="Times New Roman"/>
                <w:sz w:val="24"/>
                <w:szCs w:val="24"/>
              </w:rPr>
              <w:t>.................</w:t>
            </w:r>
            <w:r w:rsidR="00AE4CB8">
              <w:rPr>
                <w:rFonts w:ascii="Times New Roman" w:hAnsi="Times New Roman" w:cs="Times New Roman"/>
                <w:sz w:val="24"/>
                <w:szCs w:val="24"/>
              </w:rPr>
              <w:t>..................</w:t>
            </w:r>
            <w:r w:rsidRPr="006C76CC">
              <w:rPr>
                <w:rFonts w:ascii="Times New Roman" w:hAnsi="Times New Roman" w:cs="Times New Roman"/>
                <w:sz w:val="24"/>
                <w:szCs w:val="24"/>
              </w:rPr>
              <w:t xml:space="preserve">.............................. </w:t>
            </w:r>
            <w:r w:rsidR="00AE4CB8">
              <w:rPr>
                <w:rFonts w:ascii="Times New Roman" w:hAnsi="Times New Roman" w:cs="Times New Roman"/>
                <w:sz w:val="24"/>
                <w:szCs w:val="24"/>
              </w:rPr>
              <w:t>21</w:t>
            </w:r>
          </w:p>
          <w:p w:rsidR="007639B4" w:rsidRPr="006C76CC" w:rsidRDefault="007639B4" w:rsidP="007639B4">
            <w:pPr>
              <w:spacing w:line="360" w:lineRule="auto"/>
              <w:jc w:val="left"/>
              <w:rPr>
                <w:rFonts w:ascii="Times New Roman" w:hAnsi="Times New Roman" w:cs="Times New Roman"/>
                <w:sz w:val="24"/>
                <w:szCs w:val="24"/>
              </w:rPr>
            </w:pPr>
            <w:r w:rsidRPr="006C76CC">
              <w:rPr>
                <w:rFonts w:ascii="Times New Roman" w:hAnsi="Times New Roman" w:cs="Times New Roman"/>
                <w:sz w:val="24"/>
                <w:szCs w:val="24"/>
              </w:rPr>
              <w:t xml:space="preserve">           </w:t>
            </w:r>
          </w:p>
          <w:p w:rsidR="007639B4" w:rsidRDefault="007639B4" w:rsidP="007639B4">
            <w:pPr>
              <w:spacing w:line="360" w:lineRule="auto"/>
              <w:jc w:val="left"/>
              <w:rPr>
                <w:rFonts w:ascii="Times New Roman" w:hAnsi="Times New Roman" w:cs="Times New Roman"/>
                <w:sz w:val="24"/>
                <w:szCs w:val="24"/>
              </w:rPr>
            </w:pPr>
          </w:p>
          <w:p w:rsidR="00234D4D" w:rsidRPr="00701689" w:rsidRDefault="00234D4D" w:rsidP="007639B4">
            <w:pPr>
              <w:spacing w:line="360" w:lineRule="auto"/>
              <w:jc w:val="left"/>
              <w:rPr>
                <w:rFonts w:ascii="Times New Roman" w:hAnsi="Times New Roman" w:cs="Times New Roman"/>
                <w:sz w:val="24"/>
                <w:szCs w:val="24"/>
              </w:rPr>
            </w:pPr>
          </w:p>
        </w:tc>
        <w:tc>
          <w:tcPr>
            <w:tcW w:w="463" w:type="dxa"/>
          </w:tcPr>
          <w:p w:rsidR="007639B4" w:rsidRPr="00750A8A" w:rsidRDefault="00686398" w:rsidP="007639B4">
            <w:pPr>
              <w:spacing w:line="360" w:lineRule="auto"/>
              <w:rPr>
                <w:rFonts w:ascii="Arial" w:hAnsi="Arial" w:cs="Arial"/>
              </w:rPr>
            </w:pPr>
            <w:r>
              <w:rPr>
                <w:rFonts w:ascii="Arial" w:hAnsi="Arial" w:cs="Arial"/>
              </w:rPr>
              <w:t xml:space="preserve"> </w:t>
            </w:r>
          </w:p>
        </w:tc>
      </w:tr>
    </w:tbl>
    <w:p w:rsidR="007639B4" w:rsidRDefault="007639B4" w:rsidP="007639B4">
      <w:pPr>
        <w:spacing w:line="360" w:lineRule="auto"/>
        <w:jc w:val="left"/>
        <w:rPr>
          <w:rFonts w:ascii="Times New Roman" w:hAnsi="Times New Roman" w:cs="Times New Roman"/>
          <w:b/>
          <w:sz w:val="24"/>
          <w:szCs w:val="24"/>
        </w:rPr>
      </w:pPr>
    </w:p>
    <w:p w:rsidR="00B001D0" w:rsidRDefault="00B001D0" w:rsidP="007639B4">
      <w:pPr>
        <w:spacing w:line="360" w:lineRule="auto"/>
        <w:jc w:val="left"/>
        <w:rPr>
          <w:rFonts w:ascii="Times New Roman" w:hAnsi="Times New Roman" w:cs="Times New Roman"/>
          <w:b/>
          <w:sz w:val="24"/>
          <w:szCs w:val="24"/>
        </w:rPr>
      </w:pPr>
    </w:p>
    <w:p w:rsidR="00E5621A" w:rsidRDefault="00E5621A" w:rsidP="00E5621A">
      <w:pPr>
        <w:rPr>
          <w:rFonts w:ascii="Times New Roman" w:hAnsi="Times New Roman" w:cs="Times New Roman"/>
          <w:b/>
          <w:sz w:val="24"/>
          <w:szCs w:val="24"/>
        </w:rPr>
      </w:pPr>
    </w:p>
    <w:p w:rsidR="00E5621A" w:rsidRDefault="00E5621A" w:rsidP="00E5621A">
      <w:pPr>
        <w:rPr>
          <w:rFonts w:ascii="Times New Roman" w:hAnsi="Times New Roman" w:cs="Times New Roman"/>
          <w:b/>
          <w:sz w:val="24"/>
          <w:szCs w:val="24"/>
        </w:rPr>
      </w:pPr>
    </w:p>
    <w:p w:rsidR="00E5621A" w:rsidRDefault="00E5621A" w:rsidP="00E5621A">
      <w:pPr>
        <w:rPr>
          <w:rFonts w:ascii="Times New Roman" w:hAnsi="Times New Roman" w:cs="Times New Roman"/>
          <w:b/>
          <w:sz w:val="24"/>
          <w:szCs w:val="24"/>
        </w:rPr>
      </w:pPr>
    </w:p>
    <w:p w:rsidR="00E5621A" w:rsidRDefault="00E5621A" w:rsidP="00E5621A">
      <w:pPr>
        <w:rPr>
          <w:rFonts w:ascii="Times New Roman" w:hAnsi="Times New Roman" w:cs="Times New Roman"/>
          <w:b/>
          <w:sz w:val="24"/>
          <w:szCs w:val="24"/>
        </w:rPr>
      </w:pPr>
    </w:p>
    <w:p w:rsidR="00E5621A" w:rsidRDefault="00E5621A" w:rsidP="00E5621A">
      <w:pPr>
        <w:rPr>
          <w:rFonts w:ascii="Times New Roman" w:hAnsi="Times New Roman" w:cs="Times New Roman"/>
          <w:b/>
          <w:sz w:val="24"/>
          <w:szCs w:val="24"/>
        </w:rPr>
      </w:pPr>
    </w:p>
    <w:p w:rsidR="00E5621A" w:rsidRDefault="00E5621A" w:rsidP="00E5621A">
      <w:pPr>
        <w:rPr>
          <w:rFonts w:ascii="Times New Roman" w:hAnsi="Times New Roman" w:cs="Times New Roman"/>
          <w:b/>
          <w:sz w:val="24"/>
          <w:szCs w:val="24"/>
        </w:rPr>
      </w:pPr>
    </w:p>
    <w:p w:rsidR="00EA64C3" w:rsidRDefault="00EA64C3" w:rsidP="00E5621A">
      <w:pPr>
        <w:rPr>
          <w:rFonts w:ascii="Times New Roman" w:hAnsi="Times New Roman" w:cs="Times New Roman"/>
          <w:b/>
          <w:sz w:val="24"/>
          <w:szCs w:val="24"/>
        </w:rPr>
      </w:pPr>
    </w:p>
    <w:p w:rsidR="00EA64C3" w:rsidRDefault="00EA64C3" w:rsidP="00E5621A">
      <w:pPr>
        <w:rPr>
          <w:rFonts w:ascii="Times New Roman" w:hAnsi="Times New Roman" w:cs="Times New Roman"/>
          <w:b/>
          <w:sz w:val="24"/>
          <w:szCs w:val="24"/>
        </w:rPr>
      </w:pPr>
    </w:p>
    <w:p w:rsidR="00EA64C3" w:rsidRDefault="00EA64C3" w:rsidP="00E5621A">
      <w:pPr>
        <w:rPr>
          <w:rFonts w:ascii="Times New Roman" w:hAnsi="Times New Roman" w:cs="Times New Roman"/>
          <w:b/>
          <w:sz w:val="24"/>
          <w:szCs w:val="24"/>
        </w:rPr>
      </w:pPr>
    </w:p>
    <w:p w:rsidR="00EA64C3" w:rsidRDefault="00EA64C3" w:rsidP="00E5621A">
      <w:pPr>
        <w:rPr>
          <w:rFonts w:ascii="Times New Roman" w:hAnsi="Times New Roman" w:cs="Times New Roman"/>
          <w:b/>
          <w:sz w:val="24"/>
          <w:szCs w:val="24"/>
        </w:rPr>
      </w:pPr>
    </w:p>
    <w:p w:rsidR="00EA64C3" w:rsidRDefault="00EA64C3" w:rsidP="00E5621A">
      <w:pPr>
        <w:rPr>
          <w:rFonts w:ascii="Times New Roman" w:hAnsi="Times New Roman" w:cs="Times New Roman"/>
          <w:b/>
          <w:sz w:val="24"/>
          <w:szCs w:val="24"/>
        </w:rPr>
      </w:pPr>
    </w:p>
    <w:p w:rsidR="00EA64C3" w:rsidRDefault="00EA64C3" w:rsidP="00E5621A">
      <w:pPr>
        <w:rPr>
          <w:rFonts w:ascii="Times New Roman" w:hAnsi="Times New Roman" w:cs="Times New Roman"/>
          <w:b/>
          <w:sz w:val="24"/>
          <w:szCs w:val="24"/>
        </w:rPr>
      </w:pPr>
    </w:p>
    <w:p w:rsidR="00CD4D77" w:rsidRDefault="00CD4D77" w:rsidP="00E5621A">
      <w:pPr>
        <w:rPr>
          <w:rFonts w:ascii="Times New Roman" w:hAnsi="Times New Roman" w:cs="Times New Roman"/>
          <w:b/>
          <w:sz w:val="24"/>
          <w:szCs w:val="24"/>
        </w:rPr>
      </w:pPr>
    </w:p>
    <w:p w:rsidR="00CD4D77" w:rsidRDefault="00CD4D77" w:rsidP="00E5621A">
      <w:pPr>
        <w:rPr>
          <w:rFonts w:ascii="Times New Roman" w:hAnsi="Times New Roman" w:cs="Times New Roman"/>
          <w:b/>
          <w:sz w:val="24"/>
          <w:szCs w:val="24"/>
        </w:rPr>
      </w:pPr>
    </w:p>
    <w:p w:rsidR="00CD4D77" w:rsidRDefault="00CD4D77" w:rsidP="00E5621A">
      <w:pPr>
        <w:rPr>
          <w:rFonts w:ascii="Times New Roman" w:hAnsi="Times New Roman" w:cs="Times New Roman"/>
          <w:b/>
          <w:sz w:val="24"/>
          <w:szCs w:val="24"/>
        </w:rPr>
      </w:pPr>
    </w:p>
    <w:p w:rsidR="00E5621A" w:rsidRDefault="00E5621A" w:rsidP="00E5621A">
      <w:pPr>
        <w:rPr>
          <w:rFonts w:ascii="Times New Roman" w:hAnsi="Times New Roman" w:cs="Times New Roman"/>
          <w:b/>
          <w:sz w:val="24"/>
          <w:szCs w:val="24"/>
        </w:rPr>
      </w:pPr>
    </w:p>
    <w:p w:rsidR="00945D66" w:rsidRPr="00B949F2" w:rsidRDefault="00945D66" w:rsidP="00E5621A">
      <w:pPr>
        <w:jc w:val="left"/>
        <w:rPr>
          <w:rFonts w:ascii="Times New Roman" w:hAnsi="Times New Roman" w:cs="Times New Roman"/>
          <w:b/>
          <w:color w:val="000000" w:themeColor="text1"/>
          <w:sz w:val="24"/>
          <w:szCs w:val="24"/>
          <w:shd w:val="clear" w:color="auto" w:fill="FFFFFF"/>
        </w:rPr>
      </w:pPr>
      <w:r w:rsidRPr="00B949F2">
        <w:rPr>
          <w:rFonts w:ascii="Times New Roman" w:hAnsi="Times New Roman" w:cs="Times New Roman"/>
          <w:b/>
          <w:color w:val="000000" w:themeColor="text1"/>
          <w:sz w:val="24"/>
          <w:szCs w:val="24"/>
          <w:shd w:val="clear" w:color="auto" w:fill="FFFFFF"/>
        </w:rPr>
        <w:lastRenderedPageBreak/>
        <w:t>1</w:t>
      </w:r>
      <w:r w:rsidR="007F58A2">
        <w:rPr>
          <w:rFonts w:ascii="Times New Roman" w:hAnsi="Times New Roman" w:cs="Times New Roman"/>
          <w:b/>
          <w:color w:val="000000" w:themeColor="text1"/>
          <w:sz w:val="24"/>
          <w:szCs w:val="24"/>
          <w:shd w:val="clear" w:color="auto" w:fill="FFFFFF"/>
        </w:rPr>
        <w:t>.</w:t>
      </w:r>
      <w:r w:rsidRPr="00B949F2">
        <w:rPr>
          <w:rFonts w:ascii="Times New Roman" w:hAnsi="Times New Roman" w:cs="Times New Roman"/>
          <w:b/>
          <w:color w:val="000000" w:themeColor="text1"/>
          <w:sz w:val="24"/>
          <w:szCs w:val="24"/>
          <w:shd w:val="clear" w:color="auto" w:fill="FFFFFF"/>
        </w:rPr>
        <w:t xml:space="preserve"> INTRODUÇÃO</w:t>
      </w:r>
    </w:p>
    <w:p w:rsidR="00945D66" w:rsidRDefault="00945D66" w:rsidP="00945D66">
      <w:pPr>
        <w:spacing w:line="360" w:lineRule="auto"/>
        <w:ind w:firstLine="708"/>
        <w:jc w:val="both"/>
        <w:rPr>
          <w:rFonts w:ascii="Times New Roman" w:hAnsi="Times New Roman" w:cs="Times New Roman"/>
          <w:color w:val="000000" w:themeColor="text1"/>
          <w:sz w:val="24"/>
          <w:szCs w:val="24"/>
          <w:shd w:val="clear" w:color="auto" w:fill="FFFFFF"/>
        </w:rPr>
      </w:pPr>
    </w:p>
    <w:p w:rsidR="00A42464" w:rsidRPr="00A42464" w:rsidRDefault="004D525A" w:rsidP="00A42464">
      <w:pPr>
        <w:pStyle w:val="Default"/>
        <w:spacing w:line="360" w:lineRule="auto"/>
        <w:jc w:val="both"/>
        <w:rPr>
          <w:rFonts w:ascii="Times New Roman" w:hAnsi="Times New Roman" w:cs="Times New Roman"/>
        </w:rPr>
      </w:pPr>
      <w:r>
        <w:rPr>
          <w:rFonts w:ascii="Times New Roman" w:eastAsia="Times New Roman" w:hAnsi="Times New Roman" w:cs="Times New Roman"/>
          <w:color w:val="000000" w:themeColor="text1"/>
          <w:lang w:eastAsia="pt-BR"/>
        </w:rPr>
        <w:tab/>
      </w:r>
      <w:r w:rsidR="00A42464" w:rsidRPr="00A42464">
        <w:rPr>
          <w:rFonts w:ascii="Times New Roman" w:hAnsi="Times New Roman" w:cs="Times New Roman"/>
        </w:rPr>
        <w:t xml:space="preserve">Conforme notícia veiculada no site do Superior Tribunal de Justiça (STJ) na data de 18/08/2013, com o título “Selic ou não Selic, eis a questão”3, o STJ afetou à sua Corte Especial, sob o regime jurídico dos recursos repetitivos (art. 543-C do Código de Processo Civil)4, o recurso especial n° 1.081.149 a fim de retomar a discussão a respeito da utilização da taxa SELIC como índice aplicável aos juros moratórios legais das dívidas civis. </w:t>
      </w:r>
    </w:p>
    <w:p w:rsidR="00A42464" w:rsidRPr="00A42464" w:rsidRDefault="00A42464" w:rsidP="007F58A2">
      <w:pPr>
        <w:pStyle w:val="Default"/>
        <w:spacing w:line="360" w:lineRule="auto"/>
        <w:ind w:firstLine="708"/>
        <w:jc w:val="both"/>
        <w:rPr>
          <w:rFonts w:ascii="Times New Roman" w:hAnsi="Times New Roman" w:cs="Times New Roman"/>
        </w:rPr>
      </w:pPr>
      <w:r w:rsidRPr="00A42464">
        <w:rPr>
          <w:rFonts w:ascii="Times New Roman" w:hAnsi="Times New Roman" w:cs="Times New Roman"/>
        </w:rPr>
        <w:t xml:space="preserve">Iniciado referido julgamento em 07/08/2013, e proferido voto pelo Relator, Min. </w:t>
      </w:r>
      <w:r w:rsidR="007F58A2" w:rsidRPr="00A42464">
        <w:rPr>
          <w:rFonts w:ascii="Times New Roman" w:hAnsi="Times New Roman" w:cs="Times New Roman"/>
        </w:rPr>
        <w:t>Luís</w:t>
      </w:r>
      <w:r w:rsidRPr="00A42464">
        <w:rPr>
          <w:rFonts w:ascii="Times New Roman" w:hAnsi="Times New Roman" w:cs="Times New Roman"/>
        </w:rPr>
        <w:t xml:space="preserve"> Felipe Salomão, em sentido contrário à aplicação da taxa SELIC para tal hipótese, o julgamento foi interrompido em razão de pedido de vista, encontrando-se os autos atualmente5 conclusos ao Min. João Otávio de Noronha. </w:t>
      </w:r>
    </w:p>
    <w:p w:rsidR="00A42464" w:rsidRPr="00A42464" w:rsidRDefault="00A42464" w:rsidP="007F58A2">
      <w:pPr>
        <w:pStyle w:val="Default"/>
        <w:spacing w:line="360" w:lineRule="auto"/>
        <w:ind w:firstLine="708"/>
        <w:jc w:val="both"/>
        <w:rPr>
          <w:rFonts w:ascii="Times New Roman" w:hAnsi="Times New Roman" w:cs="Times New Roman"/>
        </w:rPr>
      </w:pPr>
      <w:r w:rsidRPr="00A42464">
        <w:rPr>
          <w:rFonts w:ascii="Times New Roman" w:hAnsi="Times New Roman" w:cs="Times New Roman"/>
        </w:rPr>
        <w:t xml:space="preserve">Assim, após a consolidação, pelo próprio STJ, em meados da década passada, do entendimento acerca da utilização da taxa SELIC como índice aplicável aos juros moratórios legais, tem-se a oportunidade de se repensar a questão, agora com a vantagem da experiência de anos de aplicação de tal índice na condição de juros de mora legais. </w:t>
      </w:r>
    </w:p>
    <w:p w:rsidR="00A42464" w:rsidRPr="00A42464" w:rsidRDefault="00A42464" w:rsidP="007F58A2">
      <w:pPr>
        <w:spacing w:line="360" w:lineRule="auto"/>
        <w:jc w:val="both"/>
        <w:rPr>
          <w:rFonts w:ascii="Times New Roman" w:hAnsi="Times New Roman" w:cs="Times New Roman"/>
          <w:sz w:val="24"/>
          <w:szCs w:val="24"/>
        </w:rPr>
      </w:pPr>
      <w:r w:rsidRPr="00A42464">
        <w:rPr>
          <w:rFonts w:ascii="Times New Roman" w:hAnsi="Times New Roman" w:cs="Times New Roman"/>
          <w:sz w:val="24"/>
          <w:szCs w:val="24"/>
        </w:rPr>
        <w:t>Como será demonstrado neste estudo, a aplicação da taxa SELIC aos juros de mora, além de violar o postulado da segurança jurídica, tem encontrado sérios obstáculos jurídicos, havendo, na atualidade, verdadeira indefinição a respeito da forma de sua fixação,</w:t>
      </w:r>
      <w:r w:rsidR="007F58A2">
        <w:rPr>
          <w:rFonts w:ascii="Times New Roman" w:hAnsi="Times New Roman" w:cs="Times New Roman"/>
          <w:sz w:val="24"/>
          <w:szCs w:val="24"/>
        </w:rPr>
        <w:t xml:space="preserve"> </w:t>
      </w:r>
      <w:r w:rsidRPr="00A42464">
        <w:rPr>
          <w:rFonts w:ascii="Times New Roman" w:hAnsi="Times New Roman" w:cs="Times New Roman"/>
          <w:sz w:val="24"/>
          <w:szCs w:val="24"/>
        </w:rPr>
        <w:t xml:space="preserve">notadamente no que diz respeito à fixação de seu termo inicial e à sua compatibilização com a correção monetária nas diferentes modalidades de responsabilidade civil. </w:t>
      </w:r>
    </w:p>
    <w:p w:rsidR="00A42464" w:rsidRDefault="00A42464" w:rsidP="007F58A2">
      <w:pPr>
        <w:pStyle w:val="Default"/>
        <w:spacing w:line="360" w:lineRule="auto"/>
        <w:ind w:firstLine="708"/>
        <w:jc w:val="both"/>
        <w:rPr>
          <w:sz w:val="23"/>
          <w:szCs w:val="23"/>
        </w:rPr>
      </w:pPr>
      <w:r w:rsidRPr="00A42464">
        <w:rPr>
          <w:rFonts w:ascii="Times New Roman" w:hAnsi="Times New Roman" w:cs="Times New Roman"/>
        </w:rPr>
        <w:t xml:space="preserve">Nesta senda, questiona-se: 1) a taxa SELIC afigura-se índice econômico juridicamente adequado aos juros de mora legais? 2) quais os problemas decorrentes da utilização da taxa SELIC em tal contexto? 3) haveria solução para os problemas identificados? A importância da definição de tais questões é evidente. Conforme se depreende do art. 406 do Código Civil de 2002 (CC/02)6, a aplicação dos juros moratórios em seu percentual legal é impositiva sempre que não houver disposição contratual expressa a respeito da matéria. É o que ocorre, por exemplo, no âmbito da responsabilidade civil </w:t>
      </w:r>
      <w:r w:rsidR="007F58A2" w:rsidRPr="00A42464">
        <w:rPr>
          <w:rFonts w:ascii="Times New Roman" w:hAnsi="Times New Roman" w:cs="Times New Roman"/>
        </w:rPr>
        <w:t>aquilina</w:t>
      </w:r>
      <w:r w:rsidRPr="00A42464">
        <w:rPr>
          <w:rFonts w:ascii="Times New Roman" w:hAnsi="Times New Roman" w:cs="Times New Roman"/>
        </w:rPr>
        <w:t xml:space="preserve">, em relações de consumo cotidianas (como na compra e venda de bens móveis) e mesmo em contratos envolvendo vultosas quantias de dinheiro os quais não raras vezes se utilizam de expressões como “juros legais” ou “juros na forma da lei” para indicar a incidência dos juros de mora no seu percentual legal. Não bastasse isso, o artigo 293 do Código de Processo Civil de 1973 (CPC/73) é claro ao dispor que os juros legais fazem parte do pedido autoral mesmo quando não requeridos, o que os torna consectários </w:t>
      </w:r>
      <w:r w:rsidRPr="00A42464">
        <w:rPr>
          <w:rFonts w:ascii="Times New Roman" w:hAnsi="Times New Roman" w:cs="Times New Roman"/>
        </w:rPr>
        <w:lastRenderedPageBreak/>
        <w:t>necessários de eventual condenação. Impende, portanto, analisar a previsão normativa dos juros moratórios legais no ordenamento jurídico pátrio, para, em análise conjunta à jurisprudência do STJ, abordar as questões aventadas, buscando soluções juridicamente válidas no que tange à definição dos juros de mora legais e à forma de sua incidência.</w:t>
      </w:r>
      <w:r>
        <w:rPr>
          <w:sz w:val="23"/>
          <w:szCs w:val="23"/>
        </w:rPr>
        <w:t xml:space="preserve"> </w:t>
      </w:r>
    </w:p>
    <w:p w:rsidR="0010481A" w:rsidRPr="00D64A4A" w:rsidRDefault="0010481A" w:rsidP="00A42464">
      <w:pPr>
        <w:spacing w:line="360" w:lineRule="auto"/>
        <w:jc w:val="both"/>
        <w:rPr>
          <w:rFonts w:ascii="Times New Roman" w:hAnsi="Times New Roman" w:cs="Times New Roman"/>
          <w:sz w:val="24"/>
          <w:szCs w:val="24"/>
        </w:rPr>
      </w:pPr>
    </w:p>
    <w:p w:rsidR="00D5568B" w:rsidRPr="007F58A2" w:rsidRDefault="00D5568B" w:rsidP="00BC3F04">
      <w:pPr>
        <w:spacing w:line="360" w:lineRule="auto"/>
        <w:jc w:val="both"/>
        <w:rPr>
          <w:rFonts w:ascii="Times New Roman" w:hAnsi="Times New Roman" w:cs="Times New Roman"/>
          <w:noProof/>
          <w:sz w:val="24"/>
          <w:szCs w:val="24"/>
        </w:rPr>
      </w:pPr>
    </w:p>
    <w:p w:rsidR="007F58A2" w:rsidRPr="007F58A2" w:rsidRDefault="007F58A2" w:rsidP="007F58A2">
      <w:pPr>
        <w:pStyle w:val="Default"/>
        <w:rPr>
          <w:rFonts w:ascii="Times New Roman" w:hAnsi="Times New Roman" w:cs="Times New Roman"/>
        </w:rPr>
      </w:pPr>
      <w:r w:rsidRPr="007F58A2">
        <w:rPr>
          <w:rFonts w:ascii="Times New Roman" w:hAnsi="Times New Roman" w:cs="Times New Roman"/>
          <w:b/>
          <w:bCs/>
        </w:rPr>
        <w:t xml:space="preserve">2. PREVISÃO LEGAL DOS JUROS DE MORA </w:t>
      </w:r>
    </w:p>
    <w:p w:rsidR="00CA75B0" w:rsidRDefault="00CA75B0" w:rsidP="00516D0A">
      <w:pPr>
        <w:spacing w:line="360" w:lineRule="auto"/>
        <w:ind w:firstLine="709"/>
        <w:jc w:val="both"/>
        <w:rPr>
          <w:rFonts w:ascii="Times New Roman" w:hAnsi="Times New Roman" w:cs="Times New Roman"/>
          <w:sz w:val="24"/>
          <w:szCs w:val="24"/>
        </w:rPr>
      </w:pPr>
    </w:p>
    <w:p w:rsidR="007F58A2" w:rsidRPr="00750FAA" w:rsidRDefault="007F58A2" w:rsidP="007F58A2">
      <w:pPr>
        <w:spacing w:line="360" w:lineRule="auto"/>
        <w:ind w:firstLine="708"/>
        <w:jc w:val="both"/>
        <w:rPr>
          <w:rFonts w:ascii="Times New Roman" w:hAnsi="Times New Roman" w:cs="Times New Roman"/>
          <w:sz w:val="24"/>
          <w:szCs w:val="24"/>
        </w:rPr>
      </w:pPr>
      <w:r w:rsidRPr="00750FAA">
        <w:rPr>
          <w:rFonts w:ascii="Times New Roman" w:hAnsi="Times New Roman" w:cs="Times New Roman"/>
          <w:sz w:val="24"/>
          <w:szCs w:val="24"/>
        </w:rPr>
        <w:t>Descumprida a obrigação, responde o devedor pelo pagamento dos consectários da mora, dentre os quais se incluem as perdas e danos, os juros, a atualização monetária, os honorários de advogado, as custas processuais e a multa convencional (COELHO, 2010, p. 192-193). São o que se infere dos artigos 3898, 3959 e 40410, todos do Código Civil de 2002 (CC/02).</w:t>
      </w:r>
    </w:p>
    <w:p w:rsidR="007F58A2" w:rsidRPr="00750FAA" w:rsidRDefault="007F58A2" w:rsidP="007F58A2">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Nesse contexto, diante da inadimplência obrigacional, o devedor poderá ser compelido a arcar com o pagamento, dentre outras quantias11, da soma daquilo que o credor efetivamente perdeu com o que razoavelmente deixou de ganhar, adicionado de rubricas tais como a atualização monetária, responsável pela manutenção do valor da moeda corroída pela inflação, e os juros de mora que, ao mesmo tempo, penalizem o devedor e compensem a mora suportada pelo credor (RIZZARDO, 2013, p. 504)12. </w:t>
      </w:r>
    </w:p>
    <w:p w:rsidR="007F58A2" w:rsidRPr="00750FAA" w:rsidRDefault="007F58A2" w:rsidP="007F58A2">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Especificamente a respeito dos juros moratórios, tem-se na lição de Clovis Bevilaqua (1919, p. 219) que estes podem ser legais, quando a lei define sua hipótese, percentual e forma de incidência (GONÇALVES, 2008, p. 382), ou convencionais, quando decorrem de convenção (acordo entre as partes) (GOMES, 2002, p. 172). </w:t>
      </w:r>
    </w:p>
    <w:p w:rsidR="007F58A2" w:rsidRDefault="007F58A2" w:rsidP="007F58A2">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Em atenção às finalidades do presente estudo, interessa saber a evolução legislativa da previsão normativa a respeito da incidência dos juros de mora legais a fim de destacar o panorama normativo em vigor. </w:t>
      </w:r>
    </w:p>
    <w:p w:rsidR="007F58A2" w:rsidRPr="00750FAA" w:rsidRDefault="007F58A2" w:rsidP="007F58A2">
      <w:pPr>
        <w:pStyle w:val="Default"/>
        <w:spacing w:line="360" w:lineRule="auto"/>
        <w:ind w:firstLine="708"/>
        <w:jc w:val="both"/>
        <w:rPr>
          <w:rFonts w:ascii="Times New Roman" w:hAnsi="Times New Roman" w:cs="Times New Roman"/>
        </w:rPr>
      </w:pPr>
    </w:p>
    <w:p w:rsidR="007F58A2" w:rsidRPr="008D773B" w:rsidRDefault="007F58A2" w:rsidP="007F58A2">
      <w:pPr>
        <w:pStyle w:val="Default"/>
        <w:spacing w:line="360" w:lineRule="auto"/>
        <w:jc w:val="both"/>
        <w:rPr>
          <w:rFonts w:ascii="Times New Roman" w:hAnsi="Times New Roman" w:cs="Times New Roman"/>
        </w:rPr>
      </w:pPr>
      <w:r w:rsidRPr="008D773B">
        <w:rPr>
          <w:rFonts w:ascii="Times New Roman" w:hAnsi="Times New Roman" w:cs="Times New Roman"/>
        </w:rPr>
        <w:t xml:space="preserve">2.1. EVOLUÇÃO NORMATIVA DOS JUROS DE MORA LEGAIS NO DIREITO BRASILEIRO </w:t>
      </w:r>
    </w:p>
    <w:p w:rsidR="007F58A2" w:rsidRPr="00750FAA" w:rsidRDefault="007F58A2" w:rsidP="007F58A2">
      <w:pPr>
        <w:pStyle w:val="Default"/>
        <w:spacing w:line="360" w:lineRule="auto"/>
        <w:jc w:val="both"/>
        <w:rPr>
          <w:rFonts w:ascii="Times New Roman" w:hAnsi="Times New Roman" w:cs="Times New Roman"/>
        </w:rPr>
      </w:pPr>
    </w:p>
    <w:p w:rsidR="007F58A2" w:rsidRPr="00750FAA" w:rsidRDefault="007F58A2" w:rsidP="007F58A2">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O revogado Código Civil de 1916 (CC/16) trazia em seu Título II (Dos efeitos das obrigações), capítulo específico a respeito dos juros moratórios legais (Capítulo XV), estabelecendo em seu artigo 1.062 que “a taxa de juros moratórios, quando não convencionada (art. 1.262), será de seis por cento ao ano”, bem como em seu artigo 1.063 </w:t>
      </w:r>
      <w:r w:rsidRPr="00750FAA">
        <w:rPr>
          <w:rFonts w:ascii="Times New Roman" w:hAnsi="Times New Roman" w:cs="Times New Roman"/>
        </w:rPr>
        <w:lastRenderedPageBreak/>
        <w:t xml:space="preserve">que “serão também de seis por cento ao ano os juros devidos por força de lei, ou quando as partes os convencionarem sem taxa estipulada”. </w:t>
      </w:r>
    </w:p>
    <w:p w:rsidR="007F58A2" w:rsidRPr="00750FAA" w:rsidRDefault="007F58A2" w:rsidP="007F58A2">
      <w:pPr>
        <w:spacing w:line="360" w:lineRule="auto"/>
        <w:ind w:firstLine="708"/>
        <w:jc w:val="both"/>
        <w:rPr>
          <w:rFonts w:ascii="Times New Roman" w:hAnsi="Times New Roman" w:cs="Times New Roman"/>
          <w:sz w:val="24"/>
          <w:szCs w:val="24"/>
        </w:rPr>
      </w:pPr>
      <w:r w:rsidRPr="00750FAA">
        <w:rPr>
          <w:rFonts w:ascii="Times New Roman" w:hAnsi="Times New Roman" w:cs="Times New Roman"/>
          <w:sz w:val="24"/>
          <w:szCs w:val="24"/>
        </w:rPr>
        <w:t>Além da ausência de limite para o arbitramento de juros moratórios convencionais (RODRIGUES, 2007, p. 258), observa-se dos referidos dispositivos legais a expressa menção à taxa de juros de mora legais (seis por cento ao ano) aplicável na falta de disposição contratual a respeito de tal percentual ou quando devidos juros por força exclusivamente de lei (WALD, 2000, p. 152), afinal, conforme observado por Pontes de Miranda (1984, p. 39): “Se há juros estipulados, não há pensar-se nos juros legais conforme o art. 1.062 do Código Civil”.</w:t>
      </w:r>
    </w:p>
    <w:p w:rsidR="007F58A2" w:rsidRPr="00750FAA" w:rsidRDefault="007F58A2" w:rsidP="007F58A2">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Ainda sob a égide do CC/16, embora não tenha sido modificado o percentual aplicável aos juros de mora legais, importa registrar que a edição da Lei da Usura (Decreto n° 22.626/33), visando atender a função social do contrato13, fixou no dobro da taxa legal, portanto, em doze por cento ao ano, o limite de juros em quaisquer contratos (RODRIGUES, 2007, p. 258), limitação esta reiterada pela redação originária da Constituição Federal de 1988 (CF/88) que em seu art. 192, § 3°14, estabeleceu também em doze por cento ao ano a taxa máxima dos juros reais, muito embora haja o Supremo Tribunal Federal (STF) considerado que referida disposição constitucional não seria autoaplicável15 (MATTIETTO, 2003, p. 90). </w:t>
      </w:r>
    </w:p>
    <w:p w:rsidR="007F58A2" w:rsidRPr="00750FAA" w:rsidRDefault="007F58A2" w:rsidP="00CE1DEA">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Com a entrada em vigor do Código Civil de 2002 (CC/02), na data de 11/01/2003, a matéria relativa aos juros de mora legais passou a ser regulamentada no Capítulo IV, do Título IV, do novel diploma legal, responsável por tratar acerca “Do Inadimplemento das Obrigações”, que dispôs em seu artigo 406 que “quando os juros moratórios não forem convencionados, ou o forem sem taxa estipulada, ou quando provierem de determinação da lei, serão fixados segundo a taxa que estiver em vigor para a mora do pagamento de impostos devidos à Fazenda Nacional”. </w:t>
      </w:r>
    </w:p>
    <w:p w:rsidR="00CE1DEA" w:rsidRPr="00750FAA" w:rsidRDefault="007F58A2" w:rsidP="00CE1DEA">
      <w:pPr>
        <w:pStyle w:val="NormalWeb"/>
        <w:shd w:val="clear" w:color="auto" w:fill="FFFFFF"/>
        <w:spacing w:before="0" w:beforeAutospacing="0" w:after="0" w:afterAutospacing="0" w:line="360" w:lineRule="auto"/>
        <w:ind w:firstLine="708"/>
        <w:jc w:val="both"/>
        <w:rPr>
          <w:sz w:val="24"/>
          <w:szCs w:val="24"/>
        </w:rPr>
      </w:pPr>
      <w:r w:rsidRPr="00750FAA">
        <w:rPr>
          <w:sz w:val="24"/>
          <w:szCs w:val="24"/>
        </w:rPr>
        <w:t xml:space="preserve">Observa-se então que, ao contrário do CC/16, que era claro ao dispor a respeito da taxa de seis por cento ao ano, o CC/02 remeteu a definição dos juros moratórios legais à taxa que estiver em vigor para a mora do pagamento de impostos devidos à Fazenda Nacional. Importa salientar, ademais, que já sob a égide do CC/02 foi editada a Emenda Constitucional n° 40/03 que, além de conferir nova redação ao </w:t>
      </w:r>
      <w:r w:rsidRPr="00750FAA">
        <w:rPr>
          <w:i/>
          <w:iCs/>
          <w:sz w:val="24"/>
          <w:szCs w:val="24"/>
        </w:rPr>
        <w:t xml:space="preserve">caput </w:t>
      </w:r>
      <w:r w:rsidRPr="00750FAA">
        <w:rPr>
          <w:sz w:val="24"/>
          <w:szCs w:val="24"/>
        </w:rPr>
        <w:t xml:space="preserve">do art. 192 da CF/88, revogou todos os parágrafos, incisos e alíneas do referido dispositivo constitucional, extinguindo, assim, a limitação então existente quanto aos juros (embora não autoaplicável, segundo a jurisprudência do STF). </w:t>
      </w:r>
      <w:r w:rsidR="00CE1DEA" w:rsidRPr="00750FAA">
        <w:rPr>
          <w:sz w:val="24"/>
          <w:szCs w:val="24"/>
        </w:rPr>
        <w:t xml:space="preserve">O tratamento normativo dispensado à regulamentação da cobrança da taxa de juros no Brasil pode ser dividido em três fases distintas, a saber: a) </w:t>
      </w:r>
      <w:r w:rsidR="00CE1DEA" w:rsidRPr="00750FAA">
        <w:rPr>
          <w:sz w:val="24"/>
          <w:szCs w:val="24"/>
        </w:rPr>
        <w:lastRenderedPageBreak/>
        <w:t>a primeira que remonta aos tempos do império e que atingiu, inclusive, o estatuto civil de 1916; b) a segunda que teve início com a edição do Decreto n.º22.262/33, também denominado Lei da Usura e; c) a terceira fase, que ainda hoje perdura, teve seu marco inicial na promulgação da Lei n.º 4.595/64, conhecida como Lei da Reforma Bancária.</w:t>
      </w:r>
    </w:p>
    <w:p w:rsidR="00CE1DEA" w:rsidRPr="00750FAA" w:rsidRDefault="00CE1DEA" w:rsidP="00CE1DEA">
      <w:pPr>
        <w:pStyle w:val="NormalWeb"/>
        <w:shd w:val="clear" w:color="auto" w:fill="FFFFFF"/>
        <w:spacing w:before="0" w:beforeAutospacing="0" w:after="0" w:afterAutospacing="0" w:line="360" w:lineRule="auto"/>
        <w:ind w:firstLine="708"/>
        <w:jc w:val="both"/>
        <w:rPr>
          <w:sz w:val="24"/>
          <w:szCs w:val="24"/>
        </w:rPr>
      </w:pPr>
      <w:r w:rsidRPr="00750FAA">
        <w:rPr>
          <w:sz w:val="24"/>
          <w:szCs w:val="24"/>
        </w:rPr>
        <w:t>Assim sendo, passemos a um breve exame do histórico da limitação – ou liberação –legal da taxa de juros remuneratórios no Brasil. Para que, assim, se possa mais facilmente demonstrar a necessidade da instauração de uma nova ordem legal no que pertine à matéria, em face daquilo disposto em nossa Carta Política.</w:t>
      </w:r>
    </w:p>
    <w:p w:rsidR="00CE1DEA" w:rsidRPr="00750FAA" w:rsidRDefault="00CE1DEA" w:rsidP="00CE1DEA">
      <w:pPr>
        <w:pStyle w:val="NormalWeb"/>
        <w:shd w:val="clear" w:color="auto" w:fill="FFFFFF"/>
        <w:spacing w:before="0" w:beforeAutospacing="0" w:after="0" w:afterAutospacing="0" w:line="360" w:lineRule="auto"/>
        <w:ind w:firstLine="708"/>
        <w:jc w:val="both"/>
        <w:rPr>
          <w:sz w:val="24"/>
          <w:szCs w:val="24"/>
        </w:rPr>
      </w:pPr>
      <w:r w:rsidRPr="00750FAA">
        <w:rPr>
          <w:sz w:val="24"/>
          <w:szCs w:val="24"/>
        </w:rPr>
        <w:t xml:space="preserve">Durante o período imperial a regra vislumbrada – em face das fortes influências liberais – era a liberdade na estipulação da taxa de juros. O ponto de partida de tal orientação parece ter sido o Alvará de 5 de maio de 1810, onde o Príncipe Regente no Brasil, em face de representação da Real Junta de Comércio, Agricultura, Fábricas e Navegação, possibilitava dar dinheiro ou outros fundos a risco para o comércio marítimo, pelo prêmio que fosse ajustado, sem restrições de qualquer sorte. </w:t>
      </w:r>
    </w:p>
    <w:p w:rsidR="00CE1DEA" w:rsidRPr="00750FAA" w:rsidRDefault="00CE1DEA" w:rsidP="00CE1DEA">
      <w:pPr>
        <w:pStyle w:val="NormalWeb"/>
        <w:shd w:val="clear" w:color="auto" w:fill="FFFFFF"/>
        <w:spacing w:before="0" w:beforeAutospacing="0" w:after="0" w:afterAutospacing="0" w:line="360" w:lineRule="auto"/>
        <w:ind w:firstLine="708"/>
        <w:jc w:val="both"/>
        <w:rPr>
          <w:sz w:val="24"/>
          <w:szCs w:val="24"/>
        </w:rPr>
      </w:pPr>
      <w:r w:rsidRPr="00750FAA">
        <w:rPr>
          <w:sz w:val="24"/>
          <w:szCs w:val="24"/>
        </w:rPr>
        <w:t xml:space="preserve">Tinha tal norma como supedâneo para a ampla liberdade na contratação da taxa de juros nos contratos de câmbio a risco a irrazoabilidade de limitação à </w:t>
      </w:r>
      <w:r w:rsidRPr="00750FAA">
        <w:rPr>
          <w:i/>
          <w:iCs/>
          <w:sz w:val="24"/>
          <w:szCs w:val="24"/>
        </w:rPr>
        <w:t>“módica quantia de cinco por cento, quando por esta mesma taxa os proprietários cabedais os podiam dar a juros com segurança de penhores e de hipoteca”</w:t>
      </w:r>
      <w:r w:rsidRPr="00750FAA">
        <w:rPr>
          <w:sz w:val="24"/>
          <w:szCs w:val="24"/>
        </w:rPr>
        <w:t xml:space="preserve">. (Hernani Estrella, </w:t>
      </w:r>
      <w:r w:rsidRPr="00750FAA">
        <w:rPr>
          <w:i/>
          <w:iCs/>
          <w:sz w:val="24"/>
          <w:szCs w:val="24"/>
        </w:rPr>
        <w:t>Da Teoria dos Juros no Código Comercial</w:t>
      </w:r>
      <w:r w:rsidRPr="00750FAA">
        <w:rPr>
          <w:sz w:val="24"/>
          <w:szCs w:val="24"/>
        </w:rPr>
        <w:t xml:space="preserve">, </w:t>
      </w:r>
      <w:r w:rsidRPr="00750FAA">
        <w:rPr>
          <w:i/>
          <w:iCs/>
          <w:sz w:val="24"/>
          <w:szCs w:val="24"/>
        </w:rPr>
        <w:t>in</w:t>
      </w:r>
      <w:r w:rsidRPr="00750FAA">
        <w:rPr>
          <w:sz w:val="24"/>
          <w:szCs w:val="24"/>
        </w:rPr>
        <w:t xml:space="preserve"> Revista da Faculdade de Direito da Universidade de São Paulo, vol. XLV, 1950, pág. 410)</w:t>
      </w:r>
    </w:p>
    <w:p w:rsidR="00CE1DEA" w:rsidRPr="00750FAA" w:rsidRDefault="00CE1DEA" w:rsidP="00CE1DEA">
      <w:pPr>
        <w:pStyle w:val="NormalWeb"/>
        <w:shd w:val="clear" w:color="auto" w:fill="FFFFFF"/>
        <w:spacing w:before="0" w:beforeAutospacing="0" w:after="0" w:afterAutospacing="0" w:line="360" w:lineRule="auto"/>
        <w:ind w:firstLine="708"/>
        <w:jc w:val="both"/>
        <w:rPr>
          <w:sz w:val="24"/>
          <w:szCs w:val="24"/>
        </w:rPr>
      </w:pPr>
      <w:r w:rsidRPr="00750FAA">
        <w:rPr>
          <w:sz w:val="24"/>
          <w:szCs w:val="24"/>
        </w:rPr>
        <w:t xml:space="preserve">No mesmo sentido andou a legislação firmada posteriormente, vindo o Parlamento do primeiro Império a decretar a Lei de 24 de outubro de 1832 que tornou livre a estipulação da taxa de juros ou prêmio de dinheiro, desde que avençados por escrito, sendo tal orientação também recepcionada pela Codificação Comercial de 1850 que mantendo a liberdade de estipulação proibiu apenas o anatocismo – que em outro dizer importa na capitalização de juros, </w:t>
      </w:r>
      <w:r w:rsidRPr="00750FAA">
        <w:rPr>
          <w:i/>
          <w:iCs/>
          <w:sz w:val="24"/>
          <w:szCs w:val="24"/>
        </w:rPr>
        <w:t>i.e.</w:t>
      </w:r>
      <w:r w:rsidRPr="00750FAA">
        <w:rPr>
          <w:sz w:val="24"/>
          <w:szCs w:val="24"/>
        </w:rPr>
        <w:t>, a incorporação dos juros vencidos ao principal.</w:t>
      </w:r>
    </w:p>
    <w:p w:rsidR="00CE1DEA" w:rsidRPr="00750FAA" w:rsidRDefault="00CE1DEA" w:rsidP="00CE1DEA">
      <w:pPr>
        <w:pStyle w:val="NormalWeb"/>
        <w:shd w:val="clear" w:color="auto" w:fill="FFFFFF"/>
        <w:spacing w:before="0" w:beforeAutospacing="0" w:after="0" w:afterAutospacing="0" w:line="360" w:lineRule="auto"/>
        <w:ind w:firstLine="708"/>
        <w:jc w:val="both"/>
        <w:rPr>
          <w:sz w:val="24"/>
          <w:szCs w:val="24"/>
        </w:rPr>
      </w:pPr>
      <w:r w:rsidRPr="00750FAA">
        <w:rPr>
          <w:sz w:val="24"/>
          <w:szCs w:val="24"/>
        </w:rPr>
        <w:t>Com tais espíritos era, portanto, proclamada a liberação da taxa de juros em nosso período imperial, que somente encontrava limites nas forças do mercado, chegando-se, assim, à disciplina prevista no Código Civil de 1916.</w:t>
      </w:r>
    </w:p>
    <w:p w:rsidR="00CE1DEA" w:rsidRPr="00750FAA" w:rsidRDefault="00CE1DEA" w:rsidP="00CE1DEA">
      <w:pPr>
        <w:pStyle w:val="NormalWeb"/>
        <w:shd w:val="clear" w:color="auto" w:fill="FFFFFF"/>
        <w:spacing w:before="0" w:beforeAutospacing="0" w:after="0" w:afterAutospacing="0" w:line="360" w:lineRule="auto"/>
        <w:ind w:firstLine="708"/>
        <w:jc w:val="both"/>
        <w:rPr>
          <w:sz w:val="24"/>
          <w:szCs w:val="24"/>
        </w:rPr>
      </w:pPr>
      <w:r w:rsidRPr="00750FAA">
        <w:rPr>
          <w:sz w:val="24"/>
          <w:szCs w:val="24"/>
        </w:rPr>
        <w:t xml:space="preserve">Note-se que o estatuto civil de 1916 compartilha a mesma fonte da codificação comercial de 1850, qual seja, a legislação firmada em 1832. Neste sentido segue o magistério do renomado jurista Sílvio Rodrigues que aduz que o Código de 1916 foi </w:t>
      </w:r>
      <w:r w:rsidRPr="00750FAA">
        <w:rPr>
          <w:i/>
          <w:iCs/>
          <w:sz w:val="24"/>
          <w:szCs w:val="24"/>
        </w:rPr>
        <w:t>“produto de uma época de excerbamento do individualismo”</w:t>
      </w:r>
      <w:r w:rsidRPr="00750FAA">
        <w:rPr>
          <w:sz w:val="24"/>
          <w:szCs w:val="24"/>
        </w:rPr>
        <w:t xml:space="preserve">, que </w:t>
      </w:r>
      <w:r w:rsidRPr="00750FAA">
        <w:rPr>
          <w:i/>
          <w:iCs/>
          <w:sz w:val="24"/>
          <w:szCs w:val="24"/>
        </w:rPr>
        <w:t xml:space="preserve">“deu às partes </w:t>
      </w:r>
      <w:r w:rsidRPr="00750FAA">
        <w:rPr>
          <w:i/>
          <w:iCs/>
          <w:sz w:val="24"/>
          <w:szCs w:val="24"/>
        </w:rPr>
        <w:lastRenderedPageBreak/>
        <w:t>liberdade de fixarem a taxa de juros que quisessem ”</w:t>
      </w:r>
      <w:r w:rsidRPr="00750FAA">
        <w:rPr>
          <w:sz w:val="24"/>
          <w:szCs w:val="24"/>
        </w:rPr>
        <w:t>. (</w:t>
      </w:r>
      <w:r w:rsidRPr="00750FAA">
        <w:rPr>
          <w:i/>
          <w:iCs/>
          <w:sz w:val="24"/>
          <w:szCs w:val="24"/>
        </w:rPr>
        <w:t>in Direito Civil – Parte Geral das Obrigações</w:t>
      </w:r>
      <w:r w:rsidRPr="00750FAA">
        <w:rPr>
          <w:sz w:val="24"/>
          <w:szCs w:val="24"/>
        </w:rPr>
        <w:t>, vol. II, 2ª ed., São Paulo, 1965, pág. 338)</w:t>
      </w:r>
    </w:p>
    <w:p w:rsidR="00CE1DEA" w:rsidRPr="00750FAA" w:rsidRDefault="00CE1DEA" w:rsidP="00CE1DEA">
      <w:pPr>
        <w:pStyle w:val="NormalWeb"/>
        <w:shd w:val="clear" w:color="auto" w:fill="FFFFFF"/>
        <w:spacing w:before="0" w:beforeAutospacing="0" w:after="0" w:afterAutospacing="0" w:line="360" w:lineRule="auto"/>
        <w:ind w:firstLine="708"/>
        <w:jc w:val="both"/>
        <w:rPr>
          <w:sz w:val="24"/>
          <w:szCs w:val="24"/>
        </w:rPr>
      </w:pPr>
      <w:r w:rsidRPr="00750FAA">
        <w:rPr>
          <w:sz w:val="24"/>
          <w:szCs w:val="24"/>
        </w:rPr>
        <w:t>Com efeito, o estatuto civil de 1916 deixava às partes liberdade total na estipulação de juros, bem como de sua capitalização, observada a pactuação expressa, determinando em seu artigo 1.262 o que segue:</w:t>
      </w:r>
    </w:p>
    <w:p w:rsidR="00CE1DEA" w:rsidRPr="00750FAA" w:rsidRDefault="00CE1DEA" w:rsidP="00CE1DEA">
      <w:pPr>
        <w:pStyle w:val="NormalWeb"/>
        <w:shd w:val="clear" w:color="auto" w:fill="FFFFFF"/>
        <w:spacing w:line="360" w:lineRule="auto"/>
        <w:jc w:val="both"/>
        <w:rPr>
          <w:sz w:val="24"/>
          <w:szCs w:val="24"/>
        </w:rPr>
      </w:pPr>
      <w:r w:rsidRPr="00750FAA">
        <w:rPr>
          <w:i/>
          <w:iCs/>
          <w:sz w:val="24"/>
          <w:szCs w:val="24"/>
        </w:rPr>
        <w:t>“Art. 1.262. É permitido, mas só por cláusula expressa, fixar juros ao empréstimo de dinheiro ou de outras coisas fungíveis.</w:t>
      </w:r>
    </w:p>
    <w:p w:rsidR="00CE1DEA" w:rsidRPr="00750FAA" w:rsidRDefault="00CE1DEA" w:rsidP="00CE1DEA">
      <w:pPr>
        <w:pStyle w:val="NormalWeb"/>
        <w:shd w:val="clear" w:color="auto" w:fill="FFFFFF"/>
        <w:spacing w:line="360" w:lineRule="auto"/>
        <w:jc w:val="both"/>
        <w:rPr>
          <w:sz w:val="24"/>
          <w:szCs w:val="24"/>
        </w:rPr>
      </w:pPr>
      <w:r w:rsidRPr="00750FAA">
        <w:rPr>
          <w:i/>
          <w:iCs/>
          <w:sz w:val="24"/>
          <w:szCs w:val="24"/>
        </w:rPr>
        <w:t>Esses juros podem fixar-se abaixo ou acima da taxa legal (art. 1.062), com ou sem capitalização”.</w:t>
      </w:r>
    </w:p>
    <w:p w:rsidR="00CE1DEA" w:rsidRPr="00750FAA" w:rsidRDefault="00CE1DEA" w:rsidP="00CE1DEA">
      <w:pPr>
        <w:pStyle w:val="NormalWeb"/>
        <w:shd w:val="clear" w:color="auto" w:fill="FFFFFF"/>
        <w:spacing w:before="0" w:beforeAutospacing="0" w:after="0" w:afterAutospacing="0" w:line="360" w:lineRule="auto"/>
        <w:jc w:val="both"/>
        <w:rPr>
          <w:sz w:val="24"/>
          <w:szCs w:val="24"/>
        </w:rPr>
      </w:pPr>
      <w:r w:rsidRPr="00750FAA">
        <w:rPr>
          <w:sz w:val="24"/>
          <w:szCs w:val="24"/>
        </w:rPr>
        <w:t>Portanto, nosso direito positivo em sua primeira fase determinava a completa liberdade de taxação de juros. Tal liberdade foi rompida somente em 7 de abril de 1933, com a edição do Decreto n.º 22.262, também denominado como Lei da Usura, inspirada por Oswaldo Aranha.</w:t>
      </w:r>
    </w:p>
    <w:p w:rsidR="00CE1DEA" w:rsidRPr="00750FAA" w:rsidRDefault="00CE1DEA" w:rsidP="00CE1DEA">
      <w:pPr>
        <w:pStyle w:val="NormalWeb"/>
        <w:shd w:val="clear" w:color="auto" w:fill="FFFFFF"/>
        <w:spacing w:before="0" w:beforeAutospacing="0" w:after="0" w:afterAutospacing="0" w:line="360" w:lineRule="auto"/>
        <w:ind w:firstLine="708"/>
        <w:jc w:val="both"/>
        <w:rPr>
          <w:sz w:val="24"/>
          <w:szCs w:val="24"/>
        </w:rPr>
      </w:pPr>
      <w:r w:rsidRPr="00750FAA">
        <w:rPr>
          <w:sz w:val="24"/>
          <w:szCs w:val="24"/>
        </w:rPr>
        <w:t>Justificava-se tal norma no intuito de reprimir os comportamentos abusivos gerados pela preponderância da orientação individualista, somado à crise econômica de 1929, bem como a alta inflação que então já se fazia presente.</w:t>
      </w:r>
    </w:p>
    <w:p w:rsidR="00CE1DEA" w:rsidRPr="00750FAA" w:rsidRDefault="00CE1DEA" w:rsidP="00CE1DEA">
      <w:pPr>
        <w:pStyle w:val="NormalWeb"/>
        <w:shd w:val="clear" w:color="auto" w:fill="FFFFFF"/>
        <w:spacing w:before="0" w:beforeAutospacing="0" w:after="0" w:afterAutospacing="0" w:line="360" w:lineRule="auto"/>
        <w:jc w:val="both"/>
        <w:rPr>
          <w:sz w:val="24"/>
          <w:szCs w:val="24"/>
        </w:rPr>
      </w:pPr>
      <w:r w:rsidRPr="00750FAA">
        <w:rPr>
          <w:sz w:val="24"/>
          <w:szCs w:val="24"/>
        </w:rPr>
        <w:t xml:space="preserve">Assim é que cabe transcrever o texto que serve de intróito a tal norma legal, </w:t>
      </w:r>
      <w:r w:rsidRPr="00750FAA">
        <w:rPr>
          <w:i/>
          <w:iCs/>
          <w:sz w:val="24"/>
          <w:szCs w:val="24"/>
        </w:rPr>
        <w:t>verbis</w:t>
      </w:r>
      <w:r w:rsidRPr="00750FAA">
        <w:rPr>
          <w:sz w:val="24"/>
          <w:szCs w:val="24"/>
        </w:rPr>
        <w:t>:</w:t>
      </w:r>
    </w:p>
    <w:p w:rsidR="00CE1DEA" w:rsidRPr="00750FAA" w:rsidRDefault="00CE1DEA" w:rsidP="00CE1DEA">
      <w:pPr>
        <w:pStyle w:val="NormalWeb"/>
        <w:shd w:val="clear" w:color="auto" w:fill="FFFFFF"/>
        <w:spacing w:line="360" w:lineRule="auto"/>
        <w:jc w:val="both"/>
        <w:rPr>
          <w:sz w:val="24"/>
          <w:szCs w:val="24"/>
        </w:rPr>
      </w:pPr>
      <w:r w:rsidRPr="00750FAA">
        <w:rPr>
          <w:i/>
          <w:iCs/>
          <w:sz w:val="24"/>
          <w:szCs w:val="24"/>
        </w:rPr>
        <w:t>“O Chefe do Governo Provisório da República dos Estados Unidos do Brasil:</w:t>
      </w:r>
    </w:p>
    <w:p w:rsidR="00CE1DEA" w:rsidRPr="00750FAA" w:rsidRDefault="00CE1DEA" w:rsidP="00CE1DEA">
      <w:pPr>
        <w:pStyle w:val="NormalWeb"/>
        <w:shd w:val="clear" w:color="auto" w:fill="FFFFFF"/>
        <w:spacing w:line="360" w:lineRule="auto"/>
        <w:jc w:val="both"/>
        <w:rPr>
          <w:sz w:val="24"/>
          <w:szCs w:val="24"/>
        </w:rPr>
      </w:pPr>
      <w:r w:rsidRPr="00750FAA">
        <w:rPr>
          <w:i/>
          <w:iCs/>
          <w:sz w:val="24"/>
          <w:szCs w:val="24"/>
        </w:rPr>
        <w:t>“Considerando que todas as legislações modernas adotam normas severas para regular, impedir e reprimir os excessos praticados pela usura;</w:t>
      </w:r>
    </w:p>
    <w:p w:rsidR="00CE1DEA" w:rsidRPr="00750FAA" w:rsidRDefault="00CE1DEA" w:rsidP="00CE1DEA">
      <w:pPr>
        <w:pStyle w:val="NormalWeb"/>
        <w:shd w:val="clear" w:color="auto" w:fill="FFFFFF"/>
        <w:spacing w:line="360" w:lineRule="auto"/>
        <w:jc w:val="both"/>
        <w:rPr>
          <w:sz w:val="24"/>
          <w:szCs w:val="24"/>
        </w:rPr>
      </w:pPr>
      <w:r w:rsidRPr="00750FAA">
        <w:rPr>
          <w:i/>
          <w:iCs/>
          <w:sz w:val="24"/>
          <w:szCs w:val="24"/>
        </w:rPr>
        <w:t xml:space="preserve">“Considerando que é de interesse superior da economia do país não tenha o capital remuneração exagerada impedido o desenvolvimento das classes produtoras; Decreta: </w:t>
      </w:r>
      <w:r w:rsidRPr="00750FAA">
        <w:rPr>
          <w:sz w:val="24"/>
          <w:szCs w:val="24"/>
        </w:rPr>
        <w:t>(...)</w:t>
      </w:r>
      <w:r w:rsidRPr="00750FAA">
        <w:rPr>
          <w:i/>
          <w:iCs/>
          <w:sz w:val="24"/>
          <w:szCs w:val="24"/>
        </w:rPr>
        <w:t>”</w:t>
      </w:r>
    </w:p>
    <w:p w:rsidR="00CE1DEA" w:rsidRPr="00750FAA" w:rsidRDefault="00CE1DEA" w:rsidP="00CE1DEA">
      <w:pPr>
        <w:pStyle w:val="NormalWeb"/>
        <w:shd w:val="clear" w:color="auto" w:fill="FFFFFF"/>
        <w:spacing w:line="360" w:lineRule="auto"/>
        <w:jc w:val="both"/>
        <w:rPr>
          <w:sz w:val="24"/>
          <w:szCs w:val="24"/>
        </w:rPr>
      </w:pPr>
      <w:r w:rsidRPr="00750FAA">
        <w:rPr>
          <w:sz w:val="24"/>
          <w:szCs w:val="24"/>
        </w:rPr>
        <w:t>Tal norma legal vedava a estipulação, em qualquer contrato – importante salientar – de taxas de juros superiores a 12% ao ano (artigo 1º); bem como o anatocismo (artigo 4º); declarava nulos de pleno direito os contratos firmados com infração daquilo ali disposto (artigo 11); previa punição ao delito de usura, inclusive tentado (artigos 13 e 14).</w:t>
      </w:r>
    </w:p>
    <w:p w:rsidR="00CE1DEA" w:rsidRPr="00750FAA" w:rsidRDefault="00CE1DEA" w:rsidP="00CE1DEA">
      <w:pPr>
        <w:pStyle w:val="NormalWeb"/>
        <w:shd w:val="clear" w:color="auto" w:fill="FFFFFF"/>
        <w:spacing w:line="360" w:lineRule="auto"/>
        <w:jc w:val="both"/>
        <w:rPr>
          <w:sz w:val="24"/>
          <w:szCs w:val="24"/>
        </w:rPr>
      </w:pPr>
      <w:r w:rsidRPr="00750FAA">
        <w:rPr>
          <w:sz w:val="24"/>
          <w:szCs w:val="24"/>
        </w:rPr>
        <w:lastRenderedPageBreak/>
        <w:t>Acompanhando a tendência repressora da usura, as Cartas de 1934, 1937 e 1946 procuraram albergar a diretriz que determinaria a abertura da segunda fase do direito positivo brasileiro, assim dispondo, sucessivamente:</w:t>
      </w:r>
    </w:p>
    <w:p w:rsidR="00CE1DEA" w:rsidRPr="00750FAA" w:rsidRDefault="00CE1DEA" w:rsidP="00CE1DEA">
      <w:pPr>
        <w:pStyle w:val="NormalWeb"/>
        <w:shd w:val="clear" w:color="auto" w:fill="FFFFFF"/>
        <w:spacing w:line="360" w:lineRule="auto"/>
        <w:jc w:val="both"/>
        <w:rPr>
          <w:sz w:val="24"/>
          <w:szCs w:val="24"/>
        </w:rPr>
      </w:pPr>
      <w:r w:rsidRPr="00750FAA">
        <w:rPr>
          <w:i/>
          <w:iCs/>
          <w:sz w:val="24"/>
          <w:szCs w:val="24"/>
        </w:rPr>
        <w:t>“Art. 117. (...)</w:t>
      </w:r>
    </w:p>
    <w:p w:rsidR="00CE1DEA" w:rsidRPr="00750FAA" w:rsidRDefault="00CE1DEA" w:rsidP="00CE1DEA">
      <w:pPr>
        <w:pStyle w:val="NormalWeb"/>
        <w:shd w:val="clear" w:color="auto" w:fill="FFFFFF"/>
        <w:spacing w:line="360" w:lineRule="auto"/>
        <w:jc w:val="both"/>
        <w:rPr>
          <w:sz w:val="24"/>
          <w:szCs w:val="24"/>
        </w:rPr>
      </w:pPr>
      <w:r w:rsidRPr="00750FAA">
        <w:rPr>
          <w:i/>
          <w:iCs/>
          <w:sz w:val="24"/>
          <w:szCs w:val="24"/>
        </w:rPr>
        <w:t>Parágrafo Único – É proibida a usura, que será punida na forma da lei” (1934).</w:t>
      </w:r>
    </w:p>
    <w:p w:rsidR="00CE1DEA" w:rsidRPr="00750FAA" w:rsidRDefault="00CE1DEA" w:rsidP="00CE1DEA">
      <w:pPr>
        <w:pStyle w:val="NormalWeb"/>
        <w:shd w:val="clear" w:color="auto" w:fill="FFFFFF"/>
        <w:spacing w:line="360" w:lineRule="auto"/>
        <w:jc w:val="both"/>
        <w:rPr>
          <w:sz w:val="24"/>
          <w:szCs w:val="24"/>
        </w:rPr>
      </w:pPr>
      <w:r w:rsidRPr="00750FAA">
        <w:rPr>
          <w:i/>
          <w:iCs/>
          <w:sz w:val="24"/>
          <w:szCs w:val="24"/>
        </w:rPr>
        <w:t>“Art. 142. A usura será punida” (1937).</w:t>
      </w:r>
    </w:p>
    <w:p w:rsidR="00CE1DEA" w:rsidRPr="00750FAA" w:rsidRDefault="00CE1DEA" w:rsidP="00CE1DEA">
      <w:pPr>
        <w:pStyle w:val="NormalWeb"/>
        <w:shd w:val="clear" w:color="auto" w:fill="FFFFFF"/>
        <w:spacing w:line="360" w:lineRule="auto"/>
        <w:jc w:val="both"/>
        <w:rPr>
          <w:sz w:val="24"/>
          <w:szCs w:val="24"/>
        </w:rPr>
      </w:pPr>
      <w:r w:rsidRPr="00750FAA">
        <w:rPr>
          <w:i/>
          <w:iCs/>
          <w:sz w:val="24"/>
          <w:szCs w:val="24"/>
        </w:rPr>
        <w:t>“Art. 154. A usura, em todas as suas modalidades, será punida na forma da lei” (1946).</w:t>
      </w:r>
    </w:p>
    <w:p w:rsidR="00CE1DEA" w:rsidRPr="00750FAA" w:rsidRDefault="00CE1DEA" w:rsidP="00CE1DEA">
      <w:pPr>
        <w:pStyle w:val="NormalWeb"/>
        <w:shd w:val="clear" w:color="auto" w:fill="FFFFFF"/>
        <w:spacing w:before="0" w:beforeAutospacing="0" w:after="0" w:afterAutospacing="0" w:line="360" w:lineRule="auto"/>
        <w:ind w:firstLine="708"/>
        <w:jc w:val="both"/>
        <w:rPr>
          <w:sz w:val="24"/>
          <w:szCs w:val="24"/>
        </w:rPr>
      </w:pPr>
      <w:r w:rsidRPr="00750FAA">
        <w:rPr>
          <w:sz w:val="24"/>
          <w:szCs w:val="24"/>
        </w:rPr>
        <w:t xml:space="preserve">Note-se que o artigo 154 da Constituição de 1946, determinava a punição ao crime de usura </w:t>
      </w:r>
      <w:r w:rsidRPr="00750FAA">
        <w:rPr>
          <w:i/>
          <w:iCs/>
          <w:sz w:val="24"/>
          <w:szCs w:val="24"/>
        </w:rPr>
        <w:t>“na forma da lei”</w:t>
      </w:r>
      <w:r w:rsidRPr="00750FAA">
        <w:rPr>
          <w:sz w:val="24"/>
          <w:szCs w:val="24"/>
        </w:rPr>
        <w:t>, o que indicava claramente a necessidade de norma integradora a ensejar o perfeito cumprimento da vontade do constituinte ali insculpida. Assim é que tal preceito viria a concretizar-se em 26 de dezembro de 1951, com a promulgação da Lei n.º 1.521, norma legal esta que, como enfatiza Manoel Pedro Pimentel (</w:t>
      </w:r>
      <w:r w:rsidRPr="00750FAA">
        <w:rPr>
          <w:i/>
          <w:iCs/>
          <w:sz w:val="24"/>
          <w:szCs w:val="24"/>
        </w:rPr>
        <w:t>Crime de Usura</w:t>
      </w:r>
      <w:r w:rsidRPr="00750FAA">
        <w:rPr>
          <w:sz w:val="24"/>
          <w:szCs w:val="24"/>
        </w:rPr>
        <w:t xml:space="preserve">, </w:t>
      </w:r>
      <w:r w:rsidRPr="00750FAA">
        <w:rPr>
          <w:i/>
          <w:iCs/>
          <w:sz w:val="24"/>
          <w:szCs w:val="24"/>
        </w:rPr>
        <w:t>in</w:t>
      </w:r>
      <w:r w:rsidRPr="00750FAA">
        <w:rPr>
          <w:sz w:val="24"/>
          <w:szCs w:val="24"/>
        </w:rPr>
        <w:t xml:space="preserve"> Revista dos Tribunais, vol. 472, fevereiro de 1975, pág. 275), é, exatamente, o diploma vigente a respeito da usura até o momento e que dispõe sobre os crimes contra a economia popular abrangendo a descrição da usura pecuniára e a real, nas alíneas </w:t>
      </w:r>
      <w:r w:rsidRPr="00750FAA">
        <w:rPr>
          <w:i/>
          <w:iCs/>
          <w:sz w:val="24"/>
          <w:szCs w:val="24"/>
        </w:rPr>
        <w:t>a</w:t>
      </w:r>
      <w:r w:rsidRPr="00750FAA">
        <w:rPr>
          <w:sz w:val="24"/>
          <w:szCs w:val="24"/>
        </w:rPr>
        <w:t xml:space="preserve"> e </w:t>
      </w:r>
      <w:r w:rsidRPr="00750FAA">
        <w:rPr>
          <w:i/>
          <w:iCs/>
          <w:sz w:val="24"/>
          <w:szCs w:val="24"/>
        </w:rPr>
        <w:t>b</w:t>
      </w:r>
      <w:r w:rsidRPr="00750FAA">
        <w:rPr>
          <w:sz w:val="24"/>
          <w:szCs w:val="24"/>
        </w:rPr>
        <w:t xml:space="preserve"> de seu artigo 4º.</w:t>
      </w:r>
    </w:p>
    <w:p w:rsidR="00CE1DEA" w:rsidRPr="00750FAA" w:rsidRDefault="00CE1DEA" w:rsidP="00CE1DEA">
      <w:pPr>
        <w:pStyle w:val="NormalWeb"/>
        <w:shd w:val="clear" w:color="auto" w:fill="FFFFFF"/>
        <w:spacing w:before="0" w:beforeAutospacing="0" w:after="0" w:afterAutospacing="0" w:line="360" w:lineRule="auto"/>
        <w:ind w:firstLine="708"/>
        <w:jc w:val="both"/>
        <w:rPr>
          <w:sz w:val="24"/>
          <w:szCs w:val="24"/>
        </w:rPr>
      </w:pPr>
      <w:r w:rsidRPr="00750FAA">
        <w:rPr>
          <w:sz w:val="24"/>
          <w:szCs w:val="24"/>
        </w:rPr>
        <w:t>Em face promulgação da Lei n.º 1.521/51, lícito é afirmar que, ainda hoje tal norma convive com o Decreto n.º 22.626/33 – lei da usura –, de forma que este estabelece o limite de juros, enquanto aquele tipifica o crime de usura e o considera abusivo à economia popular.</w:t>
      </w:r>
    </w:p>
    <w:p w:rsidR="00CE1DEA" w:rsidRPr="00750FAA" w:rsidRDefault="00CE1DEA" w:rsidP="00CE1DEA">
      <w:pPr>
        <w:pStyle w:val="NormalWeb"/>
        <w:shd w:val="clear" w:color="auto" w:fill="FFFFFF"/>
        <w:spacing w:before="0" w:beforeAutospacing="0" w:after="0" w:afterAutospacing="0" w:line="360" w:lineRule="auto"/>
        <w:ind w:firstLine="708"/>
        <w:jc w:val="both"/>
        <w:rPr>
          <w:sz w:val="24"/>
          <w:szCs w:val="24"/>
        </w:rPr>
      </w:pPr>
      <w:r w:rsidRPr="00750FAA">
        <w:rPr>
          <w:sz w:val="24"/>
          <w:szCs w:val="24"/>
        </w:rPr>
        <w:t>A terceira etapa da evolução normativa da limitação das taxas de juros veio com a reestruturação do sistema bancário, o que se deu em 31 de dezembro de 1964, com a promulgação da Lei n.º 4.595 – Lei da Reforma Bancária – que dispôs sobre a política e as instituições monetárias, bancárias, e creditícias, assim como da criação do Conselho Monetário Nacional.</w:t>
      </w:r>
    </w:p>
    <w:p w:rsidR="00CE1DEA" w:rsidRPr="00750FAA" w:rsidRDefault="00CE1DEA" w:rsidP="00CE1DEA">
      <w:pPr>
        <w:pStyle w:val="NormalWeb"/>
        <w:shd w:val="clear" w:color="auto" w:fill="FFFFFF"/>
        <w:spacing w:before="0" w:beforeAutospacing="0" w:after="0" w:afterAutospacing="0" w:line="360" w:lineRule="auto"/>
        <w:ind w:firstLine="708"/>
        <w:jc w:val="both"/>
        <w:rPr>
          <w:sz w:val="24"/>
          <w:szCs w:val="24"/>
        </w:rPr>
      </w:pPr>
      <w:r w:rsidRPr="00750FAA">
        <w:rPr>
          <w:sz w:val="24"/>
          <w:szCs w:val="24"/>
        </w:rPr>
        <w:t xml:space="preserve">Gize-se que a Lei da Reforma Bancária, em seu artigo 4º, inciso VI, atribui ao Conselho Monetário Nacional competência para disciplinar o crédito e as operações creditícias, em todas as suas modalidades e formas. Conferiu ainda, no inciso IX do aludido artigo, ao Conselho Monetário Nacional o encargo de limitar as taxas de juros, </w:t>
      </w:r>
      <w:r w:rsidRPr="00750FAA">
        <w:rPr>
          <w:sz w:val="24"/>
          <w:szCs w:val="24"/>
        </w:rPr>
        <w:lastRenderedPageBreak/>
        <w:t>descontos, comissões e qualquer outro critério de remuneração de operações e serviços bancários ou financeiros.</w:t>
      </w:r>
    </w:p>
    <w:p w:rsidR="00CE1DEA" w:rsidRPr="00750FAA" w:rsidRDefault="00CE1DEA" w:rsidP="00CE1DEA">
      <w:pPr>
        <w:pStyle w:val="NormalWeb"/>
        <w:shd w:val="clear" w:color="auto" w:fill="FFFFFF"/>
        <w:spacing w:before="0" w:beforeAutospacing="0" w:after="0" w:afterAutospacing="0" w:line="360" w:lineRule="auto"/>
        <w:ind w:firstLine="708"/>
        <w:jc w:val="both"/>
        <w:rPr>
          <w:sz w:val="24"/>
          <w:szCs w:val="24"/>
        </w:rPr>
      </w:pPr>
      <w:r w:rsidRPr="00750FAA">
        <w:rPr>
          <w:sz w:val="24"/>
          <w:szCs w:val="24"/>
        </w:rPr>
        <w:t xml:space="preserve">Em última análise, em face do poder conferido pela Lei de Reforma Bancária ao Conselho Monetário Nacional para limitar a taxa de juros </w:t>
      </w:r>
      <w:r w:rsidRPr="00750FAA">
        <w:rPr>
          <w:i/>
          <w:iCs/>
          <w:sz w:val="24"/>
          <w:szCs w:val="24"/>
        </w:rPr>
        <w:t>“sempre que necessário”</w:t>
      </w:r>
      <w:r w:rsidRPr="00750FAA">
        <w:rPr>
          <w:sz w:val="24"/>
          <w:szCs w:val="24"/>
        </w:rPr>
        <w:t>, deixou-se de aplicar às instituições financeiras a o padrão de juros estabelecido pela Lei da Usura em 1933. Neste sentido já manifestou-se o Supremo Tribunal Federal em entendimento unânime consolidado na Súmula de n.º 596, assim dispondo:</w:t>
      </w:r>
    </w:p>
    <w:p w:rsidR="00CE1DEA" w:rsidRPr="00750FAA" w:rsidRDefault="00CE1DEA" w:rsidP="00CE1DEA">
      <w:pPr>
        <w:pStyle w:val="NormalWeb"/>
        <w:shd w:val="clear" w:color="auto" w:fill="FFFFFF"/>
        <w:spacing w:line="360" w:lineRule="auto"/>
        <w:jc w:val="both"/>
        <w:rPr>
          <w:sz w:val="24"/>
          <w:szCs w:val="24"/>
        </w:rPr>
      </w:pPr>
      <w:r w:rsidRPr="00750FAA">
        <w:rPr>
          <w:i/>
          <w:iCs/>
          <w:sz w:val="24"/>
          <w:szCs w:val="24"/>
        </w:rPr>
        <w:t>“Súmula 596 – As disposições do Decreto n.º 22.626/33 não se aplicam às taxas de juros e aos outros encargos cobrados nas operações realizadas por instituições públicas o privadas, que integram o Sistema Financeiro Nacional”.</w:t>
      </w:r>
    </w:p>
    <w:p w:rsidR="00CE1DEA" w:rsidRPr="00750FAA" w:rsidRDefault="00CE1DEA" w:rsidP="00CE1DEA">
      <w:pPr>
        <w:pStyle w:val="NormalWeb"/>
        <w:shd w:val="clear" w:color="auto" w:fill="FFFFFF"/>
        <w:spacing w:before="0" w:beforeAutospacing="0" w:after="0" w:afterAutospacing="0" w:line="360" w:lineRule="auto"/>
        <w:ind w:firstLine="708"/>
        <w:jc w:val="both"/>
        <w:rPr>
          <w:sz w:val="24"/>
          <w:szCs w:val="24"/>
        </w:rPr>
      </w:pPr>
      <w:r w:rsidRPr="00750FAA">
        <w:rPr>
          <w:sz w:val="24"/>
          <w:szCs w:val="24"/>
        </w:rPr>
        <w:t xml:space="preserve">Assim consagrada pela jurisprudência a dupla sistemática da legislação brasileira, </w:t>
      </w:r>
      <w:r w:rsidRPr="00750FAA">
        <w:rPr>
          <w:i/>
          <w:iCs/>
          <w:sz w:val="24"/>
          <w:szCs w:val="24"/>
        </w:rPr>
        <w:t>i.e.</w:t>
      </w:r>
      <w:r w:rsidRPr="00750FAA">
        <w:rPr>
          <w:sz w:val="24"/>
          <w:szCs w:val="24"/>
        </w:rPr>
        <w:t>, a existência de um regime para as instituições financeiras e de outro para as relações jurídicas entre os particulares, resta estabelecido o quadro que veio a ser colhido pela promulgação da Carta Política de 1988.</w:t>
      </w:r>
    </w:p>
    <w:p w:rsidR="00CE1DEA" w:rsidRPr="00750FAA" w:rsidRDefault="00CE1DEA" w:rsidP="00CE1DEA">
      <w:pPr>
        <w:pStyle w:val="NormalWeb"/>
        <w:shd w:val="clear" w:color="auto" w:fill="FFFFFF"/>
        <w:spacing w:before="0" w:beforeAutospacing="0" w:after="0" w:afterAutospacing="0" w:line="360" w:lineRule="auto"/>
        <w:ind w:firstLine="708"/>
        <w:jc w:val="both"/>
        <w:rPr>
          <w:sz w:val="24"/>
          <w:szCs w:val="24"/>
        </w:rPr>
      </w:pPr>
      <w:r w:rsidRPr="00750FAA">
        <w:rPr>
          <w:sz w:val="24"/>
          <w:szCs w:val="24"/>
        </w:rPr>
        <w:t xml:space="preserve">Infelizmente, nossa Lei Maior deveria acarretar consigo a inauguração de uma quarta fase do tratamento dispensado aos juros por nosso ordenamento jurídico. Entretanto – em que pese o aparentemente claro dispositivo constitucional que prevê expressamente a limitação da taxa de juros a 12% ao ano – lá se vai mais de uma década de sua promulgação sem que aquilo nela contido tenha se materializado, quer seja pelo reconhecimento da aplicabilidade imediata daquilo disposto no §3º do artigo 192 – que já encontra-se repelida pelo Supremo Tribunal Federal através do julgamento da Ação Direta de Inconstitucionalidade n.º 4 –, quer seja pela futura e incerta lei complementar prevista no </w:t>
      </w:r>
      <w:r w:rsidRPr="00750FAA">
        <w:rPr>
          <w:i/>
          <w:iCs/>
          <w:sz w:val="24"/>
          <w:szCs w:val="24"/>
        </w:rPr>
        <w:t>caput</w:t>
      </w:r>
      <w:r w:rsidRPr="00750FAA">
        <w:rPr>
          <w:sz w:val="24"/>
          <w:szCs w:val="24"/>
        </w:rPr>
        <w:t xml:space="preserve"> do mesmo artigo que regulamentará o sistema financeiro nacional, mantendo-se até então o sistema hoje vigente.</w:t>
      </w:r>
    </w:p>
    <w:p w:rsidR="00CE1DEA" w:rsidRPr="00750FAA" w:rsidRDefault="00CE1DEA" w:rsidP="00CE1DEA">
      <w:pPr>
        <w:pStyle w:val="NormalWeb"/>
        <w:shd w:val="clear" w:color="auto" w:fill="FFFFFF"/>
        <w:spacing w:before="0" w:beforeAutospacing="0" w:after="0" w:afterAutospacing="0" w:line="360" w:lineRule="auto"/>
        <w:ind w:firstLine="708"/>
        <w:jc w:val="both"/>
        <w:rPr>
          <w:sz w:val="24"/>
          <w:szCs w:val="24"/>
        </w:rPr>
      </w:pPr>
      <w:r w:rsidRPr="00750FAA">
        <w:rPr>
          <w:sz w:val="24"/>
          <w:szCs w:val="24"/>
        </w:rPr>
        <w:t>Bem certo é que o sistema ora vigente vai diretamente de encontro àquilo disposto no artigo 192 de nossa Magna Carta, mormente àquilo contido em seu §3º, jamais olvidando-se que, embora declarada pelo Supremo Tribunal Federal como norma de estrutuação – ou ainda, não-auto-executável, não bastante em si, não-exequível, etc. – certo é que tal espécie de norma não é de todo desprovida de eficácia, não sendo admissível que o ordenamento ora vigente caminhe em sentido diverso.</w:t>
      </w:r>
    </w:p>
    <w:p w:rsidR="00CE1DEA" w:rsidRPr="00750FAA" w:rsidRDefault="00CE1DEA" w:rsidP="00CE1DEA">
      <w:pPr>
        <w:pStyle w:val="NormalWeb"/>
        <w:shd w:val="clear" w:color="auto" w:fill="FFFFFF"/>
        <w:spacing w:before="0" w:beforeAutospacing="0" w:after="0" w:afterAutospacing="0" w:line="360" w:lineRule="auto"/>
        <w:ind w:firstLine="708"/>
        <w:jc w:val="both"/>
        <w:rPr>
          <w:sz w:val="24"/>
          <w:szCs w:val="24"/>
        </w:rPr>
      </w:pPr>
      <w:r w:rsidRPr="00750FAA">
        <w:rPr>
          <w:sz w:val="24"/>
          <w:szCs w:val="24"/>
        </w:rPr>
        <w:t xml:space="preserve">Também demonstra-se indubitável que o dualista sistema que ora se apresenta – havendo uma regulamentação para as instituições integrantes do“mercado financeiro” e </w:t>
      </w:r>
      <w:r w:rsidRPr="00750FAA">
        <w:rPr>
          <w:sz w:val="24"/>
          <w:szCs w:val="24"/>
        </w:rPr>
        <w:lastRenderedPageBreak/>
        <w:t>outra para os demais da população – não encontra guarida em nossa Carta Política, eis que flagrantemente contrário ao direito de igualdade perante a lei ali a todos assegurado.</w:t>
      </w:r>
    </w:p>
    <w:p w:rsidR="00CE1DEA" w:rsidRPr="00750FAA" w:rsidRDefault="00CE1DEA" w:rsidP="00CE1DEA">
      <w:pPr>
        <w:pStyle w:val="NormalWeb"/>
        <w:shd w:val="clear" w:color="auto" w:fill="FFFFFF"/>
        <w:spacing w:before="0" w:beforeAutospacing="0" w:after="0" w:afterAutospacing="0" w:line="360" w:lineRule="auto"/>
        <w:ind w:firstLine="708"/>
        <w:jc w:val="both"/>
        <w:rPr>
          <w:sz w:val="24"/>
          <w:szCs w:val="24"/>
        </w:rPr>
      </w:pPr>
      <w:r w:rsidRPr="00750FAA">
        <w:rPr>
          <w:sz w:val="24"/>
          <w:szCs w:val="24"/>
        </w:rPr>
        <w:t>Aqueles que preconizam que a limitação de juros não configura matéria constitucional não estão destituídos de razão. No entanto forçoso é notar que certa ou errada a Constituição existe e não pode nem deve ser ignorada ao sabor do casuísmo, ou ainda, na eloqüente lição de Potes de Miranda:</w:t>
      </w:r>
    </w:p>
    <w:p w:rsidR="00CE1DEA" w:rsidRPr="00750FAA" w:rsidRDefault="00CE1DEA" w:rsidP="00CE1DEA">
      <w:pPr>
        <w:pStyle w:val="NormalWeb"/>
        <w:shd w:val="clear" w:color="auto" w:fill="FFFFFF"/>
        <w:spacing w:line="360" w:lineRule="auto"/>
        <w:jc w:val="both"/>
        <w:rPr>
          <w:sz w:val="24"/>
          <w:szCs w:val="24"/>
        </w:rPr>
      </w:pPr>
      <w:r w:rsidRPr="00750FAA">
        <w:rPr>
          <w:i/>
          <w:iCs/>
          <w:sz w:val="24"/>
          <w:szCs w:val="24"/>
        </w:rPr>
        <w:t>“Nada mais perigoso do que fazer-se uma Constituição sem o propósito de cumpri-la. Ou de só se cumprir nos princípios de que se precisa, ou se entenda devam ser cumpridos – o que é pior.</w:t>
      </w:r>
    </w:p>
    <w:p w:rsidR="00CE1DEA" w:rsidRPr="00750FAA" w:rsidRDefault="00CE1DEA" w:rsidP="00CE1DEA">
      <w:pPr>
        <w:pStyle w:val="NormalWeb"/>
        <w:shd w:val="clear" w:color="auto" w:fill="FFFFFF"/>
        <w:spacing w:before="0" w:beforeAutospacing="0" w:after="0" w:afterAutospacing="0" w:line="360" w:lineRule="auto"/>
        <w:jc w:val="both"/>
        <w:rPr>
          <w:sz w:val="24"/>
          <w:szCs w:val="24"/>
        </w:rPr>
      </w:pPr>
      <w:r w:rsidRPr="00750FAA">
        <w:rPr>
          <w:i/>
          <w:iCs/>
          <w:sz w:val="24"/>
          <w:szCs w:val="24"/>
        </w:rPr>
        <w:t xml:space="preserve">“No momento sob a Constituição que bem ou mal, está feita, o que nos incumbe a nós, dirigentes, juízes e intérpretes é cumpri-la. Só assim saberemos a que serviu e a que não serviu, nem serve. Se a nada serviu em alguns pontos, que se emende, se reveja. Se em algum ponto a nada serve que se corte nesse pedaço inútil. Se a algum bem público desserve, que pronto se elimine. Mas, sem nada cumprir, nada saberemos Nada sabendo, nada poderemos fazer que mereça crédito. Não a cumprir é estrangulá-la ao nascer.” </w:t>
      </w:r>
      <w:r w:rsidRPr="00750FAA">
        <w:rPr>
          <w:sz w:val="24"/>
          <w:szCs w:val="24"/>
        </w:rPr>
        <w:t>(</w:t>
      </w:r>
      <w:r w:rsidRPr="00750FAA">
        <w:rPr>
          <w:i/>
          <w:iCs/>
          <w:sz w:val="24"/>
          <w:szCs w:val="24"/>
        </w:rPr>
        <w:t>in Comentários a Constituição de 1946</w:t>
      </w:r>
      <w:r w:rsidRPr="00750FAA">
        <w:rPr>
          <w:sz w:val="24"/>
          <w:szCs w:val="24"/>
        </w:rPr>
        <w:t>, pág. 12/13, Tomo I, 3ª ed., Borsoi, 1960)</w:t>
      </w:r>
    </w:p>
    <w:p w:rsidR="00B01F7C" w:rsidRPr="00750FAA" w:rsidRDefault="00B01F7C" w:rsidP="00CE1DEA">
      <w:pPr>
        <w:pStyle w:val="Default"/>
        <w:spacing w:line="360" w:lineRule="auto"/>
        <w:ind w:firstLine="708"/>
        <w:jc w:val="both"/>
        <w:rPr>
          <w:rFonts w:ascii="Times New Roman" w:hAnsi="Times New Roman" w:cs="Times New Roman"/>
        </w:rPr>
      </w:pPr>
    </w:p>
    <w:p w:rsidR="00B01F7C" w:rsidRDefault="00B01F7C" w:rsidP="00CE1DEA">
      <w:pPr>
        <w:pStyle w:val="Default"/>
        <w:rPr>
          <w:rFonts w:ascii="Times New Roman" w:hAnsi="Times New Roman" w:cs="Times New Roman"/>
          <w:b/>
          <w:bCs/>
        </w:rPr>
      </w:pPr>
      <w:r w:rsidRPr="00750FAA">
        <w:rPr>
          <w:rFonts w:ascii="Times New Roman" w:hAnsi="Times New Roman" w:cs="Times New Roman"/>
          <w:b/>
          <w:bCs/>
        </w:rPr>
        <w:t xml:space="preserve">3. A JURISPRUDÊNCIA DO STJ E O ARTIGO 406 DO CC/02 </w:t>
      </w:r>
    </w:p>
    <w:p w:rsidR="00B01F7C" w:rsidRDefault="00B01F7C" w:rsidP="00CE1DEA">
      <w:pPr>
        <w:pStyle w:val="Default"/>
        <w:rPr>
          <w:rFonts w:ascii="Times New Roman" w:hAnsi="Times New Roman" w:cs="Times New Roman"/>
          <w:b/>
          <w:bCs/>
        </w:rPr>
      </w:pPr>
    </w:p>
    <w:p w:rsidR="00B01F7C" w:rsidRPr="00750FAA" w:rsidRDefault="00B01F7C" w:rsidP="00CE1DEA">
      <w:pPr>
        <w:spacing w:line="360" w:lineRule="auto"/>
        <w:ind w:firstLine="708"/>
        <w:jc w:val="both"/>
        <w:rPr>
          <w:rFonts w:ascii="Times New Roman" w:hAnsi="Times New Roman" w:cs="Times New Roman"/>
          <w:sz w:val="24"/>
          <w:szCs w:val="24"/>
        </w:rPr>
      </w:pPr>
      <w:r w:rsidRPr="00750FAA">
        <w:rPr>
          <w:rFonts w:ascii="Times New Roman" w:hAnsi="Times New Roman" w:cs="Times New Roman"/>
          <w:sz w:val="24"/>
          <w:szCs w:val="24"/>
        </w:rPr>
        <w:t>Por ser o responsável pela uniformização da interpretação da legislação federal, incumbiu ao STJ à consolidação do entendimento a respeito da taxa dos juros moratórios legais a que se refere o artigo 406 do CC/02. E como o artigo 406 do CC/02 remeteu a definição dos juros moratórios legais à taxa que estiver em vigor para a mora do pagamento</w:t>
      </w:r>
      <w:r>
        <w:rPr>
          <w:rFonts w:ascii="Times New Roman" w:hAnsi="Times New Roman" w:cs="Times New Roman"/>
          <w:sz w:val="24"/>
          <w:szCs w:val="24"/>
        </w:rPr>
        <w:t xml:space="preserve"> </w:t>
      </w:r>
      <w:r w:rsidRPr="00750FAA">
        <w:rPr>
          <w:rFonts w:ascii="Times New Roman" w:hAnsi="Times New Roman" w:cs="Times New Roman"/>
          <w:sz w:val="24"/>
          <w:szCs w:val="24"/>
        </w:rPr>
        <w:t xml:space="preserve">de impostos devidos à Fazenda Nacional, a solução da questão passou pelas Turmas de Direito Público do STJ que, logo após a entrada em vigor do CC/02, ainda não tinham consolidado entendimento a respeito da validade da utilização da taxa SELIC para fins tributários. </w:t>
      </w:r>
    </w:p>
    <w:p w:rsidR="00B01F7C" w:rsidRPr="00750FAA" w:rsidRDefault="00B01F7C" w:rsidP="00B01F7C">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Conforme observado por Leornardo Mattietto (2003, p. 97), a aplicação da taxa SELIC para fins tributários dividia, à época, a jurisprudência do STJ, sendo a 1 ª Turma favorável à aplicação de tal índice e a 2ª Turma contrária à sua incidência, por reputá-la não apenas ilegal como também inconstitucional, haja vista a ofensa aos princípios tributários da legalidade, da anterioridade e da segurança jurídica em razão de ser, </w:t>
      </w:r>
      <w:r w:rsidRPr="00750FAA">
        <w:rPr>
          <w:rFonts w:ascii="Times New Roman" w:hAnsi="Times New Roman" w:cs="Times New Roman"/>
        </w:rPr>
        <w:lastRenderedPageBreak/>
        <w:t xml:space="preserve">respectivamente, estabelecida por ato unilateral da Administração, ter vigência imediata e ser variável, obedecendo critérios de política monetária. </w:t>
      </w:r>
    </w:p>
    <w:p w:rsidR="00B01F7C" w:rsidRPr="00750FAA" w:rsidRDefault="00B01F7C" w:rsidP="00B01F7C">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A despeito da divergência inicial, a jurisprudência do STJ consolidou o entendimento quanto à aplicação da taxa SELIC aos juros de mora referidos no artigo 406 do CC/02, conforme se infere dos julgamentos dos embargos de divergência em recurso especial n° 727.84216 e do recurso especial n° 1.111.11817, submetido à sistemática dos recursos repetitivos (art. 543-C do CPC/73), entendendo ser válida a opção legislativa de vincular os juros moratórios legais à taxa SELIC. </w:t>
      </w:r>
    </w:p>
    <w:p w:rsidR="00406AEF" w:rsidRDefault="007F461B" w:rsidP="00406AEF">
      <w:pPr>
        <w:spacing w:line="360" w:lineRule="auto"/>
        <w:jc w:val="left"/>
        <w:rPr>
          <w:rFonts w:ascii="Times New Roman" w:hAnsi="Times New Roman" w:cs="Times New Roman"/>
          <w:b/>
          <w:sz w:val="28"/>
          <w:szCs w:val="28"/>
        </w:rPr>
      </w:pPr>
      <w:r>
        <w:rPr>
          <w:rFonts w:ascii="Times New Roman" w:hAnsi="Times New Roman" w:cs="Times New Roman"/>
          <w:b/>
          <w:sz w:val="28"/>
          <w:szCs w:val="28"/>
        </w:rPr>
        <w:tab/>
      </w:r>
    </w:p>
    <w:p w:rsidR="00B01F7C" w:rsidRDefault="00B01F7C" w:rsidP="00B01F7C">
      <w:pPr>
        <w:pStyle w:val="Default"/>
        <w:rPr>
          <w:rFonts w:ascii="Times New Roman" w:hAnsi="Times New Roman" w:cs="Times New Roman"/>
          <w:b/>
          <w:bCs/>
        </w:rPr>
      </w:pPr>
      <w:r w:rsidRPr="00750FAA">
        <w:rPr>
          <w:rFonts w:ascii="Times New Roman" w:hAnsi="Times New Roman" w:cs="Times New Roman"/>
          <w:b/>
          <w:bCs/>
        </w:rPr>
        <w:t xml:space="preserve">4. ANÁLISE CRÍTICA DA TAXA SELIC </w:t>
      </w:r>
    </w:p>
    <w:p w:rsidR="00B01F7C" w:rsidRPr="00750FAA" w:rsidRDefault="00B01F7C" w:rsidP="00B01F7C">
      <w:pPr>
        <w:pStyle w:val="Default"/>
        <w:rPr>
          <w:rFonts w:ascii="Times New Roman" w:hAnsi="Times New Roman" w:cs="Times New Roman"/>
        </w:rPr>
      </w:pPr>
    </w:p>
    <w:p w:rsidR="00B01F7C" w:rsidRPr="00750FAA" w:rsidRDefault="00B01F7C" w:rsidP="00B01F7C">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Conforme salientado na introdução do presente estudo, após a consolidação, pelo próprio STJ, em meados da década passada, do entendimento acerca da utilização da taxa SELIC como índice aplicável aos juros moratórios legais, tem-se a oportunidade de se repensar a questão, agora com a vantagem da experiência de anos de aplicação de tal índice na condição de juros de mora legais. </w:t>
      </w:r>
    </w:p>
    <w:p w:rsidR="00B01F7C" w:rsidRPr="00750FAA" w:rsidRDefault="00B01F7C" w:rsidP="00766977">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E isto porque o STJ afetou à sua Corte Especial, sob o regime jurídico dos recursos repetitivos (art. 543-C do CPC/73), o recurso especial n° 1.081.149, a fim de retomar a discussão a respeito da utilização da taxa SELIC como índice aplicável aos juros moratórios legais das dívidas civis. </w:t>
      </w:r>
    </w:p>
    <w:p w:rsidR="00B01F7C" w:rsidRPr="00750FAA" w:rsidRDefault="00B01F7C" w:rsidP="00766977">
      <w:pPr>
        <w:spacing w:line="360" w:lineRule="auto"/>
        <w:ind w:firstLine="708"/>
        <w:jc w:val="both"/>
        <w:rPr>
          <w:rFonts w:ascii="Times New Roman" w:hAnsi="Times New Roman" w:cs="Times New Roman"/>
          <w:sz w:val="24"/>
          <w:szCs w:val="24"/>
        </w:rPr>
      </w:pPr>
      <w:r w:rsidRPr="00750FAA">
        <w:rPr>
          <w:rFonts w:ascii="Times New Roman" w:hAnsi="Times New Roman" w:cs="Times New Roman"/>
          <w:sz w:val="24"/>
          <w:szCs w:val="24"/>
        </w:rPr>
        <w:t>Impende consignar, nesse contexto, não haver sido aleatório o motivo que levou o STJ a novamente analisar questão, até então pacificada no âmbito de sua própria jurisprudência.</w:t>
      </w:r>
    </w:p>
    <w:p w:rsidR="00B01F7C" w:rsidRDefault="00B01F7C" w:rsidP="00766977">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De fato, após anos de aplicação da taxa SELIC no contexto dos juros moratórios legais das dívidas civis, confirmaram-se as críticas proferidas pelos juristas que desde a entrada em vigor do CC/02 rechaçam a utilização de tal índice18 e, mais que isso, surgiram problemas sequer antes pensados decorrentes de sua aplicação. Para a devida compreensão de tais aspectos, mister se faz o exame prévio do que seja a taxa SELIC. </w:t>
      </w:r>
    </w:p>
    <w:p w:rsidR="008013EA" w:rsidRPr="00750FAA" w:rsidRDefault="008013EA" w:rsidP="00766977">
      <w:pPr>
        <w:pStyle w:val="Default"/>
        <w:spacing w:line="360" w:lineRule="auto"/>
        <w:ind w:firstLine="708"/>
        <w:jc w:val="both"/>
        <w:rPr>
          <w:rFonts w:ascii="Times New Roman" w:hAnsi="Times New Roman" w:cs="Times New Roman"/>
        </w:rPr>
      </w:pPr>
    </w:p>
    <w:p w:rsidR="008013EA" w:rsidRDefault="008013EA" w:rsidP="008013EA">
      <w:pPr>
        <w:pStyle w:val="Default"/>
        <w:rPr>
          <w:rFonts w:ascii="Times New Roman" w:hAnsi="Times New Roman" w:cs="Times New Roman"/>
        </w:rPr>
      </w:pPr>
      <w:r w:rsidRPr="00750FAA">
        <w:rPr>
          <w:rFonts w:ascii="Times New Roman" w:hAnsi="Times New Roman" w:cs="Times New Roman"/>
        </w:rPr>
        <w:t xml:space="preserve">4.1. A TAXA SELIC </w:t>
      </w:r>
    </w:p>
    <w:p w:rsidR="008013EA" w:rsidRPr="00750FAA" w:rsidRDefault="008013EA" w:rsidP="008013EA">
      <w:pPr>
        <w:pStyle w:val="Default"/>
        <w:rPr>
          <w:rFonts w:ascii="Times New Roman" w:hAnsi="Times New Roman" w:cs="Times New Roman"/>
        </w:rPr>
      </w:pPr>
    </w:p>
    <w:p w:rsidR="008013EA" w:rsidRPr="00750FAA" w:rsidRDefault="008013EA" w:rsidP="008013EA">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Abreviatura do Sistema Especial de Liquidação e Custódia, a sigla SELIC refere-se ao sistema eletrônico que processa o registro e a liquidação financeira das operações realizadas com os títulos que compõem a dívida pública federal interna de emissão do Tesouro Nacional. </w:t>
      </w:r>
    </w:p>
    <w:p w:rsidR="008013EA" w:rsidRPr="00750FAA" w:rsidRDefault="008013EA" w:rsidP="008013EA">
      <w:pPr>
        <w:pStyle w:val="Default"/>
        <w:spacing w:line="360" w:lineRule="auto"/>
        <w:ind w:firstLine="708"/>
        <w:jc w:val="both"/>
        <w:rPr>
          <w:rFonts w:ascii="Times New Roman" w:hAnsi="Times New Roman" w:cs="Times New Roman"/>
        </w:rPr>
      </w:pPr>
      <w:r w:rsidRPr="00750FAA">
        <w:rPr>
          <w:rFonts w:ascii="Times New Roman" w:hAnsi="Times New Roman" w:cs="Times New Roman"/>
        </w:rPr>
        <w:lastRenderedPageBreak/>
        <w:t xml:space="preserve">Tal sistema, gerido pelo Banco Central do Brasil19, efetua a liquidação das operações de mercado aberto e de redesconto com títulos públicos componentes da Dívida Pública Mobiliária Federal interna (DPMFi), tais como as Letras do Tesouro Nacional (LTN), as Letras Financeiras do Tesouro (LFT), as Notas do Tesouro Nacional (NTN), as Notas do Banco Central (NBC), os Bônus do Banco Central do Brasil (BBC), as Letras do Banco Central do Brasil (LBC), dentre outros (NUNES, 2005, p. 82). </w:t>
      </w:r>
    </w:p>
    <w:p w:rsidR="008013EA" w:rsidRPr="00750FAA" w:rsidRDefault="008013EA" w:rsidP="008013EA">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Consoante cediço, os títulos públicos tem sua emissão voltada, principalmente, à redução do estoque monetário em circulação e à captação de recursos financeiros, que objetivam, respectivamente, o controle da inflação, pela redução da moeda em circulação, e a captação de recursos pela Fazenda, o que atrela a atuação do sistema SELIC à condução da política monetária nacional. </w:t>
      </w:r>
    </w:p>
    <w:p w:rsidR="008013EA" w:rsidRPr="00750FAA" w:rsidRDefault="008013EA" w:rsidP="008013EA">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Nesse contexto é que se insere a taxa SELIC, que segundo definição do Banco Central do Brasil constitui “a taxa média ajustada dos financiamentos diários apurados no Sistema Especial de Liquidação e de Custódia (Selic) para títulos federais”20. </w:t>
      </w:r>
    </w:p>
    <w:p w:rsidR="008013EA" w:rsidRPr="00750FAA" w:rsidRDefault="008013EA" w:rsidP="008013EA">
      <w:pPr>
        <w:spacing w:line="360" w:lineRule="auto"/>
        <w:jc w:val="both"/>
        <w:rPr>
          <w:rFonts w:ascii="Times New Roman" w:hAnsi="Times New Roman" w:cs="Times New Roman"/>
          <w:sz w:val="24"/>
          <w:szCs w:val="24"/>
        </w:rPr>
      </w:pPr>
      <w:r w:rsidRPr="00750FAA">
        <w:rPr>
          <w:rFonts w:ascii="Times New Roman" w:hAnsi="Times New Roman" w:cs="Times New Roman"/>
          <w:sz w:val="24"/>
          <w:szCs w:val="24"/>
        </w:rPr>
        <w:t>Diante disso, parcela da doutrina tem identificado a taxa SELIC como índice de remuneração de títulos da dívida federal (MATTIETTO, 2003, p. 96). Ocorre que tal compreensão não é exata diante da forma de cálculo da própria taxa SELIC.</w:t>
      </w:r>
    </w:p>
    <w:p w:rsidR="008013EA" w:rsidRPr="00750FAA" w:rsidRDefault="008013EA" w:rsidP="008013EA">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A rigor, a taxa SELIC não é calculada sobre a diferença entre o valor de compra e de resgate dos títulos públicos, como leva a crer a definição em destaque, mas sim sobre os juros cobrados nas chamadas “operações de </w:t>
      </w:r>
      <w:r w:rsidRPr="00750FAA">
        <w:rPr>
          <w:rFonts w:ascii="Times New Roman" w:hAnsi="Times New Roman" w:cs="Times New Roman"/>
          <w:i/>
          <w:iCs/>
        </w:rPr>
        <w:t>overnight</w:t>
      </w:r>
      <w:r w:rsidRPr="00750FAA">
        <w:rPr>
          <w:rFonts w:ascii="Times New Roman" w:hAnsi="Times New Roman" w:cs="Times New Roman"/>
        </w:rPr>
        <w:t xml:space="preserve">”. Mas o que seriam tais operações? </w:t>
      </w:r>
    </w:p>
    <w:p w:rsidR="008013EA" w:rsidRPr="00750FAA" w:rsidRDefault="008013EA" w:rsidP="008013EA">
      <w:pPr>
        <w:pStyle w:val="Default"/>
        <w:spacing w:line="360" w:lineRule="auto"/>
        <w:jc w:val="both"/>
        <w:rPr>
          <w:rFonts w:ascii="Times New Roman" w:hAnsi="Times New Roman" w:cs="Times New Roman"/>
        </w:rPr>
      </w:pPr>
      <w:r w:rsidRPr="00750FAA">
        <w:rPr>
          <w:rFonts w:ascii="Times New Roman" w:hAnsi="Times New Roman" w:cs="Times New Roman"/>
        </w:rPr>
        <w:t xml:space="preserve">Para a compreensão da natureza das operações de </w:t>
      </w:r>
      <w:r w:rsidRPr="00750FAA">
        <w:rPr>
          <w:rFonts w:ascii="Times New Roman" w:hAnsi="Times New Roman" w:cs="Times New Roman"/>
          <w:i/>
          <w:iCs/>
        </w:rPr>
        <w:t xml:space="preserve">overnight </w:t>
      </w:r>
      <w:r w:rsidRPr="00750FAA">
        <w:rPr>
          <w:rFonts w:ascii="Times New Roman" w:hAnsi="Times New Roman" w:cs="Times New Roman"/>
        </w:rPr>
        <w:t xml:space="preserve">– base de cálculo da taxa SELIC – imperiosa se faz a compreensão de que os títulos públicos cuja liquidação encontra-se submetida ao sistema SELIC podem, ou não, ser negociáveis. Os títulos que podem ser negociados, isto é, que não contemplam cláusula de inalienabilidade, podem ser objeto de negociações definitivas, que comportam a transferência da propriedade do título de maneira definitiva, ou compromissada, modalidade de negociação que contempla a venda de determinado título com cláusula de recompra. É nessa última hipótese que se observa as “operações de </w:t>
      </w:r>
      <w:r w:rsidRPr="00750FAA">
        <w:rPr>
          <w:rFonts w:ascii="Times New Roman" w:hAnsi="Times New Roman" w:cs="Times New Roman"/>
          <w:i/>
          <w:iCs/>
        </w:rPr>
        <w:t>overnight</w:t>
      </w:r>
      <w:r w:rsidRPr="00750FAA">
        <w:rPr>
          <w:rFonts w:ascii="Times New Roman" w:hAnsi="Times New Roman" w:cs="Times New Roman"/>
        </w:rPr>
        <w:t xml:space="preserve">”. </w:t>
      </w:r>
    </w:p>
    <w:p w:rsidR="008013EA" w:rsidRPr="00750FAA" w:rsidRDefault="008013EA" w:rsidP="008013EA">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Segundo leciona Luiz Antonio Rizzato Nunes (2005, p. 83), a negociação compromissada, ou de financiamento, consiste na venda com cláusula de recompra na qual uma das partes dispõe do título e necessita de capital líquido imediato e a outra, que detém de capital líquido, cobra um valor determinado pela compra compromissada. Decorrido o prazo avençado, que normalmente é de um dia – daí a expressão </w:t>
      </w:r>
      <w:r w:rsidRPr="00750FAA">
        <w:rPr>
          <w:rFonts w:ascii="Times New Roman" w:hAnsi="Times New Roman" w:cs="Times New Roman"/>
          <w:i/>
          <w:iCs/>
        </w:rPr>
        <w:t xml:space="preserve">overnight </w:t>
      </w:r>
      <w:r w:rsidRPr="00750FAA">
        <w:rPr>
          <w:rFonts w:ascii="Times New Roman" w:hAnsi="Times New Roman" w:cs="Times New Roman"/>
        </w:rPr>
        <w:t xml:space="preserve">– a parte compradora do título o revende à parte vendedora (proprietária originária do título) </w:t>
      </w:r>
      <w:r w:rsidRPr="00750FAA">
        <w:rPr>
          <w:rFonts w:ascii="Times New Roman" w:hAnsi="Times New Roman" w:cs="Times New Roman"/>
        </w:rPr>
        <w:lastRenderedPageBreak/>
        <w:t xml:space="preserve">cobrando uma taxa que se embute no valor do negócio. Justamente sobre a diferença entre o valor pago pelo título e o valor de sua revenda é que se calcula a taxa SELIC. </w:t>
      </w:r>
    </w:p>
    <w:p w:rsidR="008013EA" w:rsidRDefault="008013EA" w:rsidP="008013EA">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Evidencia-se do exposto que a taxa SELIC não se refere propriamente aos rendimentos decorrentes da remuneração de títulos da dívida federal, mas, sim, à remuneração dos agentes econômicos pela compra e venda de tais títulos, consistindo, pois, na média de juros das operações de overnight, ou, nas palavras de Luiz Antonio Rizzato Nunes (2005, p. 83), no “juro médio mensalizado e ajustado das operações compromissadas efetuados com os títulos do Tesouro Nacional e o Banco Central registrados no Selic”. </w:t>
      </w:r>
    </w:p>
    <w:p w:rsidR="008D773B" w:rsidRDefault="008D773B" w:rsidP="008013EA">
      <w:pPr>
        <w:pStyle w:val="Default"/>
        <w:spacing w:line="360" w:lineRule="auto"/>
        <w:ind w:firstLine="708"/>
        <w:jc w:val="both"/>
        <w:rPr>
          <w:rFonts w:ascii="Times New Roman" w:hAnsi="Times New Roman" w:cs="Times New Roman"/>
        </w:rPr>
      </w:pPr>
    </w:p>
    <w:p w:rsidR="008D773B" w:rsidRDefault="008D773B" w:rsidP="008D773B">
      <w:pPr>
        <w:pStyle w:val="Default"/>
        <w:rPr>
          <w:rFonts w:ascii="Times New Roman" w:hAnsi="Times New Roman" w:cs="Times New Roman"/>
        </w:rPr>
      </w:pPr>
      <w:r w:rsidRPr="00750FAA">
        <w:rPr>
          <w:rFonts w:ascii="Times New Roman" w:hAnsi="Times New Roman" w:cs="Times New Roman"/>
        </w:rPr>
        <w:t xml:space="preserve">4.2. TAXA SELIC E INSEGURANÇA JURÍDICA </w:t>
      </w:r>
    </w:p>
    <w:p w:rsidR="008D773B" w:rsidRPr="00750FAA" w:rsidRDefault="008D773B" w:rsidP="008D773B">
      <w:pPr>
        <w:pStyle w:val="Default"/>
        <w:rPr>
          <w:rFonts w:ascii="Times New Roman" w:hAnsi="Times New Roman" w:cs="Times New Roman"/>
        </w:rPr>
      </w:pPr>
    </w:p>
    <w:p w:rsidR="008D773B" w:rsidRPr="00750FAA" w:rsidRDefault="008D773B" w:rsidP="008D773B">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A constatação de que a taxa SELIC encontra-se inserida no âmbito do Sistema Especial de Liquidação e Custódia (SELIC), configurando instrumento de condução da política monetária nacional, evidencia a elevada insegurança jurídica decorrente de sua utilização como índice de juros moratórios legais das dívidas civis. </w:t>
      </w:r>
    </w:p>
    <w:p w:rsidR="008D773B" w:rsidRDefault="008D773B" w:rsidP="008D773B">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A rigor, a adoção da taxa SELIC nesse contexto (como índice de juros de mora legais de dívidas cíveis) não apenas mistura espaços distintos da economia nacional, como também não observa um critério econômico lógico aceitável. </w:t>
      </w:r>
    </w:p>
    <w:p w:rsidR="008D773B" w:rsidRPr="00750FAA" w:rsidRDefault="008D773B" w:rsidP="008D773B">
      <w:pPr>
        <w:tabs>
          <w:tab w:val="left" w:pos="585"/>
          <w:tab w:val="center" w:pos="4394"/>
        </w:tabs>
        <w:spacing w:line="360" w:lineRule="auto"/>
        <w:jc w:val="both"/>
        <w:rPr>
          <w:rFonts w:ascii="Times New Roman" w:hAnsi="Times New Roman" w:cs="Times New Roman"/>
          <w:sz w:val="24"/>
          <w:szCs w:val="24"/>
        </w:rPr>
      </w:pPr>
      <w:r>
        <w:tab/>
      </w:r>
      <w:r w:rsidRPr="00750FAA">
        <w:rPr>
          <w:rFonts w:ascii="Times New Roman" w:hAnsi="Times New Roman" w:cs="Times New Roman"/>
          <w:sz w:val="24"/>
          <w:szCs w:val="24"/>
        </w:rPr>
        <w:t xml:space="preserve"> </w:t>
      </w:r>
      <w:r>
        <w:rPr>
          <w:rFonts w:ascii="Times New Roman" w:hAnsi="Times New Roman" w:cs="Times New Roman"/>
          <w:sz w:val="24"/>
          <w:szCs w:val="24"/>
        </w:rPr>
        <w:t>I</w:t>
      </w:r>
      <w:r w:rsidRPr="00750FAA">
        <w:rPr>
          <w:rFonts w:ascii="Times New Roman" w:hAnsi="Times New Roman" w:cs="Times New Roman"/>
          <w:sz w:val="24"/>
          <w:szCs w:val="24"/>
        </w:rPr>
        <w:t xml:space="preserve">sto porque, sendo a taxa SELIC utilizada como instrumento de condução da política monetária nacional é certo que a mesma variará, em termos percentuais, de acordo com interesses governamentais que ditam a política adotada pelo Comitê de Política Monetária do Banco Central do Brasil (Copom), responsável pela divulgação da meta a ser atingida pela taxa SELIC (estimativa de juros). </w:t>
      </w:r>
    </w:p>
    <w:p w:rsidR="008D773B" w:rsidRPr="00750FAA" w:rsidRDefault="008D773B" w:rsidP="008D773B">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E como os interesses governamentais variam de acordo com critérios administrativos próprios (de conveniência e oportunidade), que não se confundem com os interesses particulares típicos de relações civis, isto se reflete no fato de o percentual da taxa SELIC não guardar equivalência aos anseios econômicos privados, que prezam sobremaneira pela segurança jurídica. </w:t>
      </w:r>
    </w:p>
    <w:p w:rsidR="008D773B" w:rsidRPr="00750FAA" w:rsidRDefault="008D773B" w:rsidP="008D773B">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Nesse sentido o entendimento esposado por Leonardo Mattietto (2003, p. 102) para quem a adoção da SELIC não se apresenta como critério seguro, transparente ou de fácil compreensão que possa ser aplicado como índice de juros de mora legais de dívidas civis. </w:t>
      </w:r>
    </w:p>
    <w:p w:rsidR="008D773B" w:rsidRPr="00750FAA" w:rsidRDefault="008D773B" w:rsidP="008D773B">
      <w:pPr>
        <w:pStyle w:val="Default"/>
        <w:spacing w:line="360" w:lineRule="auto"/>
        <w:jc w:val="both"/>
        <w:rPr>
          <w:rFonts w:ascii="Times New Roman" w:hAnsi="Times New Roman" w:cs="Times New Roman"/>
        </w:rPr>
      </w:pPr>
      <w:r w:rsidRPr="00750FAA">
        <w:rPr>
          <w:rFonts w:ascii="Times New Roman" w:hAnsi="Times New Roman" w:cs="Times New Roman"/>
        </w:rPr>
        <w:t xml:space="preserve">De fato, conforme afirma o autor (MATTIETTO, 2003, p. 102) “não seria nem mesmo minimamente razoável transferir, para os sujeitos de uma relação jurídica obrigacional </w:t>
      </w:r>
      <w:r w:rsidRPr="00750FAA">
        <w:rPr>
          <w:rFonts w:ascii="Times New Roman" w:hAnsi="Times New Roman" w:cs="Times New Roman"/>
        </w:rPr>
        <w:lastRenderedPageBreak/>
        <w:t xml:space="preserve">regida pelo Código Civil, as agruras da delicada e instável política econômica do governo federal, sujeita a pressões de variadas ordens, como o controle da inflação, a vida política do país e as sucessivas crises internacionais”. </w:t>
      </w:r>
    </w:p>
    <w:p w:rsidR="008D773B" w:rsidRPr="00750FAA" w:rsidRDefault="008D773B" w:rsidP="008D773B">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Ilustra a preocupação em questão a constatação de que em março de 2003 a taxa SELIC chegou a superar o patamar de 26% (vinte e seis por cento), enquanto que a média mensal da taxa SELIC no ano de 2012 não passou de 10% (dez por cento), valor este próximo àquele observado no corrente ano de 2014, em que a taxa tem se apresentado próxima ao patamar de 11% (onze por cento)21. </w:t>
      </w:r>
    </w:p>
    <w:p w:rsidR="008D773B" w:rsidRPr="00750FAA" w:rsidRDefault="008D773B" w:rsidP="008D773B">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Resta claro, portanto, que a adoção da taxa SELIC como índice dos juros moratórios legais das dívidas civis não atende à desejável segurança jurídica22 almejada nas relações jurídicas na medida em que inviabiliza o prévio conhecimento, pelos sujeitos da relação jurídica, dos valores relativos aos juros moratórios, o que afeta a previsibilidade relativa à evolução da dívida em caso de mora (AMARAL, 2006, 18-20). </w:t>
      </w:r>
    </w:p>
    <w:p w:rsidR="008D773B" w:rsidRPr="00750FAA" w:rsidRDefault="008D773B" w:rsidP="008D773B">
      <w:pPr>
        <w:spacing w:line="360" w:lineRule="auto"/>
        <w:ind w:firstLine="708"/>
        <w:jc w:val="both"/>
        <w:rPr>
          <w:rFonts w:ascii="Times New Roman" w:hAnsi="Times New Roman" w:cs="Times New Roman"/>
          <w:sz w:val="24"/>
          <w:szCs w:val="24"/>
        </w:rPr>
      </w:pPr>
      <w:r w:rsidRPr="00750FAA">
        <w:rPr>
          <w:rFonts w:ascii="Times New Roman" w:hAnsi="Times New Roman" w:cs="Times New Roman"/>
          <w:sz w:val="24"/>
          <w:szCs w:val="24"/>
        </w:rPr>
        <w:t>Nesse mesmo sentido se posicionam Cristiano Chaves de Farias e Nelson Rosenvald (2012, p. 616-617) ao corroborarem o entendimento manifestado no Enunciado n° 20 do</w:t>
      </w:r>
      <w:r>
        <w:rPr>
          <w:rFonts w:ascii="Times New Roman" w:hAnsi="Times New Roman" w:cs="Times New Roman"/>
          <w:sz w:val="24"/>
          <w:szCs w:val="24"/>
        </w:rPr>
        <w:t xml:space="preserve"> </w:t>
      </w:r>
      <w:r w:rsidRPr="00750FAA">
        <w:rPr>
          <w:rFonts w:ascii="Times New Roman" w:hAnsi="Times New Roman" w:cs="Times New Roman"/>
          <w:sz w:val="24"/>
          <w:szCs w:val="24"/>
        </w:rPr>
        <w:t xml:space="preserve">Centro de Estudos Judiciários do Conselho de Justiça Federal23 mediante a afirmação de que “a aplicação da taxa SELIC ofenderia a segurança jurídica e o princípio da legalidade tributária, posto fixada por ato unilateral do Comitê de Política Monetária do Banco Central, órgão do Poder Executivo”, entendimento este que conduz à conclusão no sentido da inconstitucionalidade da aplicação da taxa SELIC, por ofensa aos princípios da legalidade estrita e da indelegabilidade da competência tributária, que muito embora seja rechaçada pela jurisprudência do Supremo Tribunal Federal (STF)24, macula ainda mais a já prejudicada segurança jurídica desejada pelo ordenamento jurídico. </w:t>
      </w:r>
    </w:p>
    <w:p w:rsidR="008D773B" w:rsidRDefault="008D773B" w:rsidP="008D773B">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Evidenciada a insegurança jurídica proporcionada pela adoção da taxa SELIC como índice dos juros moratórios legais das dívidas civis, impende salientar não ser esta a única problemática envolvendo a matéria. Prossigamos, pois, na análise do tema. </w:t>
      </w:r>
    </w:p>
    <w:p w:rsidR="008F1F0C" w:rsidRDefault="008F1F0C" w:rsidP="008D773B">
      <w:pPr>
        <w:pStyle w:val="Default"/>
        <w:spacing w:line="360" w:lineRule="auto"/>
        <w:ind w:firstLine="708"/>
        <w:jc w:val="both"/>
        <w:rPr>
          <w:rFonts w:ascii="Times New Roman" w:hAnsi="Times New Roman" w:cs="Times New Roman"/>
        </w:rPr>
      </w:pPr>
    </w:p>
    <w:p w:rsidR="008F1F0C" w:rsidRDefault="008F1F0C" w:rsidP="008F1F0C">
      <w:pPr>
        <w:pStyle w:val="Default"/>
        <w:rPr>
          <w:rFonts w:ascii="Times New Roman" w:hAnsi="Times New Roman" w:cs="Times New Roman"/>
        </w:rPr>
      </w:pPr>
      <w:r w:rsidRPr="00750FAA">
        <w:rPr>
          <w:rFonts w:ascii="Times New Roman" w:hAnsi="Times New Roman" w:cs="Times New Roman"/>
        </w:rPr>
        <w:t xml:space="preserve">4.3. TAXA SELIC E CORREÇÃO MONETÁRIA </w:t>
      </w:r>
    </w:p>
    <w:p w:rsidR="008F1F0C" w:rsidRPr="00750FAA" w:rsidRDefault="008F1F0C" w:rsidP="008F1F0C">
      <w:pPr>
        <w:pStyle w:val="Default"/>
        <w:rPr>
          <w:rFonts w:ascii="Times New Roman" w:hAnsi="Times New Roman" w:cs="Times New Roman"/>
        </w:rPr>
      </w:pPr>
    </w:p>
    <w:p w:rsidR="008F1F0C" w:rsidRPr="00750FAA" w:rsidRDefault="008F1F0C" w:rsidP="008F1F0C">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Compreendida a natureza remuneratória de títulos ínsita à taxa SELIC, torna-se clara conclusão de que tal índice funciona tanto como forma de juros remuneratórios do capital empregado para a compra compromissada (com cláusula de revenda) de títulos públicos componentes da Dívida Pública Mobiliária Federal interna (DPMFi), quanto como correção monetária do capital empregado. </w:t>
      </w:r>
    </w:p>
    <w:p w:rsidR="008F1F0C" w:rsidRPr="00750FAA" w:rsidRDefault="008F1F0C" w:rsidP="008F1F0C">
      <w:pPr>
        <w:pStyle w:val="Default"/>
        <w:spacing w:line="360" w:lineRule="auto"/>
        <w:ind w:firstLine="708"/>
        <w:jc w:val="both"/>
        <w:rPr>
          <w:rFonts w:ascii="Times New Roman" w:hAnsi="Times New Roman" w:cs="Times New Roman"/>
        </w:rPr>
      </w:pPr>
      <w:r w:rsidRPr="00750FAA">
        <w:rPr>
          <w:rFonts w:ascii="Times New Roman" w:hAnsi="Times New Roman" w:cs="Times New Roman"/>
        </w:rPr>
        <w:lastRenderedPageBreak/>
        <w:t xml:space="preserve">Nesta senda, a adoção da taxa SELIC como índice aplicável aos juros moratórios legais traz importante questionamento envolvendo a excessiva penalização do devedor pela incidência de dupla correção monetária. </w:t>
      </w:r>
    </w:p>
    <w:p w:rsidR="008F1F0C" w:rsidRPr="00750FAA" w:rsidRDefault="008F1F0C" w:rsidP="008F1F0C">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Ora, uma vez inadimplida a obrigação, responde o devedor pelo pagamento de perdas e danos acrescidos de juros e atualização monetária (arts. 389, 395 e 404, do CC/02). Infere-se do exposto que, pela sistemática estabelecida pelo CC/02, os juros de mora incidirão de forma conjunta à atualização monetária da dívida. </w:t>
      </w:r>
    </w:p>
    <w:p w:rsidR="008F1F0C" w:rsidRPr="00750FAA" w:rsidRDefault="008F1F0C" w:rsidP="008F1F0C">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Ocorre que, como visto, a taxa SELIC compreende em sua composição um misto de correção monetária e juros, de modo que a concomitância de sua incidência com a atualização monetária da dívida implica em enriquecimento sem causa do credor25 por importar em inadmissível </w:t>
      </w:r>
      <w:r w:rsidRPr="00750FAA">
        <w:rPr>
          <w:rFonts w:ascii="Times New Roman" w:hAnsi="Times New Roman" w:cs="Times New Roman"/>
          <w:i/>
          <w:iCs/>
        </w:rPr>
        <w:t xml:space="preserve">bis in idem </w:t>
      </w:r>
      <w:r w:rsidRPr="00750FAA">
        <w:rPr>
          <w:rFonts w:ascii="Times New Roman" w:hAnsi="Times New Roman" w:cs="Times New Roman"/>
        </w:rPr>
        <w:t xml:space="preserve">(2011, TEPEDINO; BARBOZA; MORAES, p. 746). </w:t>
      </w:r>
    </w:p>
    <w:p w:rsidR="008F1F0C" w:rsidRPr="00750FAA" w:rsidRDefault="008F1F0C" w:rsidP="008F1F0C">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Diante disso, a jurisprudência do STJ consolidou o entendimento de que a aplicação da taxa SELIC a título de juros moratórios “exclui a incidência cumulativa de correção monetária, sob pena de </w:t>
      </w:r>
      <w:r w:rsidRPr="00750FAA">
        <w:rPr>
          <w:rFonts w:ascii="Times New Roman" w:hAnsi="Times New Roman" w:cs="Times New Roman"/>
          <w:i/>
          <w:iCs/>
        </w:rPr>
        <w:t>bis in idem</w:t>
      </w:r>
      <w:r w:rsidRPr="00750FAA">
        <w:rPr>
          <w:rFonts w:ascii="Times New Roman" w:hAnsi="Times New Roman" w:cs="Times New Roman"/>
        </w:rPr>
        <w:t xml:space="preserve">”26. </w:t>
      </w:r>
    </w:p>
    <w:p w:rsidR="008F1F0C" w:rsidRDefault="008F1F0C" w:rsidP="008F1F0C">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Embora irretocável o entendimento manifestado pelo STJ, não se pode olvidar as consequências práticas dele decorrentes, notadamente no que diz respeito à definição dos termos iniciais da correção monetária e dos juros de mora, e que inviabilizam a adoção da taxa SELIC como índice aplicável aos juros moratórios legais. </w:t>
      </w:r>
    </w:p>
    <w:p w:rsidR="008F1F0C" w:rsidRPr="00750FAA" w:rsidRDefault="008F1F0C" w:rsidP="008F1F0C">
      <w:pPr>
        <w:pStyle w:val="Default"/>
        <w:spacing w:line="360" w:lineRule="auto"/>
        <w:ind w:firstLine="708"/>
        <w:jc w:val="both"/>
        <w:rPr>
          <w:rFonts w:ascii="Times New Roman" w:hAnsi="Times New Roman" w:cs="Times New Roman"/>
        </w:rPr>
      </w:pPr>
    </w:p>
    <w:p w:rsidR="008F1F0C" w:rsidRDefault="008F1F0C" w:rsidP="008F1F0C">
      <w:pPr>
        <w:pStyle w:val="Default"/>
        <w:spacing w:line="360" w:lineRule="auto"/>
        <w:jc w:val="both"/>
        <w:rPr>
          <w:rFonts w:ascii="Times New Roman" w:hAnsi="Times New Roman" w:cs="Times New Roman"/>
        </w:rPr>
      </w:pPr>
      <w:r w:rsidRPr="00750FAA">
        <w:rPr>
          <w:rFonts w:ascii="Times New Roman" w:hAnsi="Times New Roman" w:cs="Times New Roman"/>
        </w:rPr>
        <w:t xml:space="preserve">4.3.1. INCOMPATIBILIDADE ENTRE A TAXA SELIC E A SISTEMÁTICA DA CORREÇÃO MONETÁRIA E DOS JUROS DE MORA </w:t>
      </w:r>
    </w:p>
    <w:p w:rsidR="008F1F0C" w:rsidRPr="00750FAA" w:rsidRDefault="008F1F0C" w:rsidP="008F1F0C">
      <w:pPr>
        <w:pStyle w:val="Default"/>
        <w:rPr>
          <w:rFonts w:ascii="Times New Roman" w:hAnsi="Times New Roman" w:cs="Times New Roman"/>
        </w:rPr>
      </w:pPr>
    </w:p>
    <w:p w:rsidR="008F1F0C" w:rsidRPr="00750FAA" w:rsidRDefault="008F1F0C" w:rsidP="008F1F0C">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Como visto, por não contemplar apenas juros, mas também correção monetária, a taxa SELIC não pode ser combinada com esta, pena de </w:t>
      </w:r>
      <w:r w:rsidRPr="00750FAA">
        <w:rPr>
          <w:rFonts w:ascii="Times New Roman" w:hAnsi="Times New Roman" w:cs="Times New Roman"/>
          <w:i/>
          <w:iCs/>
        </w:rPr>
        <w:t>bis in idem</w:t>
      </w:r>
      <w:r w:rsidRPr="00750FAA">
        <w:rPr>
          <w:rFonts w:ascii="Times New Roman" w:hAnsi="Times New Roman" w:cs="Times New Roman"/>
        </w:rPr>
        <w:t xml:space="preserve">. Assim, a solução do STJ foi afastar a correção monetária sempre que incidente a taxa SELIC a título de juros de mora. </w:t>
      </w:r>
    </w:p>
    <w:p w:rsidR="008F1F0C" w:rsidRPr="00750FAA" w:rsidRDefault="008F1F0C" w:rsidP="008F1F0C">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Todavia, a prática forense tem demonstrado que a propalada solução não consegue compatibilizar a incidência de tais fatores (taxa SELIC e correção monetária), causando distorções que não encontram respaldo normativo, notadamente quando diferentes os seus respectivos termos iniciais. </w:t>
      </w:r>
    </w:p>
    <w:p w:rsidR="008F1F0C" w:rsidRPr="00750FAA" w:rsidRDefault="008F1F0C" w:rsidP="008F1F0C">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Para tanto, basta imaginar a hipótese dos juros de mora possuírem termo inicial cronologicamente anterior ao termo </w:t>
      </w:r>
      <w:r w:rsidRPr="00750FAA">
        <w:rPr>
          <w:rFonts w:ascii="Times New Roman" w:hAnsi="Times New Roman" w:cs="Times New Roman"/>
          <w:i/>
          <w:iCs/>
        </w:rPr>
        <w:t xml:space="preserve">a quo </w:t>
      </w:r>
      <w:r w:rsidRPr="00750FAA">
        <w:rPr>
          <w:rFonts w:ascii="Times New Roman" w:hAnsi="Times New Roman" w:cs="Times New Roman"/>
        </w:rPr>
        <w:t xml:space="preserve">da correção monetária. Nesse caso, como a taxa SELIC inexoravelmente contempla correção monetária, admitir a incidência de tal indexador a título de juros de mora implicaria, na prática, na incidência da correção </w:t>
      </w:r>
      <w:r w:rsidRPr="00750FAA">
        <w:rPr>
          <w:rFonts w:ascii="Times New Roman" w:hAnsi="Times New Roman" w:cs="Times New Roman"/>
        </w:rPr>
        <w:lastRenderedPageBreak/>
        <w:t xml:space="preserve">monetária em momento anterior à data em que esta deveria ocorrer. E mais, aplicar a taxa SELIC em tal hipótese significaria afastar a incidência da correção monetária autônoma, que deverá deixar de ser aplicada, já que inadmissível o </w:t>
      </w:r>
      <w:r w:rsidRPr="00750FAA">
        <w:rPr>
          <w:rFonts w:ascii="Times New Roman" w:hAnsi="Times New Roman" w:cs="Times New Roman"/>
          <w:i/>
          <w:iCs/>
        </w:rPr>
        <w:t>bis in idem</w:t>
      </w:r>
      <w:r w:rsidRPr="00750FAA">
        <w:rPr>
          <w:rFonts w:ascii="Times New Roman" w:hAnsi="Times New Roman" w:cs="Times New Roman"/>
        </w:rPr>
        <w:t xml:space="preserve">. </w:t>
      </w:r>
    </w:p>
    <w:p w:rsidR="008F1F0C" w:rsidRPr="00750FAA" w:rsidRDefault="008F1F0C" w:rsidP="008F1F0C">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É o caso, p. ex., de responsabilidade civil aquiliana (extracontratual)27 na qual os juros de mora devem retroagir à data do evento danoso, na forma da súmula jurisprudencial n° 54, do STJ28, podendo eventual correção monetária, a depender do caso concreto, ter sua incidência em momento posterior, como ocorre na atualização monetária de indenização por danos morais, que deve ter seu termo inicial fixado no momento do arbitramento judicial do </w:t>
      </w:r>
      <w:r w:rsidRPr="00750FAA">
        <w:rPr>
          <w:rFonts w:ascii="Times New Roman" w:hAnsi="Times New Roman" w:cs="Times New Roman"/>
          <w:i/>
          <w:iCs/>
        </w:rPr>
        <w:t xml:space="preserve">quantum </w:t>
      </w:r>
      <w:r w:rsidRPr="00750FAA">
        <w:rPr>
          <w:rFonts w:ascii="Times New Roman" w:hAnsi="Times New Roman" w:cs="Times New Roman"/>
        </w:rPr>
        <w:t xml:space="preserve">indenizatório, em consonância com o que estabelece a súmula jurisprudencial n° 362, do STJ29. </w:t>
      </w:r>
    </w:p>
    <w:p w:rsidR="008F1F0C" w:rsidRPr="00750FAA" w:rsidRDefault="008F1F0C" w:rsidP="008F1F0C">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Tal situação não passou despercebida pelo Relator do recurso especial n° 1.081.149, submetido ao regime jurídico dos recursos repetitivos (art. 543-C do CPC/73), o Min. Luis Felipe Salomão, que ao proferir voto em sentido contrário à aplicação da taxa SELIC como índice de juros moratórios legais de dívidas civis consignou que, independentemente da discussão a respeito da interpretação do art. 406 do CC/02 indicar, ou não, a utilização da taxa SELIC como juros legais, “o fato é que sua incidência se torna impraticável em situação como a dos autos, em que os juros moratórios fluem a partir do evento danoso (Súmula 54) e a correção monetária em momento posterior (Súmula 362)”30. </w:t>
      </w:r>
    </w:p>
    <w:p w:rsidR="008F1F0C" w:rsidRPr="00750FAA" w:rsidRDefault="008F1F0C" w:rsidP="008F1F0C">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Incompatibilidade semelhante ocorre quando o termo inicial dos juros de mora incide em momento posterior ao termo inicial da correção monetária. Como a taxa SELIC compreende correção monetária, a fim de evitar o </w:t>
      </w:r>
      <w:r w:rsidRPr="00750FAA">
        <w:rPr>
          <w:rFonts w:ascii="Times New Roman" w:hAnsi="Times New Roman" w:cs="Times New Roman"/>
          <w:i/>
          <w:iCs/>
        </w:rPr>
        <w:t>bis in idem</w:t>
      </w:r>
      <w:r w:rsidRPr="00750FAA">
        <w:rPr>
          <w:rFonts w:ascii="Times New Roman" w:hAnsi="Times New Roman" w:cs="Times New Roman"/>
        </w:rPr>
        <w:t xml:space="preserve">, sua aplicação na hipótese concreta deverá acarretar a suspensão da correção monetária autônoma que já havia se iniciado. </w:t>
      </w:r>
    </w:p>
    <w:p w:rsidR="008F1F0C" w:rsidRPr="00750FAA" w:rsidRDefault="008F1F0C" w:rsidP="008F1F0C">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É o que ocorre, por exemplo, quando um consumidor ajuíza demanda postulando a restituição da quantia paga, monetariamente atualizada, por um produto que apresentou vício não sanado no prazo de 30 (trinta) dias (art. 18, §1°, inc. II, da Lei n° 8.078/9031). Nesse caso, por se tratar de responsabilidade contratual, os juros de mora incidirão a partir da citação (art. 405, do CC/0232 e artigo 219, do CPC/7333) sendo a correção monetária devida desde a data da realização do pagamento referente ao produto pelo consumidor. Nesse caso, conforme salientado, a partir do termo inicial da taxa SELIC, na qualidade de juros de mora, deverá ser interrompida a correção monetária autônoma, sob pena de ocorrência de </w:t>
      </w:r>
      <w:r w:rsidRPr="00750FAA">
        <w:rPr>
          <w:rFonts w:ascii="Times New Roman" w:hAnsi="Times New Roman" w:cs="Times New Roman"/>
          <w:i/>
          <w:iCs/>
        </w:rPr>
        <w:t>bis in idem</w:t>
      </w:r>
      <w:r w:rsidRPr="00750FAA">
        <w:rPr>
          <w:rFonts w:ascii="Times New Roman" w:hAnsi="Times New Roman" w:cs="Times New Roman"/>
        </w:rPr>
        <w:t xml:space="preserve">. </w:t>
      </w:r>
    </w:p>
    <w:p w:rsidR="008F1F0C" w:rsidRPr="00750FAA" w:rsidRDefault="008F1F0C" w:rsidP="008F1F0C">
      <w:pPr>
        <w:pStyle w:val="Default"/>
        <w:spacing w:line="360" w:lineRule="auto"/>
        <w:ind w:firstLine="708"/>
        <w:jc w:val="both"/>
        <w:rPr>
          <w:rFonts w:ascii="Times New Roman" w:hAnsi="Times New Roman" w:cs="Times New Roman"/>
        </w:rPr>
      </w:pPr>
      <w:r w:rsidRPr="00750FAA">
        <w:rPr>
          <w:rFonts w:ascii="Times New Roman" w:hAnsi="Times New Roman" w:cs="Times New Roman"/>
        </w:rPr>
        <w:lastRenderedPageBreak/>
        <w:t xml:space="preserve">Com efeito, observa-se que, em ambas as hipóteses, a aplicação da taxa SELIC como índice dos juros de mora conflita com a sistemática legal sufragada pelo STJ de incidência da correção monetária e dos juros de mora, exigindo a promoção de alterações na forma de sua incidência que, apesar de não serem expressamente respaldadas por lei, são imperiosas a fim de evitar o enriquecimento sem causa pelo </w:t>
      </w:r>
      <w:r w:rsidRPr="00750FAA">
        <w:rPr>
          <w:rFonts w:ascii="Times New Roman" w:hAnsi="Times New Roman" w:cs="Times New Roman"/>
          <w:i/>
          <w:iCs/>
        </w:rPr>
        <w:t>bis in idem</w:t>
      </w:r>
      <w:r w:rsidRPr="00750FAA">
        <w:rPr>
          <w:rFonts w:ascii="Times New Roman" w:hAnsi="Times New Roman" w:cs="Times New Roman"/>
        </w:rPr>
        <w:t xml:space="preserve">, o que somente agrava a insegurança jurídica já proporcionada pela utilização de tal indexador econômico na seara civil. </w:t>
      </w:r>
    </w:p>
    <w:p w:rsidR="008F1F0C" w:rsidRPr="00750FAA" w:rsidRDefault="008F1F0C" w:rsidP="008D773B">
      <w:pPr>
        <w:pStyle w:val="Default"/>
        <w:spacing w:line="360" w:lineRule="auto"/>
        <w:ind w:firstLine="708"/>
        <w:jc w:val="both"/>
        <w:rPr>
          <w:rFonts w:ascii="Times New Roman" w:hAnsi="Times New Roman" w:cs="Times New Roman"/>
        </w:rPr>
      </w:pPr>
    </w:p>
    <w:p w:rsidR="00AE32C1" w:rsidRDefault="00AE32C1" w:rsidP="00AE32C1">
      <w:pPr>
        <w:pStyle w:val="Default"/>
        <w:rPr>
          <w:rFonts w:ascii="Times New Roman" w:hAnsi="Times New Roman" w:cs="Times New Roman"/>
          <w:b/>
          <w:bCs/>
        </w:rPr>
      </w:pPr>
      <w:r w:rsidRPr="00750FAA">
        <w:rPr>
          <w:rFonts w:ascii="Times New Roman" w:hAnsi="Times New Roman" w:cs="Times New Roman"/>
          <w:b/>
          <w:bCs/>
        </w:rPr>
        <w:t xml:space="preserve">5. SOLUÇÃO </w:t>
      </w:r>
    </w:p>
    <w:p w:rsidR="00AE32C1" w:rsidRPr="00750FAA" w:rsidRDefault="00AE32C1" w:rsidP="00AE32C1">
      <w:pPr>
        <w:pStyle w:val="Default"/>
        <w:rPr>
          <w:rFonts w:ascii="Times New Roman" w:hAnsi="Times New Roman" w:cs="Times New Roman"/>
        </w:rPr>
      </w:pPr>
    </w:p>
    <w:p w:rsidR="00AE32C1" w:rsidRPr="00750FAA" w:rsidRDefault="00AE32C1" w:rsidP="00AE32C1">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Diante da inviabilidade de aplicação da taxa SELIC como índice dos juros moratórios legais, impende buscar na legislação em vigor que índice poderia ser utilizado em sua substituição. </w:t>
      </w:r>
    </w:p>
    <w:p w:rsidR="00AE32C1" w:rsidRPr="00750FAA" w:rsidRDefault="00AE32C1" w:rsidP="00AE32C1">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Como visto a determinação inserida no art. 406, do CC/02, implica na adoção da “taxa que estiver em vigor para a mora do pagamento de impostos devidos à Fazenda Nacional”. Embora não se olvide que art. 13 da Lei n° 9.065/9534, art. 84 da Lei n° 8.981/9535, art. 39, § 4º, da Lei n° 9.250/9536, art. 61, § 3º, da Lei n° 9.430/9637 e art. 30 da Lei n° 10.522/0238 indiquem a aplicação da taxa SELIC na condição de juros de mora, é certo que o art. 161, §1°, do Código Tributário Nacional (CTN)39 elege o percentual de 1% (um por cento) como taxa subsidiária, isto é, aplicável caso não disposto de modo diverso em lei. </w:t>
      </w:r>
    </w:p>
    <w:p w:rsidR="00AE32C1" w:rsidRPr="00750FAA" w:rsidRDefault="00AE32C1" w:rsidP="00AE32C1">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Saliente-se que, em razão da inviabilidade acerca da utilização da taxa SELIC como índice dos juros moratórios legais, a utilização do percentual fixo em questão como juros moratórios legais, além de encontrar amparo na legislação (artigo 161, §1°, do CTN), coaduna-se com a sistemática da incidência da correção monetária, e sua compatibilização com os juros de mora, e se apresenta como medida consentânea ao postulado da segurança jurídica na medida em que permite o prévio conhecimento do percentual de juros moratório legal aplicável em caso de mora40. </w:t>
      </w:r>
    </w:p>
    <w:p w:rsidR="00AE32C1" w:rsidRPr="00750FAA" w:rsidRDefault="00AE32C1" w:rsidP="00AE32C1">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Além disso, sobreleva ressaltar que o percentual de 1% (um por cento) representa valor respaldado pelas práticas mercantis, bem como se encontra dentro do limite de 2% (dois por cento) previsto no art. 52, §1°, da Lei n° 8.078/90, para as multas decorrentes de mora, o que serve de baliza para se afirmar a razoabilidade e proporcionalidade do percentual de 1% (um por cento) previsto abstratamente, por lei, para os juros moratórios legais. </w:t>
      </w:r>
    </w:p>
    <w:p w:rsidR="00AE32C1" w:rsidRPr="00750FAA" w:rsidRDefault="00AE32C1" w:rsidP="00AE32C1">
      <w:pPr>
        <w:pStyle w:val="Default"/>
        <w:spacing w:line="360" w:lineRule="auto"/>
        <w:ind w:firstLine="708"/>
        <w:jc w:val="both"/>
        <w:rPr>
          <w:rFonts w:ascii="Times New Roman" w:hAnsi="Times New Roman" w:cs="Times New Roman"/>
        </w:rPr>
      </w:pPr>
      <w:r w:rsidRPr="00750FAA">
        <w:rPr>
          <w:rFonts w:ascii="Times New Roman" w:hAnsi="Times New Roman" w:cs="Times New Roman"/>
        </w:rPr>
        <w:lastRenderedPageBreak/>
        <w:t xml:space="preserve">Outrossim, não se pode olvidar que os argumentos apresentados no presente estudo, mormente no que tange à incompatibilidade da aplicação da taxa SELIC diante da sistemática em vigor relativamente aos juros moratórias e à correção monetária, somam-se àqueles outros argumentos também apresentados, notadamente no que concerne à insegurança jurídica proporcionada pela taxa SELIC, e defendidos com juridicidade por autores de escol que expressamente entendem pela aplicação percentual de 1% (um por cento) previsto no artigo 161, §1°, do CTN, como índice aplicável aos juros de mora legais, tais como Luiz Antonio Rizzato Nunes (2005, p. 84-85), Arnaldo Rizzardo (2013, p. 508), Leonardo Mattietto (2003, p. 106), Paulo R. Khouri (2004, 172), Carlos Roberto Gonçalves (2008, p. 386), Cristiano Chaves de Farias e Nelson Rosenvald (2012, 616-618), Nelson Nery Junior e Rosa Maria de Andrade Nery (2008, p. 483), e Guilherme Calmon Nogueira da Gama, conforme entendimento manifestado na atualização da obra de Caio Mário da Silva Pereira (2013, p. 335). </w:t>
      </w:r>
    </w:p>
    <w:p w:rsidR="00F80F0F" w:rsidRDefault="00F80F0F" w:rsidP="00583ED8">
      <w:pPr>
        <w:spacing w:line="360" w:lineRule="auto"/>
        <w:jc w:val="left"/>
        <w:rPr>
          <w:rFonts w:ascii="Times New Roman" w:hAnsi="Times New Roman" w:cs="Times New Roman"/>
          <w:sz w:val="24"/>
          <w:szCs w:val="24"/>
        </w:rPr>
      </w:pPr>
    </w:p>
    <w:p w:rsidR="00AE32C1" w:rsidRDefault="00AE32C1" w:rsidP="00AE32C1">
      <w:pPr>
        <w:spacing w:line="240" w:lineRule="auto"/>
        <w:jc w:val="both"/>
        <w:rPr>
          <w:rFonts w:ascii="Times New Roman" w:hAnsi="Times New Roman" w:cs="Times New Roman"/>
          <w:b/>
          <w:bCs/>
          <w:sz w:val="24"/>
          <w:szCs w:val="24"/>
        </w:rPr>
      </w:pPr>
      <w:r w:rsidRPr="00750FAA">
        <w:rPr>
          <w:rFonts w:ascii="Times New Roman" w:hAnsi="Times New Roman" w:cs="Times New Roman"/>
          <w:b/>
          <w:bCs/>
          <w:sz w:val="24"/>
          <w:szCs w:val="24"/>
        </w:rPr>
        <w:t>6. CONCLUSÃO</w:t>
      </w:r>
    </w:p>
    <w:p w:rsidR="00AE32C1" w:rsidRPr="00750FAA" w:rsidRDefault="00AE32C1" w:rsidP="00AE32C1">
      <w:pPr>
        <w:spacing w:line="240" w:lineRule="auto"/>
        <w:jc w:val="both"/>
        <w:rPr>
          <w:rFonts w:ascii="Times New Roman" w:hAnsi="Times New Roman" w:cs="Times New Roman"/>
          <w:b/>
          <w:bCs/>
          <w:sz w:val="24"/>
          <w:szCs w:val="24"/>
        </w:rPr>
      </w:pPr>
    </w:p>
    <w:p w:rsidR="00AE32C1" w:rsidRPr="00750FAA" w:rsidRDefault="00AE32C1" w:rsidP="00AE32C1">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Consoante afirmado na introdução do presente estudo, após o STJ haver consolidado, em meados da década passada, o entendimento acerca da utilização da taxa SELIC como índice aplicável aos juros moratórios legais, aquele mesmo Colendo Tribunal afetou à sua Corte Especial, sob o regime jurídico dos recursos repetitivos (art. 543-C do CPC), o recurso especial n° 1.081.149, a fim de retomar a discussão a respeito da utilização da taxa SELIC como índice aplicável aos juros moratórios legais das dívidas civis. Tem-se, portanto, a oportunidade de se repensar a questão, agora com a vantagem da experiência de anos de aplicação de tal taxa na condição de juros de mora legais. </w:t>
      </w:r>
    </w:p>
    <w:p w:rsidR="00AE32C1" w:rsidRPr="00750FAA" w:rsidRDefault="00AE32C1" w:rsidP="00AE32C1">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Conforme a definição do Banco Central do Brasil, a taxa SELIC constitui “a taxa média ajustada dos financiamentos diários apurados no Sistema Especial de Liquidação e de Custódia (Selic) para títulos federais”. Referido índice econômico encontra-se inserido no âmbito do Sistema Especial de Liquidação e Custódia (SELIC) e configura um dos principais instrumentos de condução da política monetária nacional. </w:t>
      </w:r>
    </w:p>
    <w:p w:rsidR="00AE32C1" w:rsidRPr="00750FAA" w:rsidRDefault="00AE32C1" w:rsidP="00AE32C1">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Disso decorre a elevada insegurança jurídica decorrente de sua utilização como índice de juros moratórios legais das dívidas civis. Ora, a adoção da taxa SELIC como índice de juros de mora legais de dívidas cíveis não apenas mistura espaços distintos da economia nacional (público e privado), como também não observa um critério econômico lógico aceitável. </w:t>
      </w:r>
    </w:p>
    <w:p w:rsidR="00AE32C1" w:rsidRPr="00750FAA" w:rsidRDefault="00AE32C1" w:rsidP="00AE32C1">
      <w:pPr>
        <w:pStyle w:val="Default"/>
        <w:spacing w:line="360" w:lineRule="auto"/>
        <w:ind w:firstLine="708"/>
        <w:jc w:val="both"/>
        <w:rPr>
          <w:rFonts w:ascii="Times New Roman" w:hAnsi="Times New Roman" w:cs="Times New Roman"/>
        </w:rPr>
      </w:pPr>
      <w:r w:rsidRPr="00750FAA">
        <w:rPr>
          <w:rFonts w:ascii="Times New Roman" w:hAnsi="Times New Roman" w:cs="Times New Roman"/>
        </w:rPr>
        <w:lastRenderedPageBreak/>
        <w:t xml:space="preserve">Com efeito, sendo a taxa SELIC utilizada como instrumento de condução da política monetária nacional, é usual a existência de significativas variações de seus percentuais de acordo com os interesses governamentais que ditam a política adotada pelo Comitê de Política Monetária do Banco Central do Brasil (Copom), o que atenta contra a desejável segurança jurídica que se pretende obter através da realização de negócios jurídicos, mormente no âmbito das relações jurídicas de natureza privada. </w:t>
      </w:r>
    </w:p>
    <w:p w:rsidR="00AE32C1" w:rsidRPr="00750FAA" w:rsidRDefault="00AE32C1" w:rsidP="00AE32C1">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Mas não é só. A insegurança jurídica decorrente da utilização da taxa SELIC como índice aplicável aos juros de mora legais é agravada pelo fato do referido indexador funcionar tanto como forma de correção monetária, quanto de juros remuneratórios do capital empregado para a compra compromissada (com cláusula de revenda) de títulos públicos componentes da Dívida Pública Mobiliária Federal interna (DPMFi). </w:t>
      </w:r>
    </w:p>
    <w:p w:rsidR="00AE32C1" w:rsidRDefault="00AE32C1" w:rsidP="00AE32C1">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Destarte, por já levar em consideração a correção monetária em sua formulação, a taxa SELIC não pode ser aplicada cumulativamente com qualquer forma de correção do poder de compra da moeda, pena de ocorrência de </w:t>
      </w:r>
      <w:r w:rsidRPr="00750FAA">
        <w:rPr>
          <w:rFonts w:ascii="Times New Roman" w:hAnsi="Times New Roman" w:cs="Times New Roman"/>
          <w:i/>
          <w:iCs/>
        </w:rPr>
        <w:t xml:space="preserve">bis in idem </w:t>
      </w:r>
      <w:r w:rsidRPr="00750FAA">
        <w:rPr>
          <w:rFonts w:ascii="Times New Roman" w:hAnsi="Times New Roman" w:cs="Times New Roman"/>
        </w:rPr>
        <w:t xml:space="preserve">que agravaria de modo desproporcional a situação daquele que se encontra em mora, gerando, ainda, o enriquecimento sem causa do credor. Outra consequência de tal caráter híbrido41 da taxa SELIC é que referido índice não se coaduna com a sistemática legal, há muito sufragado pelo STJ, de incidência da correção monetária e dos juros de mora. </w:t>
      </w:r>
    </w:p>
    <w:p w:rsidR="00CE1DEA" w:rsidRPr="00750FAA" w:rsidRDefault="00CE1DEA" w:rsidP="00CE1DEA">
      <w:pPr>
        <w:pStyle w:val="Default"/>
        <w:spacing w:line="360" w:lineRule="auto"/>
        <w:ind w:firstLine="708"/>
        <w:jc w:val="both"/>
        <w:rPr>
          <w:rFonts w:ascii="Times New Roman" w:hAnsi="Times New Roman" w:cs="Times New Roman"/>
        </w:rPr>
      </w:pPr>
      <w:r w:rsidRPr="00750FAA">
        <w:rPr>
          <w:rFonts w:ascii="Times New Roman" w:hAnsi="Times New Roman" w:cs="Times New Roman"/>
        </w:rPr>
        <w:t xml:space="preserve">Nesta senda, diante da inviabilidade de aplicação da taxa SELIC como índice legal de juros de mora, tem-se por imperiosa a evolução da interpretação acerca do referido indexador, sem olvidar acerca da determinação inserida no artigo 406 do CC/02 que vincula os juros moratórios legais à “taxa que estiver em vigor para a mora do pagamento de impostos devidos à Fazenda Nacional”. </w:t>
      </w:r>
    </w:p>
    <w:p w:rsidR="00CE1DEA" w:rsidRPr="00750FAA" w:rsidRDefault="00CE1DEA" w:rsidP="00CE1DEA">
      <w:pPr>
        <w:pStyle w:val="Default"/>
        <w:spacing w:line="360" w:lineRule="auto"/>
        <w:jc w:val="both"/>
        <w:rPr>
          <w:rFonts w:ascii="Times New Roman" w:hAnsi="Times New Roman" w:cs="Times New Roman"/>
        </w:rPr>
      </w:pPr>
      <w:r w:rsidRPr="00750FAA">
        <w:rPr>
          <w:rFonts w:ascii="Times New Roman" w:hAnsi="Times New Roman" w:cs="Times New Roman"/>
        </w:rPr>
        <w:t xml:space="preserve">Como visto a aplicação do referido percentual como juros moratórios legais, além de guardar coerência com a sistemática legal em vigor e prestigiar o postulado da segurança jurídica, encontra apoio de abalizada doutrina, de modo que se espera que o STJ na oportunidade do julgamento do recurso especial n° 1.081.149, sob a sistemática dos recursos repetitivos (art. 543-C do CPC/73), reveja o posicionamento atualmente adotado acerca do índice aplicável aos juros moratórios legais, afastando-se a incidência da taxa SELIC em prol da aplicação do percentual de 1% (um por cento) previsto no art. 161, §1°, do CTN. </w:t>
      </w:r>
    </w:p>
    <w:p w:rsidR="00CE1DEA" w:rsidRDefault="00CE1DEA" w:rsidP="00AE32C1">
      <w:pPr>
        <w:pStyle w:val="Default"/>
        <w:spacing w:line="360" w:lineRule="auto"/>
        <w:ind w:firstLine="708"/>
        <w:jc w:val="both"/>
        <w:rPr>
          <w:rFonts w:ascii="Times New Roman" w:hAnsi="Times New Roman" w:cs="Times New Roman"/>
        </w:rPr>
      </w:pPr>
    </w:p>
    <w:p w:rsidR="00CB2878" w:rsidRDefault="00CB2878" w:rsidP="00AE32C1">
      <w:pPr>
        <w:pStyle w:val="Default"/>
        <w:spacing w:line="360" w:lineRule="auto"/>
        <w:ind w:firstLine="708"/>
        <w:jc w:val="both"/>
        <w:rPr>
          <w:rFonts w:ascii="Times New Roman" w:hAnsi="Times New Roman" w:cs="Times New Roman"/>
        </w:rPr>
      </w:pPr>
    </w:p>
    <w:p w:rsidR="00CB2878" w:rsidRDefault="00CB2878" w:rsidP="00AE32C1">
      <w:pPr>
        <w:pStyle w:val="Default"/>
        <w:spacing w:line="360" w:lineRule="auto"/>
        <w:ind w:firstLine="708"/>
        <w:jc w:val="both"/>
        <w:rPr>
          <w:rFonts w:ascii="Times New Roman" w:hAnsi="Times New Roman" w:cs="Times New Roman"/>
        </w:rPr>
      </w:pPr>
    </w:p>
    <w:p w:rsidR="00745D3A" w:rsidRDefault="00E31960" w:rsidP="00745D3A">
      <w:pPr>
        <w:spacing w:line="360" w:lineRule="auto"/>
        <w:jc w:val="left"/>
        <w:rPr>
          <w:rFonts w:ascii="Times New Roman" w:hAnsi="Times New Roman" w:cs="Times New Roman"/>
          <w:b/>
          <w:sz w:val="24"/>
          <w:szCs w:val="24"/>
        </w:rPr>
      </w:pPr>
      <w:r w:rsidRPr="00AE06DE">
        <w:rPr>
          <w:rFonts w:ascii="Times New Roman" w:hAnsi="Times New Roman" w:cs="Times New Roman"/>
          <w:b/>
          <w:sz w:val="24"/>
          <w:szCs w:val="24"/>
        </w:rPr>
        <w:lastRenderedPageBreak/>
        <w:t>REFERÊNCIAS BIBLIOGRÁFICAS</w:t>
      </w:r>
    </w:p>
    <w:p w:rsidR="00CE1DEA" w:rsidRDefault="00CE1DEA" w:rsidP="00745D3A">
      <w:pPr>
        <w:spacing w:line="360" w:lineRule="auto"/>
        <w:jc w:val="left"/>
        <w:rPr>
          <w:rFonts w:ascii="Times New Roman" w:hAnsi="Times New Roman" w:cs="Times New Roman"/>
          <w:b/>
          <w:sz w:val="24"/>
          <w:szCs w:val="24"/>
        </w:rPr>
      </w:pPr>
    </w:p>
    <w:p w:rsidR="00686398" w:rsidRPr="00750FAA" w:rsidRDefault="00686398" w:rsidP="00686398">
      <w:pPr>
        <w:spacing w:line="360" w:lineRule="auto"/>
        <w:jc w:val="both"/>
        <w:rPr>
          <w:rFonts w:ascii="Times New Roman" w:eastAsia="Times New Roman" w:hAnsi="Times New Roman" w:cs="Times New Roman"/>
          <w:sz w:val="24"/>
          <w:szCs w:val="24"/>
          <w:lang w:eastAsia="pt-BR"/>
        </w:rPr>
      </w:pPr>
      <w:r w:rsidRPr="00686398">
        <w:rPr>
          <w:rFonts w:ascii="Times New Roman" w:eastAsia="Times New Roman" w:hAnsi="Times New Roman" w:cs="Times New Roman"/>
          <w:sz w:val="24"/>
          <w:szCs w:val="24"/>
          <w:lang w:eastAsia="pt-BR"/>
        </w:rPr>
        <w:t>http://www.ambitojuridico.com.br/site/index.php?n_link=revist</w:t>
      </w:r>
      <w:r>
        <w:rPr>
          <w:rFonts w:ascii="Times New Roman" w:eastAsia="Times New Roman" w:hAnsi="Times New Roman" w:cs="Times New Roman"/>
          <w:sz w:val="24"/>
          <w:szCs w:val="24"/>
          <w:lang w:eastAsia="pt-BR"/>
        </w:rPr>
        <w:t>a_artigos_leitura&amp;artigo_</w:t>
      </w:r>
    </w:p>
    <w:p w:rsidR="00CE1DEA" w:rsidRPr="00686398" w:rsidRDefault="002363A8" w:rsidP="00686398">
      <w:pPr>
        <w:spacing w:line="360" w:lineRule="auto"/>
        <w:jc w:val="both"/>
        <w:rPr>
          <w:rFonts w:ascii="Times New Roman" w:eastAsia="Times New Roman" w:hAnsi="Times New Roman" w:cs="Times New Roman"/>
          <w:sz w:val="24"/>
          <w:szCs w:val="24"/>
          <w:lang w:eastAsia="pt-BR"/>
        </w:rPr>
      </w:pPr>
      <w:hyperlink r:id="rId8" w:history="1">
        <w:r w:rsidR="00CE1DEA" w:rsidRPr="00686398">
          <w:rPr>
            <w:rStyle w:val="Hyperlink"/>
            <w:rFonts w:ascii="Times New Roman" w:eastAsia="Times New Roman" w:hAnsi="Times New Roman" w:cs="Times New Roman"/>
            <w:color w:val="auto"/>
            <w:sz w:val="24"/>
            <w:szCs w:val="24"/>
            <w:u w:val="none"/>
            <w:lang w:eastAsia="pt-BR"/>
          </w:rPr>
          <w:t>http://www.publicadireito.com.br/artigos/?cod=ab66ba6600d9c424</w:t>
        </w:r>
      </w:hyperlink>
    </w:p>
    <w:p w:rsidR="00686398" w:rsidRPr="00686398" w:rsidRDefault="002363A8" w:rsidP="00686398">
      <w:pPr>
        <w:jc w:val="both"/>
        <w:rPr>
          <w:rFonts w:ascii="Times New Roman" w:hAnsi="Times New Roman" w:cs="Times New Roman"/>
          <w:sz w:val="24"/>
          <w:szCs w:val="24"/>
        </w:rPr>
      </w:pPr>
      <w:hyperlink r:id="rId9" w:history="1">
        <w:r w:rsidR="00686398" w:rsidRPr="00686398">
          <w:rPr>
            <w:rStyle w:val="Hyperlink"/>
            <w:rFonts w:ascii="Times New Roman" w:hAnsi="Times New Roman" w:cs="Times New Roman"/>
            <w:color w:val="auto"/>
            <w:sz w:val="24"/>
            <w:szCs w:val="24"/>
            <w:u w:val="none"/>
          </w:rPr>
          <w:t>http://www.spell.org.br/documentos/download/2854</w:t>
        </w:r>
      </w:hyperlink>
      <w:r w:rsidR="00686398" w:rsidRPr="00686398">
        <w:rPr>
          <w:rFonts w:ascii="Times New Roman" w:hAnsi="Times New Roman" w:cs="Times New Roman"/>
          <w:sz w:val="24"/>
          <w:szCs w:val="24"/>
        </w:rPr>
        <w:t>.</w:t>
      </w:r>
    </w:p>
    <w:p w:rsidR="00CE1DEA" w:rsidRPr="00686398" w:rsidRDefault="00CE1DEA" w:rsidP="00686398">
      <w:pPr>
        <w:spacing w:line="360" w:lineRule="auto"/>
        <w:jc w:val="both"/>
        <w:rPr>
          <w:rFonts w:ascii="Times New Roman" w:hAnsi="Times New Roman" w:cs="Times New Roman"/>
          <w:b/>
          <w:sz w:val="24"/>
          <w:szCs w:val="24"/>
        </w:rPr>
      </w:pPr>
    </w:p>
    <w:p w:rsidR="00AE06DE" w:rsidRDefault="00AE06DE" w:rsidP="00745D3A">
      <w:pPr>
        <w:spacing w:line="360" w:lineRule="auto"/>
        <w:jc w:val="left"/>
        <w:rPr>
          <w:rFonts w:ascii="Times New Roman" w:hAnsi="Times New Roman" w:cs="Times New Roman"/>
          <w:b/>
          <w:sz w:val="24"/>
          <w:szCs w:val="24"/>
        </w:rPr>
      </w:pPr>
    </w:p>
    <w:p w:rsidR="00150917" w:rsidRDefault="00150917">
      <w:pPr>
        <w:rPr>
          <w:rFonts w:ascii="Times New Roman" w:hAnsi="Times New Roman" w:cs="Times New Roman"/>
          <w:sz w:val="24"/>
          <w:szCs w:val="24"/>
        </w:rPr>
      </w:pPr>
    </w:p>
    <w:p w:rsidR="00401294" w:rsidRDefault="00401294">
      <w:pPr>
        <w:rPr>
          <w:rFonts w:ascii="Times New Roman" w:hAnsi="Times New Roman" w:cs="Times New Roman"/>
          <w:sz w:val="24"/>
          <w:szCs w:val="24"/>
        </w:rPr>
      </w:pPr>
    </w:p>
    <w:p w:rsidR="00401294" w:rsidRDefault="00401294">
      <w:pPr>
        <w:rPr>
          <w:rFonts w:ascii="Times New Roman" w:hAnsi="Times New Roman" w:cs="Times New Roman"/>
          <w:sz w:val="24"/>
          <w:szCs w:val="24"/>
        </w:rPr>
      </w:pPr>
    </w:p>
    <w:p w:rsidR="00401294" w:rsidRDefault="00401294">
      <w:pPr>
        <w:rPr>
          <w:rFonts w:ascii="Times New Roman" w:hAnsi="Times New Roman" w:cs="Times New Roman"/>
          <w:sz w:val="24"/>
          <w:szCs w:val="24"/>
        </w:rPr>
      </w:pPr>
    </w:p>
    <w:p w:rsidR="00401294" w:rsidRDefault="00401294">
      <w:pPr>
        <w:rPr>
          <w:rFonts w:ascii="Times New Roman" w:hAnsi="Times New Roman" w:cs="Times New Roman"/>
          <w:sz w:val="24"/>
          <w:szCs w:val="24"/>
        </w:rPr>
      </w:pPr>
    </w:p>
    <w:p w:rsidR="00401294" w:rsidRDefault="00401294">
      <w:pPr>
        <w:rPr>
          <w:rFonts w:ascii="Times New Roman" w:hAnsi="Times New Roman" w:cs="Times New Roman"/>
          <w:sz w:val="24"/>
          <w:szCs w:val="24"/>
        </w:rPr>
      </w:pPr>
    </w:p>
    <w:p w:rsidR="00401294" w:rsidRDefault="00401294">
      <w:pPr>
        <w:rPr>
          <w:rFonts w:ascii="Times New Roman" w:hAnsi="Times New Roman" w:cs="Times New Roman"/>
          <w:sz w:val="24"/>
          <w:szCs w:val="24"/>
        </w:rPr>
      </w:pPr>
    </w:p>
    <w:p w:rsidR="00401294" w:rsidRDefault="00401294">
      <w:pPr>
        <w:rPr>
          <w:rFonts w:ascii="Times New Roman" w:hAnsi="Times New Roman" w:cs="Times New Roman"/>
          <w:sz w:val="24"/>
          <w:szCs w:val="24"/>
        </w:rPr>
      </w:pPr>
    </w:p>
    <w:p w:rsidR="00401294" w:rsidRDefault="00401294">
      <w:pPr>
        <w:rPr>
          <w:rFonts w:ascii="Times New Roman" w:hAnsi="Times New Roman" w:cs="Times New Roman"/>
          <w:sz w:val="24"/>
          <w:szCs w:val="24"/>
        </w:rPr>
      </w:pPr>
    </w:p>
    <w:p w:rsidR="00401294" w:rsidRDefault="00401294">
      <w:pPr>
        <w:rPr>
          <w:rFonts w:ascii="Times New Roman" w:hAnsi="Times New Roman" w:cs="Times New Roman"/>
          <w:sz w:val="24"/>
          <w:szCs w:val="24"/>
        </w:rPr>
      </w:pPr>
    </w:p>
    <w:p w:rsidR="00401294" w:rsidRDefault="00401294">
      <w:pPr>
        <w:rPr>
          <w:rFonts w:ascii="Times New Roman" w:hAnsi="Times New Roman" w:cs="Times New Roman"/>
          <w:sz w:val="24"/>
          <w:szCs w:val="24"/>
        </w:rPr>
      </w:pPr>
    </w:p>
    <w:p w:rsidR="00401294" w:rsidRPr="00A60682" w:rsidRDefault="00401294" w:rsidP="00401294">
      <w:pPr>
        <w:jc w:val="both"/>
        <w:rPr>
          <w:rFonts w:ascii="Times New Roman" w:hAnsi="Times New Roman" w:cs="Times New Roman"/>
          <w:sz w:val="24"/>
          <w:szCs w:val="24"/>
        </w:rPr>
      </w:pPr>
      <w:bookmarkStart w:id="0" w:name="_GoBack"/>
      <w:bookmarkEnd w:id="0"/>
      <w:r w:rsidRPr="00401294">
        <w:rPr>
          <w:rFonts w:ascii="Times New Roman" w:hAnsi="Times New Roman" w:cs="Times New Roman"/>
          <w:noProof/>
          <w:sz w:val="24"/>
          <w:szCs w:val="24"/>
          <w:lang w:eastAsia="pt-BR"/>
        </w:rPr>
        <w:lastRenderedPageBreak/>
        <w:drawing>
          <wp:anchor distT="0" distB="0" distL="114300" distR="114300" simplePos="0" relativeHeight="251660288" behindDoc="0" locked="0" layoutInCell="1" allowOverlap="1" wp14:anchorId="74A5F51C" wp14:editId="1DB9249E">
            <wp:simplePos x="0" y="0"/>
            <wp:positionH relativeFrom="column">
              <wp:posOffset>-1051560</wp:posOffset>
            </wp:positionH>
            <wp:positionV relativeFrom="paragraph">
              <wp:posOffset>-831215</wp:posOffset>
            </wp:positionV>
            <wp:extent cx="7350125" cy="10224135"/>
            <wp:effectExtent l="0" t="0" r="3175" b="5715"/>
            <wp:wrapTopAndBottom/>
            <wp:docPr id="3" name="Imagem 3" descr="D:\img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mg00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50125" cy="1022413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01294" w:rsidRPr="00A60682" w:rsidSect="00EB7951">
      <w:headerReference w:type="default" r:id="rId11"/>
      <w:headerReference w:type="first" r:id="rId12"/>
      <w:pgSz w:w="11906" w:h="16838" w:code="9"/>
      <w:pgMar w:top="1701" w:right="1274" w:bottom="1134" w:left="1843"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3A8" w:rsidRDefault="002363A8" w:rsidP="00424C23">
      <w:pPr>
        <w:spacing w:line="240" w:lineRule="auto"/>
      </w:pPr>
      <w:r>
        <w:separator/>
      </w:r>
    </w:p>
  </w:endnote>
  <w:endnote w:type="continuationSeparator" w:id="0">
    <w:p w:rsidR="002363A8" w:rsidRDefault="002363A8" w:rsidP="00424C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3A8" w:rsidRDefault="002363A8" w:rsidP="00424C23">
      <w:pPr>
        <w:spacing w:line="240" w:lineRule="auto"/>
      </w:pPr>
      <w:r>
        <w:separator/>
      </w:r>
    </w:p>
  </w:footnote>
  <w:footnote w:type="continuationSeparator" w:id="0">
    <w:p w:rsidR="002363A8" w:rsidRDefault="002363A8" w:rsidP="00424C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2B" w:rsidRDefault="0074432B">
    <w:pPr>
      <w:pStyle w:val="Cabealho"/>
      <w:jc w:val="right"/>
    </w:pPr>
    <w:r>
      <w:fldChar w:fldCharType="begin"/>
    </w:r>
    <w:r>
      <w:instrText xml:space="preserve"> PAGE   \* MERGEFORMAT </w:instrText>
    </w:r>
    <w:r>
      <w:fldChar w:fldCharType="separate"/>
    </w:r>
    <w:r w:rsidR="00401294">
      <w:rPr>
        <w:noProof/>
      </w:rPr>
      <w:t>20</w:t>
    </w:r>
    <w:r>
      <w:rPr>
        <w:noProof/>
      </w:rPr>
      <w:fldChar w:fldCharType="end"/>
    </w:r>
  </w:p>
  <w:p w:rsidR="0074432B" w:rsidRDefault="0074432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2B" w:rsidRDefault="0074432B">
    <w:pPr>
      <w:pStyle w:val="Cabealho"/>
      <w:jc w:val="right"/>
    </w:pPr>
  </w:p>
  <w:p w:rsidR="0074432B" w:rsidRDefault="0074432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C6B17"/>
    <w:multiLevelType w:val="multilevel"/>
    <w:tmpl w:val="1FFE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B0C7D"/>
    <w:multiLevelType w:val="hybridMultilevel"/>
    <w:tmpl w:val="7E002836"/>
    <w:lvl w:ilvl="0" w:tplc="04090001">
      <w:start w:val="1"/>
      <w:numFmt w:val="bullet"/>
      <w:lvlText w:val=""/>
      <w:lvlJc w:val="left"/>
      <w:pPr>
        <w:ind w:left="1431" w:hanging="360"/>
      </w:pPr>
      <w:rPr>
        <w:rFonts w:ascii="Symbol" w:hAnsi="Symbol" w:hint="default"/>
      </w:rPr>
    </w:lvl>
    <w:lvl w:ilvl="1" w:tplc="04160003" w:tentative="1">
      <w:start w:val="1"/>
      <w:numFmt w:val="bullet"/>
      <w:lvlText w:val="o"/>
      <w:lvlJc w:val="left"/>
      <w:pPr>
        <w:ind w:left="2151" w:hanging="360"/>
      </w:pPr>
      <w:rPr>
        <w:rFonts w:ascii="Courier New" w:hAnsi="Courier New" w:cs="Courier New" w:hint="default"/>
      </w:rPr>
    </w:lvl>
    <w:lvl w:ilvl="2" w:tplc="04160005" w:tentative="1">
      <w:start w:val="1"/>
      <w:numFmt w:val="bullet"/>
      <w:lvlText w:val=""/>
      <w:lvlJc w:val="left"/>
      <w:pPr>
        <w:ind w:left="2871" w:hanging="360"/>
      </w:pPr>
      <w:rPr>
        <w:rFonts w:ascii="Wingdings" w:hAnsi="Wingdings" w:hint="default"/>
      </w:rPr>
    </w:lvl>
    <w:lvl w:ilvl="3" w:tplc="04160001" w:tentative="1">
      <w:start w:val="1"/>
      <w:numFmt w:val="bullet"/>
      <w:lvlText w:val=""/>
      <w:lvlJc w:val="left"/>
      <w:pPr>
        <w:ind w:left="3591" w:hanging="360"/>
      </w:pPr>
      <w:rPr>
        <w:rFonts w:ascii="Symbol" w:hAnsi="Symbol" w:hint="default"/>
      </w:rPr>
    </w:lvl>
    <w:lvl w:ilvl="4" w:tplc="04160003" w:tentative="1">
      <w:start w:val="1"/>
      <w:numFmt w:val="bullet"/>
      <w:lvlText w:val="o"/>
      <w:lvlJc w:val="left"/>
      <w:pPr>
        <w:ind w:left="4311" w:hanging="360"/>
      </w:pPr>
      <w:rPr>
        <w:rFonts w:ascii="Courier New" w:hAnsi="Courier New" w:cs="Courier New" w:hint="default"/>
      </w:rPr>
    </w:lvl>
    <w:lvl w:ilvl="5" w:tplc="04160005" w:tentative="1">
      <w:start w:val="1"/>
      <w:numFmt w:val="bullet"/>
      <w:lvlText w:val=""/>
      <w:lvlJc w:val="left"/>
      <w:pPr>
        <w:ind w:left="5031" w:hanging="360"/>
      </w:pPr>
      <w:rPr>
        <w:rFonts w:ascii="Wingdings" w:hAnsi="Wingdings" w:hint="default"/>
      </w:rPr>
    </w:lvl>
    <w:lvl w:ilvl="6" w:tplc="04160001" w:tentative="1">
      <w:start w:val="1"/>
      <w:numFmt w:val="bullet"/>
      <w:lvlText w:val=""/>
      <w:lvlJc w:val="left"/>
      <w:pPr>
        <w:ind w:left="5751" w:hanging="360"/>
      </w:pPr>
      <w:rPr>
        <w:rFonts w:ascii="Symbol" w:hAnsi="Symbol" w:hint="default"/>
      </w:rPr>
    </w:lvl>
    <w:lvl w:ilvl="7" w:tplc="04160003" w:tentative="1">
      <w:start w:val="1"/>
      <w:numFmt w:val="bullet"/>
      <w:lvlText w:val="o"/>
      <w:lvlJc w:val="left"/>
      <w:pPr>
        <w:ind w:left="6471" w:hanging="360"/>
      </w:pPr>
      <w:rPr>
        <w:rFonts w:ascii="Courier New" w:hAnsi="Courier New" w:cs="Courier New" w:hint="default"/>
      </w:rPr>
    </w:lvl>
    <w:lvl w:ilvl="8" w:tplc="04160005" w:tentative="1">
      <w:start w:val="1"/>
      <w:numFmt w:val="bullet"/>
      <w:lvlText w:val=""/>
      <w:lvlJc w:val="left"/>
      <w:pPr>
        <w:ind w:left="7191" w:hanging="360"/>
      </w:pPr>
      <w:rPr>
        <w:rFonts w:ascii="Wingdings" w:hAnsi="Wingdings" w:hint="default"/>
      </w:rPr>
    </w:lvl>
  </w:abstractNum>
  <w:abstractNum w:abstractNumId="2">
    <w:nsid w:val="11692F09"/>
    <w:multiLevelType w:val="multilevel"/>
    <w:tmpl w:val="3F1C9A6E"/>
    <w:lvl w:ilvl="0">
      <w:start w:val="1"/>
      <w:numFmt w:val="decimal"/>
      <w:lvlText w:val="%1."/>
      <w:lvlJc w:val="left"/>
      <w:pPr>
        <w:ind w:left="375" w:hanging="37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
    <w:nsid w:val="22554D29"/>
    <w:multiLevelType w:val="hybridMultilevel"/>
    <w:tmpl w:val="BA7A51B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28C66C4E"/>
    <w:multiLevelType w:val="multilevel"/>
    <w:tmpl w:val="976A3622"/>
    <w:lvl w:ilvl="0">
      <w:start w:val="1"/>
      <w:numFmt w:val="decimal"/>
      <w:lvlText w:val="%1."/>
      <w:lvlJc w:val="left"/>
      <w:pPr>
        <w:ind w:left="375" w:hanging="375"/>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8696" w:hanging="1800"/>
      </w:pPr>
      <w:rPr>
        <w:rFonts w:hint="default"/>
      </w:rPr>
    </w:lvl>
  </w:abstractNum>
  <w:abstractNum w:abstractNumId="5">
    <w:nsid w:val="2EEA08C0"/>
    <w:multiLevelType w:val="hybridMultilevel"/>
    <w:tmpl w:val="A2D8CDCC"/>
    <w:lvl w:ilvl="0" w:tplc="0409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6">
    <w:nsid w:val="312D47CE"/>
    <w:multiLevelType w:val="hybridMultilevel"/>
    <w:tmpl w:val="C966C4F2"/>
    <w:lvl w:ilvl="0" w:tplc="04090001">
      <w:start w:val="1"/>
      <w:numFmt w:val="bullet"/>
      <w:lvlText w:val=""/>
      <w:lvlJc w:val="left"/>
      <w:pPr>
        <w:ind w:left="2130" w:hanging="360"/>
      </w:pPr>
      <w:rPr>
        <w:rFonts w:ascii="Symbol" w:hAnsi="Symbol" w:hint="default"/>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abstractNum w:abstractNumId="7">
    <w:nsid w:val="3B346D39"/>
    <w:multiLevelType w:val="hybridMultilevel"/>
    <w:tmpl w:val="D5E068C8"/>
    <w:lvl w:ilvl="0" w:tplc="0409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F0E43E4"/>
    <w:multiLevelType w:val="hybridMultilevel"/>
    <w:tmpl w:val="A9BAEB3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nsid w:val="41D078D3"/>
    <w:multiLevelType w:val="multilevel"/>
    <w:tmpl w:val="FBCEA180"/>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1FD5B9D"/>
    <w:multiLevelType w:val="multilevel"/>
    <w:tmpl w:val="CF20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F902C3"/>
    <w:multiLevelType w:val="hybridMultilevel"/>
    <w:tmpl w:val="2F70639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nsid w:val="56AB3296"/>
    <w:multiLevelType w:val="multilevel"/>
    <w:tmpl w:val="C540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7E3F15"/>
    <w:multiLevelType w:val="multilevel"/>
    <w:tmpl w:val="B94C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843E6F"/>
    <w:multiLevelType w:val="multilevel"/>
    <w:tmpl w:val="C73E1934"/>
    <w:lvl w:ilvl="0">
      <w:start w:val="1"/>
      <w:numFmt w:val="decimal"/>
      <w:lvlText w:val="%1."/>
      <w:lvlJc w:val="left"/>
      <w:pPr>
        <w:ind w:left="375" w:hanging="37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5">
    <w:nsid w:val="743E3B98"/>
    <w:multiLevelType w:val="multilevel"/>
    <w:tmpl w:val="02DC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0"/>
  </w:num>
  <w:num w:numId="4">
    <w:abstractNumId w:val="10"/>
  </w:num>
  <w:num w:numId="5">
    <w:abstractNumId w:val="12"/>
  </w:num>
  <w:num w:numId="6">
    <w:abstractNumId w:val="15"/>
  </w:num>
  <w:num w:numId="7">
    <w:abstractNumId w:val="6"/>
  </w:num>
  <w:num w:numId="8">
    <w:abstractNumId w:val="7"/>
  </w:num>
  <w:num w:numId="9">
    <w:abstractNumId w:val="8"/>
  </w:num>
  <w:num w:numId="10">
    <w:abstractNumId w:val="11"/>
  </w:num>
  <w:num w:numId="11">
    <w:abstractNumId w:val="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682"/>
    <w:rsid w:val="00001A92"/>
    <w:rsid w:val="00002732"/>
    <w:rsid w:val="00003CBF"/>
    <w:rsid w:val="0000535C"/>
    <w:rsid w:val="00010960"/>
    <w:rsid w:val="00013537"/>
    <w:rsid w:val="00027CF1"/>
    <w:rsid w:val="000306A1"/>
    <w:rsid w:val="00030E5D"/>
    <w:rsid w:val="000316B0"/>
    <w:rsid w:val="0003330A"/>
    <w:rsid w:val="0003584A"/>
    <w:rsid w:val="00035862"/>
    <w:rsid w:val="00041A7D"/>
    <w:rsid w:val="000433C6"/>
    <w:rsid w:val="000503AB"/>
    <w:rsid w:val="00050FD1"/>
    <w:rsid w:val="0006011C"/>
    <w:rsid w:val="000604F7"/>
    <w:rsid w:val="0006241D"/>
    <w:rsid w:val="00062CB5"/>
    <w:rsid w:val="0008268D"/>
    <w:rsid w:val="00083FCB"/>
    <w:rsid w:val="000840CE"/>
    <w:rsid w:val="0009105E"/>
    <w:rsid w:val="000945F5"/>
    <w:rsid w:val="0009735C"/>
    <w:rsid w:val="000A12B4"/>
    <w:rsid w:val="000A7F34"/>
    <w:rsid w:val="000B0AAD"/>
    <w:rsid w:val="000B3F5B"/>
    <w:rsid w:val="000C53D5"/>
    <w:rsid w:val="000C686A"/>
    <w:rsid w:val="000C7C78"/>
    <w:rsid w:val="000D0384"/>
    <w:rsid w:val="000D0432"/>
    <w:rsid w:val="000D0E4D"/>
    <w:rsid w:val="000D3E64"/>
    <w:rsid w:val="000D7FF7"/>
    <w:rsid w:val="000E2AC6"/>
    <w:rsid w:val="000F0350"/>
    <w:rsid w:val="000F7003"/>
    <w:rsid w:val="0010481A"/>
    <w:rsid w:val="00104F39"/>
    <w:rsid w:val="0010600F"/>
    <w:rsid w:val="001121D6"/>
    <w:rsid w:val="00113C7F"/>
    <w:rsid w:val="00116ADB"/>
    <w:rsid w:val="00117E55"/>
    <w:rsid w:val="001248A3"/>
    <w:rsid w:val="001249F1"/>
    <w:rsid w:val="00131C93"/>
    <w:rsid w:val="00136378"/>
    <w:rsid w:val="00140B68"/>
    <w:rsid w:val="0014161D"/>
    <w:rsid w:val="0014352B"/>
    <w:rsid w:val="00150253"/>
    <w:rsid w:val="00150917"/>
    <w:rsid w:val="00151AB4"/>
    <w:rsid w:val="00156DF9"/>
    <w:rsid w:val="001620D6"/>
    <w:rsid w:val="00165948"/>
    <w:rsid w:val="00172B28"/>
    <w:rsid w:val="001738E0"/>
    <w:rsid w:val="00177655"/>
    <w:rsid w:val="001801C5"/>
    <w:rsid w:val="00182D92"/>
    <w:rsid w:val="0018428E"/>
    <w:rsid w:val="001862AB"/>
    <w:rsid w:val="00187838"/>
    <w:rsid w:val="00197A92"/>
    <w:rsid w:val="001A11A7"/>
    <w:rsid w:val="001A527B"/>
    <w:rsid w:val="001B0CD5"/>
    <w:rsid w:val="001B418E"/>
    <w:rsid w:val="001B67CB"/>
    <w:rsid w:val="001C3679"/>
    <w:rsid w:val="001C3757"/>
    <w:rsid w:val="001D286F"/>
    <w:rsid w:val="001D5D23"/>
    <w:rsid w:val="001E7131"/>
    <w:rsid w:val="001E760A"/>
    <w:rsid w:val="001F32A7"/>
    <w:rsid w:val="0020666D"/>
    <w:rsid w:val="002068CA"/>
    <w:rsid w:val="00207499"/>
    <w:rsid w:val="0021369F"/>
    <w:rsid w:val="00214C28"/>
    <w:rsid w:val="00234D4D"/>
    <w:rsid w:val="00235F5D"/>
    <w:rsid w:val="002363A8"/>
    <w:rsid w:val="0023717F"/>
    <w:rsid w:val="002417E7"/>
    <w:rsid w:val="002458C4"/>
    <w:rsid w:val="002464F8"/>
    <w:rsid w:val="00250947"/>
    <w:rsid w:val="00252928"/>
    <w:rsid w:val="00252E62"/>
    <w:rsid w:val="00263530"/>
    <w:rsid w:val="00265D04"/>
    <w:rsid w:val="00270D5B"/>
    <w:rsid w:val="00273569"/>
    <w:rsid w:val="00275EEC"/>
    <w:rsid w:val="002855D6"/>
    <w:rsid w:val="00291CD6"/>
    <w:rsid w:val="00293219"/>
    <w:rsid w:val="002945C2"/>
    <w:rsid w:val="00294B3D"/>
    <w:rsid w:val="002A0557"/>
    <w:rsid w:val="002A0671"/>
    <w:rsid w:val="002A5BF9"/>
    <w:rsid w:val="002A5FE2"/>
    <w:rsid w:val="002A61E9"/>
    <w:rsid w:val="002B66E0"/>
    <w:rsid w:val="002C110F"/>
    <w:rsid w:val="002C1DA0"/>
    <w:rsid w:val="002D009C"/>
    <w:rsid w:val="002D2EAD"/>
    <w:rsid w:val="002D3C76"/>
    <w:rsid w:val="002D5DCF"/>
    <w:rsid w:val="002E6A0A"/>
    <w:rsid w:val="002F6B78"/>
    <w:rsid w:val="003020D7"/>
    <w:rsid w:val="00302A95"/>
    <w:rsid w:val="00302F79"/>
    <w:rsid w:val="00303C36"/>
    <w:rsid w:val="0030587F"/>
    <w:rsid w:val="00315312"/>
    <w:rsid w:val="00317F5A"/>
    <w:rsid w:val="003218A6"/>
    <w:rsid w:val="003238DA"/>
    <w:rsid w:val="003242BE"/>
    <w:rsid w:val="003517BA"/>
    <w:rsid w:val="00357866"/>
    <w:rsid w:val="0036032F"/>
    <w:rsid w:val="0037098A"/>
    <w:rsid w:val="00377C84"/>
    <w:rsid w:val="003807C8"/>
    <w:rsid w:val="00382407"/>
    <w:rsid w:val="00382B44"/>
    <w:rsid w:val="00382BA3"/>
    <w:rsid w:val="00387C38"/>
    <w:rsid w:val="00391CBB"/>
    <w:rsid w:val="00394479"/>
    <w:rsid w:val="003A52CF"/>
    <w:rsid w:val="003B4353"/>
    <w:rsid w:val="003B7650"/>
    <w:rsid w:val="003C1DA3"/>
    <w:rsid w:val="003C3426"/>
    <w:rsid w:val="003C6A27"/>
    <w:rsid w:val="003D242C"/>
    <w:rsid w:val="003D3F66"/>
    <w:rsid w:val="003D40A7"/>
    <w:rsid w:val="003D423D"/>
    <w:rsid w:val="003E3DE8"/>
    <w:rsid w:val="003E41D5"/>
    <w:rsid w:val="003E5731"/>
    <w:rsid w:val="003E5E34"/>
    <w:rsid w:val="003E6D51"/>
    <w:rsid w:val="003F6890"/>
    <w:rsid w:val="00400A00"/>
    <w:rsid w:val="00401294"/>
    <w:rsid w:val="00403281"/>
    <w:rsid w:val="00405061"/>
    <w:rsid w:val="00405CAE"/>
    <w:rsid w:val="00406AEF"/>
    <w:rsid w:val="00410371"/>
    <w:rsid w:val="00413EF2"/>
    <w:rsid w:val="004149A6"/>
    <w:rsid w:val="0042021B"/>
    <w:rsid w:val="00424C23"/>
    <w:rsid w:val="00434C50"/>
    <w:rsid w:val="00440F20"/>
    <w:rsid w:val="004411B3"/>
    <w:rsid w:val="00445985"/>
    <w:rsid w:val="004514A1"/>
    <w:rsid w:val="00456565"/>
    <w:rsid w:val="0046105A"/>
    <w:rsid w:val="0048007B"/>
    <w:rsid w:val="004801B2"/>
    <w:rsid w:val="00481881"/>
    <w:rsid w:val="004859FA"/>
    <w:rsid w:val="004910D7"/>
    <w:rsid w:val="004927F0"/>
    <w:rsid w:val="0049417F"/>
    <w:rsid w:val="004A1932"/>
    <w:rsid w:val="004A5F95"/>
    <w:rsid w:val="004A6F5E"/>
    <w:rsid w:val="004A7297"/>
    <w:rsid w:val="004B6D94"/>
    <w:rsid w:val="004B7030"/>
    <w:rsid w:val="004C05AF"/>
    <w:rsid w:val="004C4020"/>
    <w:rsid w:val="004C4E90"/>
    <w:rsid w:val="004D09ED"/>
    <w:rsid w:val="004D1F35"/>
    <w:rsid w:val="004D525A"/>
    <w:rsid w:val="004E0581"/>
    <w:rsid w:val="004E0AF4"/>
    <w:rsid w:val="004E26D4"/>
    <w:rsid w:val="004E5FCA"/>
    <w:rsid w:val="004F3BF4"/>
    <w:rsid w:val="004F6296"/>
    <w:rsid w:val="0050097E"/>
    <w:rsid w:val="00504009"/>
    <w:rsid w:val="00505418"/>
    <w:rsid w:val="00505B08"/>
    <w:rsid w:val="0051291C"/>
    <w:rsid w:val="00513629"/>
    <w:rsid w:val="00514A65"/>
    <w:rsid w:val="00516D0A"/>
    <w:rsid w:val="00517486"/>
    <w:rsid w:val="005202D2"/>
    <w:rsid w:val="0052282B"/>
    <w:rsid w:val="005269CC"/>
    <w:rsid w:val="00530E0A"/>
    <w:rsid w:val="005314C5"/>
    <w:rsid w:val="0053205C"/>
    <w:rsid w:val="005338C2"/>
    <w:rsid w:val="00533983"/>
    <w:rsid w:val="005339BB"/>
    <w:rsid w:val="00534E29"/>
    <w:rsid w:val="005401D0"/>
    <w:rsid w:val="005404F6"/>
    <w:rsid w:val="00546D18"/>
    <w:rsid w:val="005471BA"/>
    <w:rsid w:val="00556336"/>
    <w:rsid w:val="005646E4"/>
    <w:rsid w:val="00581F44"/>
    <w:rsid w:val="00583ED8"/>
    <w:rsid w:val="00587F4C"/>
    <w:rsid w:val="0059473C"/>
    <w:rsid w:val="0059496D"/>
    <w:rsid w:val="005A656B"/>
    <w:rsid w:val="005A7611"/>
    <w:rsid w:val="005B46CF"/>
    <w:rsid w:val="005B6C6A"/>
    <w:rsid w:val="005B7B12"/>
    <w:rsid w:val="005C09BB"/>
    <w:rsid w:val="005C1FD0"/>
    <w:rsid w:val="005D0538"/>
    <w:rsid w:val="005D77C1"/>
    <w:rsid w:val="005E05AF"/>
    <w:rsid w:val="005E16EB"/>
    <w:rsid w:val="005E6A84"/>
    <w:rsid w:val="0060367C"/>
    <w:rsid w:val="00605D12"/>
    <w:rsid w:val="006145ED"/>
    <w:rsid w:val="00617CD5"/>
    <w:rsid w:val="006202D5"/>
    <w:rsid w:val="00622655"/>
    <w:rsid w:val="00622FFA"/>
    <w:rsid w:val="0062724A"/>
    <w:rsid w:val="006322FD"/>
    <w:rsid w:val="006339D4"/>
    <w:rsid w:val="00634B02"/>
    <w:rsid w:val="00640210"/>
    <w:rsid w:val="0064723A"/>
    <w:rsid w:val="00654F30"/>
    <w:rsid w:val="0065764F"/>
    <w:rsid w:val="00657FDB"/>
    <w:rsid w:val="006600F5"/>
    <w:rsid w:val="00661285"/>
    <w:rsid w:val="0066249A"/>
    <w:rsid w:val="006653B2"/>
    <w:rsid w:val="00675A60"/>
    <w:rsid w:val="00682078"/>
    <w:rsid w:val="00683EF5"/>
    <w:rsid w:val="00685867"/>
    <w:rsid w:val="00686398"/>
    <w:rsid w:val="00686D19"/>
    <w:rsid w:val="006A21CB"/>
    <w:rsid w:val="006A397F"/>
    <w:rsid w:val="006B1469"/>
    <w:rsid w:val="006B15A9"/>
    <w:rsid w:val="006B20E3"/>
    <w:rsid w:val="006B7B76"/>
    <w:rsid w:val="006C2624"/>
    <w:rsid w:val="006C5513"/>
    <w:rsid w:val="006C60AF"/>
    <w:rsid w:val="006C76CC"/>
    <w:rsid w:val="006D0A84"/>
    <w:rsid w:val="006D16A4"/>
    <w:rsid w:val="006D3A2E"/>
    <w:rsid w:val="006E12B5"/>
    <w:rsid w:val="006E41E1"/>
    <w:rsid w:val="006F0B34"/>
    <w:rsid w:val="006F136B"/>
    <w:rsid w:val="007001EB"/>
    <w:rsid w:val="00703FB9"/>
    <w:rsid w:val="00711FF3"/>
    <w:rsid w:val="00724DE0"/>
    <w:rsid w:val="0073311D"/>
    <w:rsid w:val="007370D7"/>
    <w:rsid w:val="00737762"/>
    <w:rsid w:val="0074126A"/>
    <w:rsid w:val="0074432B"/>
    <w:rsid w:val="00745D3A"/>
    <w:rsid w:val="0074637A"/>
    <w:rsid w:val="00746AE8"/>
    <w:rsid w:val="0075488E"/>
    <w:rsid w:val="00755B0F"/>
    <w:rsid w:val="007564F6"/>
    <w:rsid w:val="00760820"/>
    <w:rsid w:val="00762701"/>
    <w:rsid w:val="00762C99"/>
    <w:rsid w:val="007639B4"/>
    <w:rsid w:val="007643D4"/>
    <w:rsid w:val="00765D25"/>
    <w:rsid w:val="007662EB"/>
    <w:rsid w:val="00766977"/>
    <w:rsid w:val="00767DFA"/>
    <w:rsid w:val="007714A4"/>
    <w:rsid w:val="007721FE"/>
    <w:rsid w:val="00772DCB"/>
    <w:rsid w:val="00773B69"/>
    <w:rsid w:val="00782937"/>
    <w:rsid w:val="00791F14"/>
    <w:rsid w:val="00794437"/>
    <w:rsid w:val="007A13DC"/>
    <w:rsid w:val="007A1E5A"/>
    <w:rsid w:val="007A5FD0"/>
    <w:rsid w:val="007D22B8"/>
    <w:rsid w:val="007D5953"/>
    <w:rsid w:val="007E3659"/>
    <w:rsid w:val="007E3C99"/>
    <w:rsid w:val="007E3DF5"/>
    <w:rsid w:val="007F0BB5"/>
    <w:rsid w:val="007F2FB0"/>
    <w:rsid w:val="007F42B9"/>
    <w:rsid w:val="007F461B"/>
    <w:rsid w:val="007F58A2"/>
    <w:rsid w:val="00801267"/>
    <w:rsid w:val="008013EA"/>
    <w:rsid w:val="00814348"/>
    <w:rsid w:val="008145CB"/>
    <w:rsid w:val="00815D62"/>
    <w:rsid w:val="0082560A"/>
    <w:rsid w:val="008306E2"/>
    <w:rsid w:val="00834B5E"/>
    <w:rsid w:val="0083542A"/>
    <w:rsid w:val="0084091D"/>
    <w:rsid w:val="00844562"/>
    <w:rsid w:val="00846DA8"/>
    <w:rsid w:val="00860293"/>
    <w:rsid w:val="00867559"/>
    <w:rsid w:val="00870932"/>
    <w:rsid w:val="0087389D"/>
    <w:rsid w:val="00876ED5"/>
    <w:rsid w:val="008803E8"/>
    <w:rsid w:val="0088296D"/>
    <w:rsid w:val="0088686E"/>
    <w:rsid w:val="0088748F"/>
    <w:rsid w:val="00897C81"/>
    <w:rsid w:val="008A1E5D"/>
    <w:rsid w:val="008A4F82"/>
    <w:rsid w:val="008C0BB9"/>
    <w:rsid w:val="008C1045"/>
    <w:rsid w:val="008C281E"/>
    <w:rsid w:val="008C6A3A"/>
    <w:rsid w:val="008C749E"/>
    <w:rsid w:val="008C7BA7"/>
    <w:rsid w:val="008D6357"/>
    <w:rsid w:val="008D7293"/>
    <w:rsid w:val="008D773B"/>
    <w:rsid w:val="008E1F50"/>
    <w:rsid w:val="008E4677"/>
    <w:rsid w:val="008F09D4"/>
    <w:rsid w:val="008F1F0C"/>
    <w:rsid w:val="008F30EC"/>
    <w:rsid w:val="008F71FC"/>
    <w:rsid w:val="00910AD5"/>
    <w:rsid w:val="009245B6"/>
    <w:rsid w:val="00927826"/>
    <w:rsid w:val="00927A16"/>
    <w:rsid w:val="00931F07"/>
    <w:rsid w:val="00932F7A"/>
    <w:rsid w:val="00937E81"/>
    <w:rsid w:val="009405AD"/>
    <w:rsid w:val="0094486A"/>
    <w:rsid w:val="00945D66"/>
    <w:rsid w:val="0094659B"/>
    <w:rsid w:val="00960A01"/>
    <w:rsid w:val="00961745"/>
    <w:rsid w:val="00963DD0"/>
    <w:rsid w:val="00972B67"/>
    <w:rsid w:val="00973088"/>
    <w:rsid w:val="00974679"/>
    <w:rsid w:val="00977D1F"/>
    <w:rsid w:val="009828D1"/>
    <w:rsid w:val="00992ADB"/>
    <w:rsid w:val="00993F03"/>
    <w:rsid w:val="00997907"/>
    <w:rsid w:val="009B14E6"/>
    <w:rsid w:val="009C56EB"/>
    <w:rsid w:val="009D2DA4"/>
    <w:rsid w:val="009D2E18"/>
    <w:rsid w:val="009D3696"/>
    <w:rsid w:val="009D4A64"/>
    <w:rsid w:val="009D774E"/>
    <w:rsid w:val="009E5A59"/>
    <w:rsid w:val="009F5A5E"/>
    <w:rsid w:val="009F6E98"/>
    <w:rsid w:val="00A05469"/>
    <w:rsid w:val="00A177B4"/>
    <w:rsid w:val="00A227E9"/>
    <w:rsid w:val="00A24D7B"/>
    <w:rsid w:val="00A25C6A"/>
    <w:rsid w:val="00A36AC3"/>
    <w:rsid w:val="00A37CC5"/>
    <w:rsid w:val="00A42464"/>
    <w:rsid w:val="00A477E7"/>
    <w:rsid w:val="00A51947"/>
    <w:rsid w:val="00A53D02"/>
    <w:rsid w:val="00A5615A"/>
    <w:rsid w:val="00A60682"/>
    <w:rsid w:val="00A638E1"/>
    <w:rsid w:val="00A6492F"/>
    <w:rsid w:val="00A65BBA"/>
    <w:rsid w:val="00A71002"/>
    <w:rsid w:val="00A75277"/>
    <w:rsid w:val="00A7648A"/>
    <w:rsid w:val="00A76D91"/>
    <w:rsid w:val="00A80F54"/>
    <w:rsid w:val="00A8143D"/>
    <w:rsid w:val="00A81F4E"/>
    <w:rsid w:val="00A8272B"/>
    <w:rsid w:val="00A86619"/>
    <w:rsid w:val="00A87922"/>
    <w:rsid w:val="00AA027F"/>
    <w:rsid w:val="00AA3606"/>
    <w:rsid w:val="00AA3609"/>
    <w:rsid w:val="00AA5E70"/>
    <w:rsid w:val="00AB424E"/>
    <w:rsid w:val="00AD0FFF"/>
    <w:rsid w:val="00AD3B20"/>
    <w:rsid w:val="00AE06DE"/>
    <w:rsid w:val="00AE32C1"/>
    <w:rsid w:val="00AE4CB8"/>
    <w:rsid w:val="00AE6A88"/>
    <w:rsid w:val="00AF142C"/>
    <w:rsid w:val="00AF3CC7"/>
    <w:rsid w:val="00B001D0"/>
    <w:rsid w:val="00B01F7C"/>
    <w:rsid w:val="00B062E6"/>
    <w:rsid w:val="00B136E6"/>
    <w:rsid w:val="00B13F70"/>
    <w:rsid w:val="00B20184"/>
    <w:rsid w:val="00B30310"/>
    <w:rsid w:val="00B31481"/>
    <w:rsid w:val="00B3239E"/>
    <w:rsid w:val="00B36744"/>
    <w:rsid w:val="00B427A6"/>
    <w:rsid w:val="00B44C9D"/>
    <w:rsid w:val="00B45168"/>
    <w:rsid w:val="00B45A14"/>
    <w:rsid w:val="00B51789"/>
    <w:rsid w:val="00B55156"/>
    <w:rsid w:val="00B625AD"/>
    <w:rsid w:val="00B63261"/>
    <w:rsid w:val="00B64664"/>
    <w:rsid w:val="00B67BFE"/>
    <w:rsid w:val="00B70A42"/>
    <w:rsid w:val="00B720E5"/>
    <w:rsid w:val="00B74D83"/>
    <w:rsid w:val="00B7568A"/>
    <w:rsid w:val="00B771DD"/>
    <w:rsid w:val="00B83220"/>
    <w:rsid w:val="00B83758"/>
    <w:rsid w:val="00B8519E"/>
    <w:rsid w:val="00B857BC"/>
    <w:rsid w:val="00B85CA9"/>
    <w:rsid w:val="00B949F2"/>
    <w:rsid w:val="00BA102B"/>
    <w:rsid w:val="00BA3DAA"/>
    <w:rsid w:val="00BA4841"/>
    <w:rsid w:val="00BA6049"/>
    <w:rsid w:val="00BB02C9"/>
    <w:rsid w:val="00BB19F4"/>
    <w:rsid w:val="00BB5F61"/>
    <w:rsid w:val="00BC1B3A"/>
    <w:rsid w:val="00BC3F04"/>
    <w:rsid w:val="00BC58F6"/>
    <w:rsid w:val="00BD4CF5"/>
    <w:rsid w:val="00BD57AD"/>
    <w:rsid w:val="00BE2FEA"/>
    <w:rsid w:val="00BE688E"/>
    <w:rsid w:val="00BE79E3"/>
    <w:rsid w:val="00BF3D0F"/>
    <w:rsid w:val="00C02B93"/>
    <w:rsid w:val="00C06643"/>
    <w:rsid w:val="00C106FA"/>
    <w:rsid w:val="00C12B22"/>
    <w:rsid w:val="00C14132"/>
    <w:rsid w:val="00C21447"/>
    <w:rsid w:val="00C2425F"/>
    <w:rsid w:val="00C30B1F"/>
    <w:rsid w:val="00C40B78"/>
    <w:rsid w:val="00C40D1B"/>
    <w:rsid w:val="00C429F6"/>
    <w:rsid w:val="00C43893"/>
    <w:rsid w:val="00C43D7B"/>
    <w:rsid w:val="00C4715D"/>
    <w:rsid w:val="00C5204B"/>
    <w:rsid w:val="00C561FF"/>
    <w:rsid w:val="00C60E32"/>
    <w:rsid w:val="00C761C2"/>
    <w:rsid w:val="00C8262D"/>
    <w:rsid w:val="00CA161E"/>
    <w:rsid w:val="00CA1672"/>
    <w:rsid w:val="00CA75B0"/>
    <w:rsid w:val="00CB0594"/>
    <w:rsid w:val="00CB128B"/>
    <w:rsid w:val="00CB2878"/>
    <w:rsid w:val="00CC3401"/>
    <w:rsid w:val="00CC7149"/>
    <w:rsid w:val="00CD4D77"/>
    <w:rsid w:val="00CE10D1"/>
    <w:rsid w:val="00CE1DEA"/>
    <w:rsid w:val="00CE2198"/>
    <w:rsid w:val="00CE5343"/>
    <w:rsid w:val="00CE612E"/>
    <w:rsid w:val="00CE6838"/>
    <w:rsid w:val="00CF0E42"/>
    <w:rsid w:val="00CF30B7"/>
    <w:rsid w:val="00CF3DFF"/>
    <w:rsid w:val="00CF4883"/>
    <w:rsid w:val="00D00643"/>
    <w:rsid w:val="00D011AE"/>
    <w:rsid w:val="00D067CE"/>
    <w:rsid w:val="00D07206"/>
    <w:rsid w:val="00D15D2A"/>
    <w:rsid w:val="00D23E01"/>
    <w:rsid w:val="00D27E99"/>
    <w:rsid w:val="00D317D1"/>
    <w:rsid w:val="00D371B5"/>
    <w:rsid w:val="00D53E28"/>
    <w:rsid w:val="00D55495"/>
    <w:rsid w:val="00D5568B"/>
    <w:rsid w:val="00D5770F"/>
    <w:rsid w:val="00D57DF1"/>
    <w:rsid w:val="00D60FD5"/>
    <w:rsid w:val="00D612FC"/>
    <w:rsid w:val="00D61ED9"/>
    <w:rsid w:val="00D642FB"/>
    <w:rsid w:val="00D64A4A"/>
    <w:rsid w:val="00D67739"/>
    <w:rsid w:val="00D71D01"/>
    <w:rsid w:val="00D72C78"/>
    <w:rsid w:val="00D80C26"/>
    <w:rsid w:val="00D81520"/>
    <w:rsid w:val="00D867A2"/>
    <w:rsid w:val="00D9522B"/>
    <w:rsid w:val="00D95520"/>
    <w:rsid w:val="00DA1339"/>
    <w:rsid w:val="00DA69E5"/>
    <w:rsid w:val="00DA787F"/>
    <w:rsid w:val="00DB048C"/>
    <w:rsid w:val="00DB0E47"/>
    <w:rsid w:val="00DB35CE"/>
    <w:rsid w:val="00DB6678"/>
    <w:rsid w:val="00DC348E"/>
    <w:rsid w:val="00DC386B"/>
    <w:rsid w:val="00DC4968"/>
    <w:rsid w:val="00DC6B78"/>
    <w:rsid w:val="00DC7669"/>
    <w:rsid w:val="00DD3B16"/>
    <w:rsid w:val="00DD4012"/>
    <w:rsid w:val="00DD53DE"/>
    <w:rsid w:val="00DE27EB"/>
    <w:rsid w:val="00DE599A"/>
    <w:rsid w:val="00DF3C26"/>
    <w:rsid w:val="00E001E2"/>
    <w:rsid w:val="00E02BEC"/>
    <w:rsid w:val="00E116B0"/>
    <w:rsid w:val="00E16378"/>
    <w:rsid w:val="00E21CC9"/>
    <w:rsid w:val="00E31960"/>
    <w:rsid w:val="00E3196A"/>
    <w:rsid w:val="00E319FD"/>
    <w:rsid w:val="00E34A01"/>
    <w:rsid w:val="00E358BF"/>
    <w:rsid w:val="00E40281"/>
    <w:rsid w:val="00E41784"/>
    <w:rsid w:val="00E43A29"/>
    <w:rsid w:val="00E53243"/>
    <w:rsid w:val="00E55F6F"/>
    <w:rsid w:val="00E5621A"/>
    <w:rsid w:val="00E572E4"/>
    <w:rsid w:val="00E645B2"/>
    <w:rsid w:val="00E668CE"/>
    <w:rsid w:val="00E84B8E"/>
    <w:rsid w:val="00E85799"/>
    <w:rsid w:val="00E87958"/>
    <w:rsid w:val="00E90C3B"/>
    <w:rsid w:val="00E90E8A"/>
    <w:rsid w:val="00E93EF2"/>
    <w:rsid w:val="00E977E0"/>
    <w:rsid w:val="00EA4166"/>
    <w:rsid w:val="00EA64C3"/>
    <w:rsid w:val="00EB4A79"/>
    <w:rsid w:val="00EB611C"/>
    <w:rsid w:val="00EB7951"/>
    <w:rsid w:val="00EC1409"/>
    <w:rsid w:val="00EC70F6"/>
    <w:rsid w:val="00ED4D9C"/>
    <w:rsid w:val="00ED504F"/>
    <w:rsid w:val="00ED55A0"/>
    <w:rsid w:val="00ED6432"/>
    <w:rsid w:val="00EE23DE"/>
    <w:rsid w:val="00EE3AB5"/>
    <w:rsid w:val="00EF45B0"/>
    <w:rsid w:val="00EF4B23"/>
    <w:rsid w:val="00EF6987"/>
    <w:rsid w:val="00EF7E05"/>
    <w:rsid w:val="00F0364C"/>
    <w:rsid w:val="00F0397C"/>
    <w:rsid w:val="00F070F9"/>
    <w:rsid w:val="00F147BA"/>
    <w:rsid w:val="00F149A3"/>
    <w:rsid w:val="00F22F2E"/>
    <w:rsid w:val="00F2416E"/>
    <w:rsid w:val="00F27F20"/>
    <w:rsid w:val="00F30C1F"/>
    <w:rsid w:val="00F315EA"/>
    <w:rsid w:val="00F32BA2"/>
    <w:rsid w:val="00F340E4"/>
    <w:rsid w:val="00F34D76"/>
    <w:rsid w:val="00F429D4"/>
    <w:rsid w:val="00F44E64"/>
    <w:rsid w:val="00F45473"/>
    <w:rsid w:val="00F476BC"/>
    <w:rsid w:val="00F52929"/>
    <w:rsid w:val="00F5783F"/>
    <w:rsid w:val="00F6078A"/>
    <w:rsid w:val="00F72930"/>
    <w:rsid w:val="00F73605"/>
    <w:rsid w:val="00F73AB5"/>
    <w:rsid w:val="00F77315"/>
    <w:rsid w:val="00F80F0F"/>
    <w:rsid w:val="00F81B0C"/>
    <w:rsid w:val="00F91E61"/>
    <w:rsid w:val="00F9531B"/>
    <w:rsid w:val="00FA12B8"/>
    <w:rsid w:val="00FA16BD"/>
    <w:rsid w:val="00FA247B"/>
    <w:rsid w:val="00FA35CA"/>
    <w:rsid w:val="00FA3771"/>
    <w:rsid w:val="00FA4F06"/>
    <w:rsid w:val="00FA7BE4"/>
    <w:rsid w:val="00FB1D38"/>
    <w:rsid w:val="00FB31B5"/>
    <w:rsid w:val="00FB3A29"/>
    <w:rsid w:val="00FB59DA"/>
    <w:rsid w:val="00FB7388"/>
    <w:rsid w:val="00FC2CAC"/>
    <w:rsid w:val="00FD2876"/>
    <w:rsid w:val="00FD2E0F"/>
    <w:rsid w:val="00FD50B0"/>
    <w:rsid w:val="00FD52BD"/>
    <w:rsid w:val="00FE00DF"/>
    <w:rsid w:val="00FF37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5C2D0A-5FCB-4675-B35F-C0C0CB85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E8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90E8A"/>
    <w:rPr>
      <w:color w:val="0000FF" w:themeColor="hyperlink"/>
      <w:u w:val="single"/>
    </w:rPr>
  </w:style>
  <w:style w:type="paragraph" w:styleId="PargrafodaLista">
    <w:name w:val="List Paragraph"/>
    <w:basedOn w:val="Normal"/>
    <w:uiPriority w:val="34"/>
    <w:qFormat/>
    <w:rsid w:val="00E90E8A"/>
    <w:pPr>
      <w:ind w:left="720"/>
      <w:contextualSpacing/>
    </w:pPr>
  </w:style>
  <w:style w:type="paragraph" w:customStyle="1" w:styleId="Default">
    <w:name w:val="Default"/>
    <w:rsid w:val="0074637A"/>
    <w:pPr>
      <w:autoSpaceDE w:val="0"/>
      <w:autoSpaceDN w:val="0"/>
      <w:adjustRightInd w:val="0"/>
      <w:spacing w:line="240" w:lineRule="auto"/>
      <w:jc w:val="left"/>
    </w:pPr>
    <w:rPr>
      <w:rFonts w:ascii="Arial" w:hAnsi="Arial" w:cs="Arial"/>
      <w:color w:val="000000"/>
      <w:sz w:val="24"/>
      <w:szCs w:val="24"/>
    </w:rPr>
  </w:style>
  <w:style w:type="paragraph" w:customStyle="1" w:styleId="Pa3">
    <w:name w:val="Pa3"/>
    <w:basedOn w:val="Default"/>
    <w:next w:val="Default"/>
    <w:uiPriority w:val="99"/>
    <w:rsid w:val="0074637A"/>
    <w:pPr>
      <w:spacing w:line="220" w:lineRule="atLeast"/>
    </w:pPr>
    <w:rPr>
      <w:color w:val="auto"/>
    </w:rPr>
  </w:style>
  <w:style w:type="character" w:customStyle="1" w:styleId="apple-converted-space">
    <w:name w:val="apple-converted-space"/>
    <w:basedOn w:val="Fontepargpadro"/>
    <w:rsid w:val="00A24D7B"/>
  </w:style>
  <w:style w:type="character" w:styleId="TextodoEspaoReservado">
    <w:name w:val="Placeholder Text"/>
    <w:basedOn w:val="Fontepargpadro"/>
    <w:uiPriority w:val="99"/>
    <w:semiHidden/>
    <w:rsid w:val="00B3239E"/>
    <w:rPr>
      <w:color w:val="808080"/>
    </w:rPr>
  </w:style>
  <w:style w:type="paragraph" w:styleId="Textodebalo">
    <w:name w:val="Balloon Text"/>
    <w:basedOn w:val="Normal"/>
    <w:link w:val="TextodebaloChar"/>
    <w:uiPriority w:val="99"/>
    <w:semiHidden/>
    <w:unhideWhenUsed/>
    <w:rsid w:val="00B3239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239E"/>
    <w:rPr>
      <w:rFonts w:ascii="Tahoma" w:hAnsi="Tahoma" w:cs="Tahoma"/>
      <w:sz w:val="16"/>
      <w:szCs w:val="16"/>
    </w:rPr>
  </w:style>
  <w:style w:type="character" w:styleId="Forte">
    <w:name w:val="Strong"/>
    <w:basedOn w:val="Fontepargpadro"/>
    <w:uiPriority w:val="22"/>
    <w:qFormat/>
    <w:rsid w:val="00CA1672"/>
    <w:rPr>
      <w:b/>
      <w:bCs/>
    </w:rPr>
  </w:style>
  <w:style w:type="paragraph" w:styleId="Cabealho">
    <w:name w:val="header"/>
    <w:basedOn w:val="Normal"/>
    <w:link w:val="CabealhoChar"/>
    <w:uiPriority w:val="99"/>
    <w:unhideWhenUsed/>
    <w:rsid w:val="00424C23"/>
    <w:pPr>
      <w:tabs>
        <w:tab w:val="center" w:pos="4513"/>
        <w:tab w:val="right" w:pos="9026"/>
      </w:tabs>
      <w:spacing w:line="240" w:lineRule="auto"/>
    </w:pPr>
  </w:style>
  <w:style w:type="character" w:customStyle="1" w:styleId="CabealhoChar">
    <w:name w:val="Cabeçalho Char"/>
    <w:basedOn w:val="Fontepargpadro"/>
    <w:link w:val="Cabealho"/>
    <w:uiPriority w:val="99"/>
    <w:rsid w:val="00424C23"/>
  </w:style>
  <w:style w:type="paragraph" w:styleId="Rodap">
    <w:name w:val="footer"/>
    <w:basedOn w:val="Normal"/>
    <w:link w:val="RodapChar"/>
    <w:uiPriority w:val="99"/>
    <w:unhideWhenUsed/>
    <w:rsid w:val="00424C23"/>
    <w:pPr>
      <w:tabs>
        <w:tab w:val="center" w:pos="4513"/>
        <w:tab w:val="right" w:pos="9026"/>
      </w:tabs>
      <w:spacing w:line="240" w:lineRule="auto"/>
    </w:pPr>
  </w:style>
  <w:style w:type="character" w:customStyle="1" w:styleId="RodapChar">
    <w:name w:val="Rodapé Char"/>
    <w:basedOn w:val="Fontepargpadro"/>
    <w:link w:val="Rodap"/>
    <w:uiPriority w:val="99"/>
    <w:rsid w:val="00424C23"/>
  </w:style>
  <w:style w:type="table" w:styleId="Tabelacomgrade">
    <w:name w:val="Table Grid"/>
    <w:basedOn w:val="Tabelanormal"/>
    <w:uiPriority w:val="59"/>
    <w:rsid w:val="00406AE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D07206"/>
    <w:rPr>
      <w:i/>
      <w:iCs/>
    </w:rPr>
  </w:style>
  <w:style w:type="character" w:customStyle="1" w:styleId="titnot1">
    <w:name w:val="titnot1"/>
    <w:basedOn w:val="Fontepargpadro"/>
    <w:rsid w:val="00D07206"/>
  </w:style>
  <w:style w:type="character" w:customStyle="1" w:styleId="titnot2">
    <w:name w:val="titnot2"/>
    <w:basedOn w:val="Fontepargpadro"/>
    <w:rsid w:val="00D07206"/>
  </w:style>
  <w:style w:type="paragraph" w:styleId="NormalWeb">
    <w:name w:val="Normal (Web)"/>
    <w:basedOn w:val="Normal"/>
    <w:uiPriority w:val="99"/>
    <w:semiHidden/>
    <w:unhideWhenUsed/>
    <w:rsid w:val="00CE1DEA"/>
    <w:pPr>
      <w:spacing w:before="100" w:beforeAutospacing="1" w:after="100" w:afterAutospacing="1" w:line="240" w:lineRule="auto"/>
      <w:jc w:val="left"/>
    </w:pPr>
    <w:rPr>
      <w:rFonts w:ascii="Times New Roman" w:eastAsia="Times New Roman" w:hAnsi="Times New Roman" w:cs="Times New Roman"/>
      <w:color w:val="3A382C"/>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09159">
      <w:bodyDiv w:val="1"/>
      <w:marLeft w:val="0"/>
      <w:marRight w:val="0"/>
      <w:marTop w:val="0"/>
      <w:marBottom w:val="0"/>
      <w:divBdr>
        <w:top w:val="none" w:sz="0" w:space="0" w:color="auto"/>
        <w:left w:val="none" w:sz="0" w:space="0" w:color="auto"/>
        <w:bottom w:val="none" w:sz="0" w:space="0" w:color="auto"/>
        <w:right w:val="none" w:sz="0" w:space="0" w:color="auto"/>
      </w:divBdr>
    </w:div>
    <w:div w:id="299389080">
      <w:bodyDiv w:val="1"/>
      <w:marLeft w:val="0"/>
      <w:marRight w:val="0"/>
      <w:marTop w:val="0"/>
      <w:marBottom w:val="0"/>
      <w:divBdr>
        <w:top w:val="none" w:sz="0" w:space="0" w:color="auto"/>
        <w:left w:val="none" w:sz="0" w:space="0" w:color="auto"/>
        <w:bottom w:val="none" w:sz="0" w:space="0" w:color="auto"/>
        <w:right w:val="none" w:sz="0" w:space="0" w:color="auto"/>
      </w:divBdr>
    </w:div>
    <w:div w:id="1036737740">
      <w:bodyDiv w:val="1"/>
      <w:marLeft w:val="0"/>
      <w:marRight w:val="0"/>
      <w:marTop w:val="0"/>
      <w:marBottom w:val="0"/>
      <w:divBdr>
        <w:top w:val="none" w:sz="0" w:space="0" w:color="auto"/>
        <w:left w:val="none" w:sz="0" w:space="0" w:color="auto"/>
        <w:bottom w:val="none" w:sz="0" w:space="0" w:color="auto"/>
        <w:right w:val="none" w:sz="0" w:space="0" w:color="auto"/>
      </w:divBdr>
    </w:div>
    <w:div w:id="1503467212">
      <w:bodyDiv w:val="1"/>
      <w:marLeft w:val="0"/>
      <w:marRight w:val="0"/>
      <w:marTop w:val="0"/>
      <w:marBottom w:val="0"/>
      <w:divBdr>
        <w:top w:val="none" w:sz="0" w:space="0" w:color="auto"/>
        <w:left w:val="none" w:sz="0" w:space="0" w:color="auto"/>
        <w:bottom w:val="none" w:sz="0" w:space="0" w:color="auto"/>
        <w:right w:val="none" w:sz="0" w:space="0" w:color="auto"/>
      </w:divBdr>
    </w:div>
    <w:div w:id="200064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adireito.com.br/artigos/?cod=ab66ba6600d9c42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spell.org.br/documentos/download/2854"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A0CE14-17FB-4E53-A503-A52EC85F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6869</Words>
  <Characters>37093</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Vania</dc:creator>
  <cp:lastModifiedBy>leandro oliveira</cp:lastModifiedBy>
  <cp:revision>9</cp:revision>
  <dcterms:created xsi:type="dcterms:W3CDTF">2015-05-18T17:03:00Z</dcterms:created>
  <dcterms:modified xsi:type="dcterms:W3CDTF">2015-05-19T21:41:00Z</dcterms:modified>
</cp:coreProperties>
</file>