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Default="00093B15" w:rsidP="00093B15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:rsidR="00093B15" w:rsidRDefault="00093B15" w:rsidP="00093B15">
      <w:pPr>
        <w:spacing w:line="360" w:lineRule="auto"/>
        <w:jc w:val="center"/>
      </w:pPr>
      <w:r>
        <w:t>I</w:t>
      </w:r>
      <w:r w:rsidRPr="00093B15">
        <w:t>n</w:t>
      </w:r>
      <w:r>
        <w:t>cidência de fatores formadores do Valor na</w:t>
      </w:r>
      <w:r w:rsidRPr="00093B15">
        <w:t xml:space="preserve"> desapropriação </w:t>
      </w:r>
    </w:p>
    <w:p w:rsidR="00093B15" w:rsidRDefault="00093B15" w:rsidP="00093B15">
      <w:pPr>
        <w:spacing w:line="360" w:lineRule="auto"/>
        <w:jc w:val="center"/>
      </w:pPr>
    </w:p>
    <w:p w:rsidR="00093B15" w:rsidRDefault="00093B15" w:rsidP="00093B15">
      <w:pPr>
        <w:spacing w:line="360" w:lineRule="auto"/>
        <w:jc w:val="right"/>
      </w:pPr>
      <w:r>
        <w:t>Alexandre Damasio Coelho</w:t>
      </w:r>
    </w:p>
    <w:p w:rsidR="00093B15" w:rsidRPr="00084921" w:rsidRDefault="00084921" w:rsidP="00093B15">
      <w:pPr>
        <w:spacing w:line="360" w:lineRule="auto"/>
        <w:jc w:val="right"/>
        <w:rPr>
          <w:szCs w:val="20"/>
        </w:rPr>
      </w:pPr>
      <w:r w:rsidRPr="00084921">
        <w:rPr>
          <w:szCs w:val="20"/>
          <w:shd w:val="clear" w:color="auto" w:fill="FFFFFF"/>
        </w:rPr>
        <w:t>http://lattes.cnpq.br/3581193269770423</w:t>
      </w:r>
    </w:p>
    <w:p w:rsidR="00084921" w:rsidRDefault="00084921" w:rsidP="00093B15">
      <w:pPr>
        <w:spacing w:line="360" w:lineRule="auto"/>
        <w:jc w:val="right"/>
      </w:pPr>
    </w:p>
    <w:p w:rsidR="00093B15" w:rsidRPr="00093B15" w:rsidRDefault="00093B15" w:rsidP="00093B15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>I</w:t>
      </w:r>
    </w:p>
    <w:p w:rsidR="00093B15" w:rsidRPr="00093B15" w:rsidRDefault="00093B15" w:rsidP="00093B15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>Vale iniciarmos definindo a desapropriação como meio de intervenção do Estado na propriedade privada de maneira definitiva com total privação do patrimônio perdurando a intervenção no tempo. É uma seqüênc</w:t>
      </w:r>
      <w:r w:rsidR="00084921">
        <w:rPr>
          <w:rFonts w:ascii="Times New Roman" w:hAnsi="Times New Roman" w:cs="Times New Roman"/>
        </w:rPr>
        <w:t>ia lógica de atos que se inicia</w:t>
      </w:r>
      <w:r w:rsidRPr="00093B15">
        <w:rPr>
          <w:rFonts w:ascii="Times New Roman" w:hAnsi="Times New Roman" w:cs="Times New Roman"/>
        </w:rPr>
        <w:t xml:space="preserve"> no ato administrativo e se completa com a entrega jurisdicional do novo título ao expropriante mediante pagamento de justa indenização</w:t>
      </w:r>
      <w:r w:rsidRPr="00093B15">
        <w:rPr>
          <w:rStyle w:val="Refdenotaderodap"/>
          <w:rFonts w:ascii="Times New Roman" w:hAnsi="Times New Roman" w:cs="Times New Roman"/>
        </w:rPr>
        <w:footnoteReference w:id="1"/>
      </w:r>
      <w:r w:rsidRPr="00093B15">
        <w:rPr>
          <w:rFonts w:ascii="Times New Roman" w:hAnsi="Times New Roman" w:cs="Times New Roman"/>
        </w:rPr>
        <w:t xml:space="preserve">, podemos ainda apontá-la como forma de materialização do Ato de Império quando o proprietário vê seu direito privado sacrificado pelo bem comum. A desapropriação deve ser entendida como meio para a consecução da intenção do Estado, valendo-se modernamente da prévia indenização como instrumento de menor impacto para o meio social. 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>A definição de justa indenização é, talvez, o pomo mais contraditório da relação entre expropri</w:t>
      </w:r>
      <w:r w:rsidR="00084921">
        <w:rPr>
          <w:rFonts w:ascii="Times New Roman" w:hAnsi="Times New Roman" w:cs="Times New Roman"/>
        </w:rPr>
        <w:t xml:space="preserve">ado e expropriante vez que a </w:t>
      </w:r>
      <w:r w:rsidR="002318DE">
        <w:rPr>
          <w:rFonts w:ascii="Times New Roman" w:hAnsi="Times New Roman" w:cs="Times New Roman"/>
        </w:rPr>
        <w:t>idé</w:t>
      </w:r>
      <w:r w:rsidR="002318DE" w:rsidRPr="00093B15">
        <w:rPr>
          <w:rFonts w:ascii="Times New Roman" w:hAnsi="Times New Roman" w:cs="Times New Roman"/>
        </w:rPr>
        <w:t>ia</w:t>
      </w:r>
      <w:r w:rsidRPr="00093B15">
        <w:rPr>
          <w:rFonts w:ascii="Times New Roman" w:hAnsi="Times New Roman" w:cs="Times New Roman"/>
        </w:rPr>
        <w:t xml:space="preserve"> de justeza é volátil. Juridicamente a justa indenização vem sendo trata</w:t>
      </w:r>
      <w:r>
        <w:rPr>
          <w:rFonts w:ascii="Times New Roman" w:hAnsi="Times New Roman" w:cs="Times New Roman"/>
        </w:rPr>
        <w:t>da</w:t>
      </w:r>
      <w:r w:rsidRPr="00093B15">
        <w:rPr>
          <w:rFonts w:ascii="Times New Roman" w:hAnsi="Times New Roman" w:cs="Times New Roman"/>
        </w:rPr>
        <w:t xml:space="preserve"> nos tribunais como o valor atribuído ao imóvel no momento da perda da propriedade e deve corresponder ao valor do mercado</w:t>
      </w:r>
      <w:r w:rsidRPr="00093B15">
        <w:rPr>
          <w:rStyle w:val="Refdenotaderodap"/>
          <w:rFonts w:ascii="Times New Roman" w:hAnsi="Times New Roman" w:cs="Times New Roman"/>
        </w:rPr>
        <w:footnoteReference w:id="2"/>
      </w:r>
      <w:r w:rsidRPr="00093B15">
        <w:rPr>
          <w:rFonts w:ascii="Times New Roman" w:hAnsi="Times New Roman" w:cs="Times New Roman"/>
        </w:rPr>
        <w:t>, ainda na seara judicial, é a perícia a peça mais importante da formação da justa indenização, pois deve prevalecer sobre o valor ofertado na inicial. Interessantemente no que se trata de valor de mercado e a sua formação, diferentemente da idéia vulgar de se tratar somente de coleta de dados imobiliários em áreas contíguas, o valor de mercado é um conjunto de fatore</w:t>
      </w:r>
      <w:r w:rsidR="00084921">
        <w:rPr>
          <w:rFonts w:ascii="Times New Roman" w:hAnsi="Times New Roman" w:cs="Times New Roman"/>
        </w:rPr>
        <w:t>s e avaliações que se inicia</w:t>
      </w:r>
      <w:r w:rsidRPr="00093B15">
        <w:rPr>
          <w:rFonts w:ascii="Times New Roman" w:hAnsi="Times New Roman" w:cs="Times New Roman"/>
        </w:rPr>
        <w:t xml:space="preserve"> com a aferição do valor atribuído ao imóvel, aferição do preço de venda da área praticada na região e, também, comparação entre imóveis similares. O critério para fixar a indenização deve levar em consideração à propriedade e seus assessórios, aptidão </w:t>
      </w:r>
      <w:r>
        <w:rPr>
          <w:rFonts w:ascii="Times New Roman" w:hAnsi="Times New Roman" w:cs="Times New Roman"/>
        </w:rPr>
        <w:t>comercial, incluindo a</w:t>
      </w:r>
      <w:r w:rsidRPr="00093B15">
        <w:rPr>
          <w:rFonts w:ascii="Times New Roman" w:hAnsi="Times New Roman" w:cs="Times New Roman"/>
        </w:rPr>
        <w:t xml:space="preserve"> produção rural ou mineral, localização do imóvel, cobertura vegetal e benfeitorias.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 xml:space="preserve"> Na apresentação do c</w:t>
      </w:r>
      <w:r w:rsidR="00084921">
        <w:rPr>
          <w:rFonts w:ascii="Times New Roman" w:hAnsi="Times New Roman" w:cs="Times New Roman"/>
        </w:rPr>
        <w:t>á</w:t>
      </w:r>
      <w:r w:rsidRPr="00093B15">
        <w:rPr>
          <w:rFonts w:ascii="Times New Roman" w:hAnsi="Times New Roman" w:cs="Times New Roman"/>
        </w:rPr>
        <w:t>lculo de justa indenização</w:t>
      </w:r>
      <w:r>
        <w:rPr>
          <w:rFonts w:ascii="Times New Roman" w:hAnsi="Times New Roman" w:cs="Times New Roman"/>
        </w:rPr>
        <w:t>,</w:t>
      </w:r>
      <w:r w:rsidRPr="00093B15">
        <w:rPr>
          <w:rFonts w:ascii="Times New Roman" w:hAnsi="Times New Roman" w:cs="Times New Roman"/>
        </w:rPr>
        <w:t xml:space="preserve"> a função inicial da pesquisa de mercado se dá antes do Decreto de Utilidade Pública de forma que o valor não se valha de acréscimos oriundos da especulação imobiliária, assim também será na perícia, pois </w:t>
      </w:r>
      <w:r>
        <w:rPr>
          <w:rFonts w:ascii="Times New Roman" w:hAnsi="Times New Roman" w:cs="Times New Roman"/>
        </w:rPr>
        <w:t>o apontamento possui fé pública</w:t>
      </w:r>
      <w:r w:rsidRPr="00093B15">
        <w:rPr>
          <w:rFonts w:ascii="Times New Roman" w:hAnsi="Times New Roman" w:cs="Times New Roman"/>
        </w:rPr>
        <w:t xml:space="preserve"> </w:t>
      </w:r>
      <w:r w:rsidRPr="00093B15">
        <w:rPr>
          <w:rStyle w:val="Refdenotaderodap"/>
          <w:rFonts w:ascii="Times New Roman" w:hAnsi="Times New Roman" w:cs="Times New Roman"/>
        </w:rPr>
        <w:footnoteReference w:id="3"/>
      </w:r>
      <w:r w:rsidRPr="00093B15">
        <w:rPr>
          <w:rFonts w:ascii="Times New Roman" w:hAnsi="Times New Roman" w:cs="Times New Roman"/>
        </w:rPr>
        <w:t xml:space="preserve"> </w:t>
      </w:r>
      <w:r w:rsidRPr="00093B15">
        <w:rPr>
          <w:rStyle w:val="Refdenotaderodap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  <w:r w:rsidRPr="00093B15">
        <w:rPr>
          <w:rFonts w:ascii="Times New Roman" w:hAnsi="Times New Roman" w:cs="Times New Roman"/>
        </w:rPr>
        <w:t xml:space="preserve"> Ainda no que tange a justa indenização</w:t>
      </w:r>
      <w:r w:rsidRPr="00093B15">
        <w:rPr>
          <w:rStyle w:val="Refdenotaderodap"/>
          <w:rFonts w:ascii="Times New Roman" w:hAnsi="Times New Roman" w:cs="Times New Roman"/>
        </w:rPr>
        <w:footnoteReference w:id="5"/>
      </w:r>
      <w:r w:rsidRPr="00093B15">
        <w:rPr>
          <w:rFonts w:ascii="Times New Roman" w:hAnsi="Times New Roman" w:cs="Times New Roman"/>
        </w:rPr>
        <w:t xml:space="preserve"> ressaltamos que a construção jurisprudencial tem formalizado os seguintes requisitos para a composição desse valor: i)</w:t>
      </w:r>
      <w:r w:rsidR="002318DE">
        <w:rPr>
          <w:rFonts w:ascii="Times New Roman" w:hAnsi="Times New Roman" w:cs="Times New Roman"/>
        </w:rPr>
        <w:t xml:space="preserve"> </w:t>
      </w:r>
      <w:r w:rsidRPr="00093B15">
        <w:rPr>
          <w:rFonts w:ascii="Times New Roman" w:hAnsi="Times New Roman" w:cs="Times New Roman"/>
        </w:rPr>
        <w:t>valor do bem ii)</w:t>
      </w:r>
      <w:r w:rsidR="002318DE">
        <w:rPr>
          <w:rFonts w:ascii="Times New Roman" w:hAnsi="Times New Roman" w:cs="Times New Roman"/>
        </w:rPr>
        <w:t xml:space="preserve"> </w:t>
      </w:r>
      <w:r w:rsidRPr="00093B15">
        <w:rPr>
          <w:rFonts w:ascii="Times New Roman" w:hAnsi="Times New Roman" w:cs="Times New Roman"/>
        </w:rPr>
        <w:t xml:space="preserve">lucros cessantes e danos emergentes </w:t>
      </w:r>
      <w:r w:rsidRPr="00093B15">
        <w:rPr>
          <w:rStyle w:val="Refdenotaderodap"/>
          <w:rFonts w:ascii="Times New Roman" w:hAnsi="Times New Roman" w:cs="Times New Roman"/>
        </w:rPr>
        <w:footnoteReference w:id="6"/>
      </w:r>
      <w:r w:rsidRPr="00093B15">
        <w:rPr>
          <w:rFonts w:ascii="Times New Roman" w:hAnsi="Times New Roman" w:cs="Times New Roman"/>
        </w:rPr>
        <w:t xml:space="preserve"> iii)</w:t>
      </w:r>
      <w:r w:rsidR="002318DE">
        <w:rPr>
          <w:rFonts w:ascii="Times New Roman" w:hAnsi="Times New Roman" w:cs="Times New Roman"/>
        </w:rPr>
        <w:t xml:space="preserve"> </w:t>
      </w:r>
      <w:r w:rsidRPr="00093B15">
        <w:rPr>
          <w:rFonts w:ascii="Times New Roman" w:hAnsi="Times New Roman" w:cs="Times New Roman"/>
        </w:rPr>
        <w:t>juros compensatórios iv)juros moratórios v)honorários advocatícios e emolumentos processuais vi)</w:t>
      </w:r>
      <w:r w:rsidR="002318DE">
        <w:rPr>
          <w:rFonts w:ascii="Times New Roman" w:hAnsi="Times New Roman" w:cs="Times New Roman"/>
        </w:rPr>
        <w:t xml:space="preserve"> </w:t>
      </w:r>
      <w:r w:rsidRPr="00093B15">
        <w:rPr>
          <w:rFonts w:ascii="Times New Roman" w:hAnsi="Times New Roman" w:cs="Times New Roman"/>
        </w:rPr>
        <w:t>despesas do desmonte e transporte de bens.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lastRenderedPageBreak/>
        <w:t xml:space="preserve">Cada qual </w:t>
      </w:r>
      <w:r w:rsidR="00084921">
        <w:rPr>
          <w:rFonts w:ascii="Times New Roman" w:hAnsi="Times New Roman" w:cs="Times New Roman"/>
        </w:rPr>
        <w:t>desses elementos deve ser visto</w:t>
      </w:r>
      <w:r w:rsidRPr="00093B15">
        <w:rPr>
          <w:rFonts w:ascii="Times New Roman" w:hAnsi="Times New Roman" w:cs="Times New Roman"/>
        </w:rPr>
        <w:t xml:space="preserve"> separadamente, e, </w:t>
      </w:r>
      <w:r>
        <w:rPr>
          <w:rFonts w:ascii="Times New Roman" w:hAnsi="Times New Roman" w:cs="Times New Roman"/>
        </w:rPr>
        <w:t xml:space="preserve">mesmo havendo </w:t>
      </w:r>
      <w:r w:rsidRPr="00093B15">
        <w:rPr>
          <w:rFonts w:ascii="Times New Roman" w:hAnsi="Times New Roman" w:cs="Times New Roman"/>
        </w:rPr>
        <w:t>à arti</w:t>
      </w:r>
      <w:r>
        <w:rPr>
          <w:rFonts w:ascii="Times New Roman" w:hAnsi="Times New Roman" w:cs="Times New Roman"/>
        </w:rPr>
        <w:t>culação e composição amigável referente ao valor da</w:t>
      </w:r>
      <w:r w:rsidRPr="00093B15">
        <w:rPr>
          <w:rFonts w:ascii="Times New Roman" w:hAnsi="Times New Roman" w:cs="Times New Roman"/>
        </w:rPr>
        <w:t xml:space="preserve"> indeniz</w:t>
      </w:r>
      <w:r>
        <w:rPr>
          <w:rFonts w:ascii="Times New Roman" w:hAnsi="Times New Roman" w:cs="Times New Roman"/>
        </w:rPr>
        <w:t xml:space="preserve">ação entre o poder expropriante (público ou privado) </w:t>
      </w:r>
      <w:r w:rsidRPr="00093B15">
        <w:rPr>
          <w:rFonts w:ascii="Times New Roman" w:hAnsi="Times New Roman" w:cs="Times New Roman"/>
        </w:rPr>
        <w:t>e o proprietário do imóvel, os valores deverão ser alvo de homologação no Poder Judiciário para que se origine um título de propriedade totalmente novo, sem ônus tributáveis e fiscais</w:t>
      </w:r>
      <w:r w:rsidRPr="00093B15">
        <w:rPr>
          <w:rStyle w:val="Refdenotaderodap"/>
          <w:rFonts w:ascii="Times New Roman" w:hAnsi="Times New Roman" w:cs="Times New Roman"/>
        </w:rPr>
        <w:footnoteReference w:id="7"/>
      </w:r>
      <w:r w:rsidRPr="00093B15">
        <w:rPr>
          <w:rFonts w:ascii="Times New Roman" w:hAnsi="Times New Roman" w:cs="Times New Roman"/>
        </w:rPr>
        <w:t xml:space="preserve">. A não homologação judicial de acordo que tenha como objeto imóvel com decreto de desapropriação por utilidade pública é passível de tributação e pagamento de emolumentos fiscais. 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 xml:space="preserve">Ainda importante entendimento se dá acerca dos lucros cessantes e juros compensatórios: judicialmente temos visto que os lucros cessantes têm sido tratados como juros compensatórios, pois não há possibilidade de acumulá-los sem incorrer em pedido </w:t>
      </w:r>
      <w:r w:rsidRPr="00093B15">
        <w:rPr>
          <w:rFonts w:ascii="Times New Roman" w:hAnsi="Times New Roman" w:cs="Times New Roman"/>
          <w:i/>
        </w:rPr>
        <w:t>bis in iden</w:t>
      </w:r>
      <w:r w:rsidRPr="00093B15">
        <w:rPr>
          <w:rFonts w:ascii="Times New Roman" w:hAnsi="Times New Roman" w:cs="Times New Roman"/>
        </w:rPr>
        <w:t xml:space="preserve">, nas ações de desapropriação os juros compensatórios possuem a função de compensar o prejuízo do </w:t>
      </w:r>
      <w:r>
        <w:rPr>
          <w:rFonts w:ascii="Times New Roman" w:hAnsi="Times New Roman" w:cs="Times New Roman"/>
        </w:rPr>
        <w:t>desapossamento, no entanto, p</w:t>
      </w:r>
      <w:r w:rsidRPr="00093B15">
        <w:rPr>
          <w:rFonts w:ascii="Times New Roman" w:hAnsi="Times New Roman" w:cs="Times New Roman"/>
        </w:rPr>
        <w:t xml:space="preserve">ara que o expropriado esteja apto à indenização por lucros cessantes é imprescindível comprovar a atividade econômica lucrativa no período de, ao menos, três anos, antes da imissão de posse além do produto ou contratos já firmados que sejam atingidos diretamente pela expropriação. 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 xml:space="preserve">O justo título é o último elemento essencial para a montagem da indenização; só possui direito a ser indenizado aquele que comprovar a propriedade do imóvel </w:t>
      </w:r>
      <w:r w:rsidRPr="00093B15">
        <w:rPr>
          <w:rStyle w:val="Refdenotaderodap"/>
          <w:rFonts w:ascii="Times New Roman" w:hAnsi="Times New Roman" w:cs="Times New Roman"/>
        </w:rPr>
        <w:footnoteReference w:id="8"/>
      </w:r>
      <w:r w:rsidRPr="00093B15">
        <w:rPr>
          <w:rFonts w:ascii="Times New Roman" w:hAnsi="Times New Roman" w:cs="Times New Roman"/>
        </w:rPr>
        <w:t>sob pena de se valer</w:t>
      </w:r>
      <w:r w:rsidR="00084921">
        <w:rPr>
          <w:rFonts w:ascii="Times New Roman" w:hAnsi="Times New Roman" w:cs="Times New Roman"/>
        </w:rPr>
        <w:t xml:space="preserve"> do judiciário para dirimir a dú</w:t>
      </w:r>
      <w:r w:rsidRPr="00093B15">
        <w:rPr>
          <w:rFonts w:ascii="Times New Roman" w:hAnsi="Times New Roman" w:cs="Times New Roman"/>
        </w:rPr>
        <w:t xml:space="preserve">vida acerca de posse, propriedade e legitimidade do imóvel expropriado. </w:t>
      </w:r>
      <w:r>
        <w:rPr>
          <w:rFonts w:ascii="Times New Roman" w:hAnsi="Times New Roman" w:cs="Times New Roman"/>
        </w:rPr>
        <w:t>O Tribunal de J</w:t>
      </w:r>
      <w:r w:rsidR="00084921">
        <w:rPr>
          <w:rFonts w:ascii="Times New Roman" w:hAnsi="Times New Roman" w:cs="Times New Roman"/>
        </w:rPr>
        <w:t>ustiça do Estado de São Paulo tê</w:t>
      </w:r>
      <w:r>
        <w:rPr>
          <w:rFonts w:ascii="Times New Roman" w:hAnsi="Times New Roman" w:cs="Times New Roman"/>
        </w:rPr>
        <w:t>m, sistematicamente, reconhecendo a posse oriunda de documento pa</w:t>
      </w:r>
      <w:r w:rsidR="00084921">
        <w:rPr>
          <w:rFonts w:ascii="Times New Roman" w:hAnsi="Times New Roman" w:cs="Times New Roman"/>
        </w:rPr>
        <w:t>rticular não registrado na matrí</w:t>
      </w:r>
      <w:r>
        <w:rPr>
          <w:rFonts w:ascii="Times New Roman" w:hAnsi="Times New Roman" w:cs="Times New Roman"/>
        </w:rPr>
        <w:t>cula como instrumento de presunção de propriedade, garantindo aos detentores de documento de posse equivalência com a propriedade.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  <w:r w:rsidRPr="00093B15">
        <w:rPr>
          <w:rFonts w:ascii="Times New Roman" w:hAnsi="Times New Roman" w:cs="Times New Roman"/>
        </w:rPr>
        <w:t xml:space="preserve"> </w:t>
      </w: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ind w:left="1701"/>
        <w:jc w:val="center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ind w:left="1701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ind w:left="1701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Pr="00DC4561" w:rsidRDefault="00093B15" w:rsidP="00093B15">
      <w:pPr>
        <w:pStyle w:val="Corpodetexto"/>
        <w:spacing w:line="360" w:lineRule="auto"/>
        <w:ind w:left="1701"/>
        <w:rPr>
          <w:rFonts w:ascii="Times New Roman" w:hAnsi="Times New Roman" w:cs="Times New Roman"/>
          <w:sz w:val="28"/>
        </w:rPr>
      </w:pPr>
    </w:p>
    <w:p w:rsidR="00093B15" w:rsidRPr="00DC4561" w:rsidRDefault="00093B15" w:rsidP="00093B15">
      <w:pPr>
        <w:pStyle w:val="Corpodetexto"/>
        <w:spacing w:line="360" w:lineRule="auto"/>
        <w:rPr>
          <w:rFonts w:ascii="Times New Roman" w:hAnsi="Times New Roman" w:cs="Times New Roman"/>
          <w:sz w:val="28"/>
        </w:rPr>
      </w:pPr>
    </w:p>
    <w:p w:rsid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093B15" w:rsidRDefault="00093B15" w:rsidP="00093B15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A15EE5" w:rsidRDefault="00A15EE5"/>
    <w:sectPr w:rsidR="00A15EE5" w:rsidSect="00B85FE2">
      <w:pgSz w:w="11906" w:h="16838"/>
      <w:pgMar w:top="1417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5E" w:rsidRDefault="00113A5E" w:rsidP="00093B15">
      <w:r>
        <w:separator/>
      </w:r>
    </w:p>
  </w:endnote>
  <w:endnote w:type="continuationSeparator" w:id="0">
    <w:p w:rsidR="00113A5E" w:rsidRDefault="00113A5E" w:rsidP="000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5E" w:rsidRDefault="00113A5E" w:rsidP="00093B15">
      <w:r>
        <w:separator/>
      </w:r>
    </w:p>
  </w:footnote>
  <w:footnote w:type="continuationSeparator" w:id="0">
    <w:p w:rsidR="00113A5E" w:rsidRDefault="00113A5E" w:rsidP="00093B15">
      <w:r>
        <w:continuationSeparator/>
      </w:r>
    </w:p>
  </w:footnote>
  <w:footnote w:id="1">
    <w:p w:rsidR="00093B15" w:rsidRPr="00093B15" w:rsidRDefault="00093B15" w:rsidP="00093B15">
      <w:pPr>
        <w:pStyle w:val="Textodenotaderodap"/>
        <w:spacing w:line="276" w:lineRule="auto"/>
      </w:pPr>
      <w:r>
        <w:rPr>
          <w:rStyle w:val="Refdenotaderodap"/>
        </w:rPr>
        <w:footnoteRef/>
      </w:r>
      <w:r w:rsidRPr="00522AE2">
        <w:t xml:space="preserve"> </w:t>
      </w:r>
      <w:r w:rsidRPr="00093B15">
        <w:t>TRF 1º R, Ac 200143000012835-TO, 4ºT. Rel. Des. Fed. Hilton Queiroz. DUJ 22.6.2004./ Ap. Civ. Nº</w:t>
      </w:r>
      <w:r>
        <w:t xml:space="preserve"> </w:t>
      </w:r>
      <w:r w:rsidRPr="00093B15">
        <w:t>2001.43.00.001994-6/TO. 4º T. Rel. Des. Fed. Hilton Queiroz. DUJ 03.12.2004.</w:t>
      </w:r>
    </w:p>
    <w:p w:rsidR="00093B15" w:rsidRPr="00093B15" w:rsidRDefault="00093B15" w:rsidP="00093B15">
      <w:pPr>
        <w:pStyle w:val="Textodenotaderodap"/>
        <w:spacing w:line="276" w:lineRule="auto"/>
      </w:pPr>
    </w:p>
  </w:footnote>
  <w:footnote w:id="2">
    <w:p w:rsidR="00093B15" w:rsidRPr="00093B15" w:rsidRDefault="00093B15" w:rsidP="00093B15">
      <w:pPr>
        <w:pStyle w:val="Textodenotaderodap"/>
        <w:spacing w:line="276" w:lineRule="auto"/>
        <w:jc w:val="both"/>
      </w:pPr>
      <w:r w:rsidRPr="00093B15">
        <w:rPr>
          <w:rStyle w:val="Refdenotaderodap"/>
        </w:rPr>
        <w:footnoteRef/>
      </w:r>
      <w:r w:rsidRPr="00093B15">
        <w:t xml:space="preserve"> TJ-MG; RN 1062598001256-5/001. São João Del Reis. 8º Cam.Civel. Rel. Des. Edgard Penna, DJMG 25/10/2010.</w:t>
      </w:r>
    </w:p>
    <w:p w:rsidR="00093B15" w:rsidRPr="006619C1" w:rsidRDefault="00093B15" w:rsidP="00093B15">
      <w:pPr>
        <w:pStyle w:val="Textodenotaderodap"/>
        <w:spacing w:line="276" w:lineRule="auto"/>
        <w:jc w:val="both"/>
        <w:rPr>
          <w:rFonts w:asciiTheme="majorHAnsi" w:hAnsiTheme="majorHAnsi"/>
        </w:rPr>
      </w:pPr>
    </w:p>
  </w:footnote>
  <w:footnote w:id="3"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6619C1">
        <w:rPr>
          <w:rStyle w:val="Refdenotaderodap"/>
          <w:rFonts w:asciiTheme="majorHAnsi" w:hAnsiTheme="majorHAnsi"/>
        </w:rPr>
        <w:footnoteRef/>
      </w:r>
      <w:r w:rsidRPr="006619C1">
        <w:rPr>
          <w:rFonts w:asciiTheme="majorHAnsi" w:hAnsiTheme="majorHAnsi"/>
        </w:rPr>
        <w:t xml:space="preserve"> </w:t>
      </w:r>
      <w:r w:rsidRPr="00093B15">
        <w:rPr>
          <w:rFonts w:eastAsiaTheme="minorHAnsi"/>
          <w:sz w:val="20"/>
          <w:szCs w:val="20"/>
          <w:lang w:eastAsia="en-US"/>
        </w:rPr>
        <w:t>PROCESSUAL CIVIL – ADMINISTRATIVO – DESAPROPRIAÇÃO – JUÍZO DE CONHECIMENTO: SÚMULAS 7/STJ, 282/STF, 283/STF E 284/STF – VIOLAÇÃO AO ART. 535 DO CPC – INEXISTÊNCIA – METODOLOGIA PARA CÁLCULO DA INDENIZAÇÃO – VALOR DE MERCADO – EXPROPRIAÇÃO DE ÁREA NÃO REGISTRADA – JUROS COMPENSATÓRIOS – CUMULAÇÃO DE JUROS MORATÓRIOS E COMPENSATÓRIOS: SÚMULA 120/STJ – JULGAMENTO EXTRA PETITA (ART. 293 DO CPC). 1. Incidência das Súmulas 7/STJ e 282, 283 e 284/STF em relação à revelia, correção monetária e honorários de advogado. 2. Há nos autos pronunciamento da Corte de Apelação sobre as questões indicadas como omitidas pelo INCRA, o que afasta o conhecimento do recurso por violação</w:t>
      </w:r>
    </w:p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093B15">
        <w:rPr>
          <w:rFonts w:eastAsiaTheme="minorHAnsi"/>
          <w:sz w:val="20"/>
          <w:szCs w:val="20"/>
          <w:lang w:eastAsia="en-US"/>
        </w:rPr>
        <w:t>ao art. 535 do CPC. 3. Independentemente da alteração do art. 12 da Lei 8.629/93 pela MP 1.577/97 (atual MP 2.183-56/2001), mantida ficou a jurisprudência no sentido de que a</w:t>
      </w:r>
    </w:p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093B15">
        <w:rPr>
          <w:rFonts w:eastAsiaTheme="minorHAnsi"/>
          <w:sz w:val="20"/>
          <w:szCs w:val="20"/>
          <w:lang w:eastAsia="en-US"/>
        </w:rPr>
        <w:t xml:space="preserve">indenização deve refletir o valor de mercado do imóvel expropriado, somados ambos em avaliação única ou separadamente (terra nua, da cobertura florestal e benfeitorias  indenizáveis).4. </w:t>
      </w:r>
      <w:r w:rsidRPr="00093B15">
        <w:rPr>
          <w:rFonts w:eastAsiaTheme="minorHAnsi"/>
          <w:bCs/>
          <w:sz w:val="20"/>
          <w:szCs w:val="20"/>
          <w:lang w:eastAsia="en-US"/>
        </w:rPr>
        <w:t>A indenização deve limitar-se à área do decreto expropriatório, constante do registro imobiliário. Em havendo maior porção da propriedade não incluída no registro, mas ocupada pelo expropriante, deve o valor de tal porção ser mantido em depósito até solução quanto a propriedade do remanescente, decidida em ação própria, para eventual indenização.</w:t>
      </w:r>
      <w:r w:rsidRPr="00093B15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093B15">
        <w:rPr>
          <w:rFonts w:eastAsiaTheme="minorHAnsi"/>
          <w:bCs/>
          <w:sz w:val="20"/>
          <w:szCs w:val="20"/>
          <w:lang w:eastAsia="en-US"/>
        </w:rPr>
        <w:t>Inteligência do art. 34 do Decreto-lei 3.365/41</w:t>
      </w:r>
      <w:r w:rsidRPr="00093B1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093B15">
        <w:rPr>
          <w:rFonts w:eastAsiaTheme="minorHAnsi"/>
          <w:sz w:val="20"/>
          <w:szCs w:val="20"/>
          <w:lang w:eastAsia="en-US"/>
        </w:rPr>
        <w:t>5."A incidência dos juros moratórios sobre os compensatórios, nas ações expropriatórias, não constitui anatocismo" (Súmula 102/STJ).</w:t>
      </w:r>
    </w:p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093B15">
        <w:rPr>
          <w:rFonts w:eastAsiaTheme="minorHAnsi"/>
          <w:sz w:val="20"/>
          <w:szCs w:val="20"/>
          <w:lang w:eastAsia="en-US"/>
        </w:rPr>
        <w:t>6. Na fixação dos juros compensatórios, é irrelevante o fato de o imóvel ser ou não produtivo, porque o pressuposto para os consectários é a perda antecipada da posse. 7. A aplicação de juros compensatórios em sede de desapropriação é devida, ainda que não requerida pelo expropriado, nos termos do art. 293 do CPC. 8. Recurso especial conhecido em parte e, nessa parte, improvido.(REsp 837962/PB, Rel. Ministra ELIANA CALMON, SEGUNDA TURMA,julgado em 24/10/2006, DJ 16/11/2006 p. 247, grifei)</w:t>
      </w:r>
    </w:p>
    <w:p w:rsidR="00093B15" w:rsidRPr="00093B15" w:rsidRDefault="00093B15" w:rsidP="00093B1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</w:footnote>
  <w:footnote w:id="4">
    <w:p w:rsidR="00093B15" w:rsidRPr="00093B15" w:rsidRDefault="00093B15" w:rsidP="00093B15">
      <w:pPr>
        <w:spacing w:after="115" w:line="276" w:lineRule="auto"/>
        <w:jc w:val="both"/>
        <w:rPr>
          <w:sz w:val="20"/>
          <w:szCs w:val="20"/>
        </w:rPr>
      </w:pPr>
      <w:r w:rsidRPr="00093B15">
        <w:rPr>
          <w:rStyle w:val="Refdenotaderodap"/>
          <w:sz w:val="20"/>
          <w:szCs w:val="20"/>
        </w:rPr>
        <w:footnoteRef/>
      </w:r>
      <w:r w:rsidRPr="00093B15">
        <w:rPr>
          <w:sz w:val="20"/>
          <w:szCs w:val="20"/>
        </w:rPr>
        <w:t xml:space="preserve"> Estatuto da Terra, Art. 19 § 2º Para efeito de desapropriação observar-se-ão os seguintes princípios: a) para a fixação da justa indenização, na forma do artigo 147, § 1º, da Constituição Federal, levar-se-ão em conta o </w:t>
      </w:r>
      <w:r w:rsidRPr="00093B15">
        <w:rPr>
          <w:sz w:val="20"/>
          <w:szCs w:val="20"/>
          <w:u w:val="single"/>
        </w:rPr>
        <w:t>valor declarado do imóvel para efeito do Imposto Territorial Rural</w:t>
      </w:r>
      <w:r w:rsidRPr="00093B15">
        <w:rPr>
          <w:sz w:val="20"/>
          <w:szCs w:val="20"/>
        </w:rPr>
        <w:t>, o valor constante do cadastro acrescido das benfeitorias com a correção monetária porventura cabível, apurada na forma da legislação específica, e o valor venal do mês</w:t>
      </w:r>
    </w:p>
    <w:p w:rsidR="00093B15" w:rsidRPr="00093B15" w:rsidRDefault="00093B15" w:rsidP="00093B15">
      <w:pPr>
        <w:pStyle w:val="Textodenotaderodap"/>
      </w:pPr>
    </w:p>
  </w:footnote>
  <w:footnote w:id="5">
    <w:p w:rsidR="00093B15" w:rsidRPr="00093B15" w:rsidRDefault="00093B15" w:rsidP="00093B15">
      <w:pPr>
        <w:pStyle w:val="Textodenotaderodap"/>
        <w:spacing w:line="276" w:lineRule="auto"/>
        <w:jc w:val="both"/>
        <w:rPr>
          <w:color w:val="000000"/>
        </w:rPr>
      </w:pPr>
      <w:r w:rsidRPr="00093B15">
        <w:rPr>
          <w:rStyle w:val="Refdenotaderodap"/>
        </w:rPr>
        <w:footnoteRef/>
      </w:r>
      <w:r w:rsidRPr="00093B15">
        <w:t xml:space="preserve"> Decreto-Lei nº 3365/41 </w:t>
      </w:r>
      <w:r w:rsidRPr="00093B15">
        <w:rPr>
          <w:color w:val="000000"/>
        </w:rPr>
        <w:t>Art. 26. No valor da indenização, que será contemporâneo da avaliação, não se incluirão os direitos de terceiros contra o expropriado</w:t>
      </w:r>
      <w:bookmarkStart w:id="0" w:name="art26§1"/>
      <w:bookmarkEnd w:id="0"/>
      <w:r w:rsidRPr="00093B15">
        <w:rPr>
          <w:color w:val="000000"/>
        </w:rPr>
        <w:t xml:space="preserve"> § 1º Serão atendidas as benfeitorias necessárias feitas após a desapropriação; as úteis, quando feitas com autorização do expropriante</w:t>
      </w:r>
    </w:p>
    <w:p w:rsidR="00093B15" w:rsidRPr="006619C1" w:rsidRDefault="00093B15" w:rsidP="00093B15">
      <w:pPr>
        <w:pStyle w:val="Textodenotaderodap"/>
        <w:spacing w:line="276" w:lineRule="auto"/>
        <w:jc w:val="both"/>
        <w:rPr>
          <w:rFonts w:asciiTheme="majorHAnsi" w:hAnsiTheme="majorHAnsi"/>
        </w:rPr>
      </w:pPr>
    </w:p>
  </w:footnote>
  <w:footnote w:id="6">
    <w:p w:rsidR="00093B15" w:rsidRPr="00093B15" w:rsidRDefault="00093B15" w:rsidP="00093B15">
      <w:pPr>
        <w:pStyle w:val="Textodenotaderodap"/>
        <w:spacing w:line="276" w:lineRule="auto"/>
      </w:pPr>
      <w:r w:rsidRPr="00093B15">
        <w:rPr>
          <w:rStyle w:val="Refdenotaderodap"/>
        </w:rPr>
        <w:footnoteRef/>
      </w:r>
      <w:r w:rsidRPr="00093B15">
        <w:rPr>
          <w:lang w:val="en-US"/>
        </w:rPr>
        <w:t xml:space="preserve"> TRF 1º R. Ac. 200143000013762/TO. 3º T. Rel. Des. Fed. </w:t>
      </w:r>
      <w:r w:rsidRPr="00093B15">
        <w:t>Candido Ribeiro.</w:t>
      </w:r>
    </w:p>
    <w:p w:rsidR="00093B15" w:rsidRPr="00093B15" w:rsidRDefault="00093B15" w:rsidP="00093B15">
      <w:pPr>
        <w:pStyle w:val="Textodenotaderodap"/>
        <w:spacing w:line="276" w:lineRule="auto"/>
      </w:pPr>
    </w:p>
  </w:footnote>
  <w:footnote w:id="7">
    <w:p w:rsidR="00093B15" w:rsidRPr="00093B15" w:rsidRDefault="00093B15" w:rsidP="00093B15">
      <w:pPr>
        <w:pStyle w:val="Textodenotaderodap"/>
        <w:spacing w:line="276" w:lineRule="auto"/>
        <w:jc w:val="both"/>
      </w:pPr>
      <w:r w:rsidRPr="00093B15">
        <w:rPr>
          <w:rStyle w:val="Refdenotaderodap"/>
        </w:rPr>
        <w:footnoteRef/>
      </w:r>
      <w:r w:rsidRPr="00093B15">
        <w:t xml:space="preserve"> TRF 3º R. Ac. 798639, PROC. 2002.03.99.018350-1/SP. 6º T, Rel. Des. Fed. Lazarano Neto, DJU 6.11.2006.</w:t>
      </w:r>
    </w:p>
  </w:footnote>
  <w:footnote w:id="8">
    <w:p w:rsidR="00093B15" w:rsidRPr="00093B15" w:rsidRDefault="00093B15" w:rsidP="00093B15">
      <w:pPr>
        <w:pStyle w:val="Textodenotaderodap"/>
        <w:spacing w:line="276" w:lineRule="auto"/>
        <w:jc w:val="both"/>
      </w:pPr>
      <w:r w:rsidRPr="00093B15">
        <w:rPr>
          <w:rStyle w:val="Refdenotaderodap"/>
        </w:rPr>
        <w:footnoteRef/>
      </w:r>
      <w:r w:rsidRPr="00084921">
        <w:rPr>
          <w:lang w:val="en-US"/>
        </w:rPr>
        <w:t xml:space="preserve"> TRF 1º R. Ac 2004.01.00.003161-7/MA, 3º T. Rel. </w:t>
      </w:r>
      <w:r w:rsidRPr="00093B15">
        <w:t>Juiz Fed.Conv. Saulo José Casali Bahia; DJU 10.6.2005.</w:t>
      </w:r>
    </w:p>
    <w:p w:rsidR="00093B15" w:rsidRPr="00522AE2" w:rsidRDefault="00093B15" w:rsidP="00093B15">
      <w:pPr>
        <w:pStyle w:val="Textodenotaderodap"/>
        <w:spacing w:line="276" w:lineRule="aut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15"/>
    <w:rsid w:val="00084921"/>
    <w:rsid w:val="00093B15"/>
    <w:rsid w:val="00113A5E"/>
    <w:rsid w:val="0016306E"/>
    <w:rsid w:val="00194937"/>
    <w:rsid w:val="001A3B1D"/>
    <w:rsid w:val="002318DE"/>
    <w:rsid w:val="0066145D"/>
    <w:rsid w:val="006D3CFA"/>
    <w:rsid w:val="007937F4"/>
    <w:rsid w:val="007C0763"/>
    <w:rsid w:val="00921852"/>
    <w:rsid w:val="00A15EE5"/>
    <w:rsid w:val="00AC5BF0"/>
    <w:rsid w:val="00B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93B15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093B15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3B1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3B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93B15"/>
    <w:rPr>
      <w:vertAlign w:val="superscript"/>
    </w:rPr>
  </w:style>
  <w:style w:type="paragraph" w:customStyle="1" w:styleId="name">
    <w:name w:val="name"/>
    <w:basedOn w:val="Normal"/>
    <w:rsid w:val="00093B15"/>
  </w:style>
  <w:style w:type="paragraph" w:styleId="NormalWeb">
    <w:name w:val="Normal (Web)"/>
    <w:basedOn w:val="Normal"/>
    <w:uiPriority w:val="99"/>
    <w:semiHidden/>
    <w:unhideWhenUsed/>
    <w:rsid w:val="00093B15"/>
    <w:pPr>
      <w:spacing w:before="100" w:beforeAutospacing="1" w:after="100" w:afterAutospacing="1"/>
    </w:pPr>
  </w:style>
  <w:style w:type="character" w:customStyle="1" w:styleId="qterm">
    <w:name w:val="qterm"/>
    <w:basedOn w:val="Fontepargpadro"/>
    <w:rsid w:val="00093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DRAlexandre</dc:creator>
  <cp:lastModifiedBy>DRAlexandre</cp:lastModifiedBy>
  <cp:revision>4</cp:revision>
  <dcterms:created xsi:type="dcterms:W3CDTF">2015-04-02T17:43:00Z</dcterms:created>
  <dcterms:modified xsi:type="dcterms:W3CDTF">2015-04-16T14:30:00Z</dcterms:modified>
</cp:coreProperties>
</file>