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E5" w:rsidRDefault="009F5D27" w:rsidP="009F5D27">
      <w:pPr>
        <w:jc w:val="center"/>
        <w:rPr>
          <w:rFonts w:ascii="Times New Roman" w:hAnsi="Times New Roman" w:cs="Times New Roman"/>
          <w:sz w:val="24"/>
          <w:szCs w:val="24"/>
        </w:rPr>
      </w:pPr>
      <w:r w:rsidRPr="009F5D27">
        <w:rPr>
          <w:rFonts w:ascii="Times New Roman" w:hAnsi="Times New Roman" w:cs="Times New Roman"/>
          <w:sz w:val="24"/>
          <w:szCs w:val="24"/>
        </w:rPr>
        <w:t>Das possibilidade</w:t>
      </w:r>
      <w:r w:rsidR="00B617BB">
        <w:rPr>
          <w:rFonts w:ascii="Times New Roman" w:hAnsi="Times New Roman" w:cs="Times New Roman"/>
          <w:sz w:val="24"/>
          <w:szCs w:val="24"/>
        </w:rPr>
        <w:t>s</w:t>
      </w:r>
      <w:r w:rsidRPr="009F5D27">
        <w:rPr>
          <w:rFonts w:ascii="Times New Roman" w:hAnsi="Times New Roman" w:cs="Times New Roman"/>
          <w:sz w:val="24"/>
          <w:szCs w:val="24"/>
        </w:rPr>
        <w:t xml:space="preserve"> de defesa no processo de desapropriação</w:t>
      </w:r>
    </w:p>
    <w:p w:rsidR="009F5D27" w:rsidRDefault="009F5D27" w:rsidP="009F5D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5D27" w:rsidRPr="009F5D27" w:rsidRDefault="009F5D27" w:rsidP="009F5D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5D27">
        <w:rPr>
          <w:rFonts w:ascii="Times New Roman" w:hAnsi="Times New Roman" w:cs="Times New Roman"/>
          <w:sz w:val="24"/>
          <w:szCs w:val="24"/>
        </w:rPr>
        <w:t>Alexandre Damasio Coelho</w:t>
      </w:r>
    </w:p>
    <w:p w:rsidR="009F5D27" w:rsidRDefault="001850DF" w:rsidP="009F5D27">
      <w:pPr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hyperlink r:id="rId7" w:history="1">
        <w:r w:rsidR="009F5D27" w:rsidRPr="009F5D27">
          <w:rPr>
            <w:rStyle w:val="Hyperlink"/>
            <w:rFonts w:ascii="Times New Roman" w:hAnsi="Times New Roman" w:cs="Times New Roman"/>
            <w:color w:val="auto"/>
            <w:sz w:val="24"/>
            <w:szCs w:val="20"/>
            <w:shd w:val="clear" w:color="auto" w:fill="FFFFFF"/>
          </w:rPr>
          <w:t>http://lattes.cnpq.br/3581193269770423</w:t>
        </w:r>
      </w:hyperlink>
    </w:p>
    <w:p w:rsidR="009F5D27" w:rsidRDefault="009F5D27" w:rsidP="009F5D27">
      <w:pPr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9F5D27" w:rsidRDefault="009F5D27" w:rsidP="009F5D27">
      <w:pPr>
        <w:spacing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 desapropriação como rito é bastante limitativo, o Estado lhe impõe e 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>como qualquer imposição, obriga. 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utra não é o entendimento quando da aferição da legislação referente </w:t>
      </w:r>
      <w:r w:rsidR="001F6990">
        <w:rPr>
          <w:rFonts w:ascii="Times New Roman" w:hAnsi="Times New Roman" w:cs="Times New Roman"/>
          <w:sz w:val="24"/>
          <w:szCs w:val="20"/>
          <w:shd w:val="clear" w:color="auto" w:fill="FFFFFF"/>
        </w:rPr>
        <w:t>à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desapropriação por interesse público que acomete grande parte das ob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ras na metrópole, notadamente </w:t>
      </w:r>
      <w:r w:rsidR="00F4561A">
        <w:rPr>
          <w:rFonts w:ascii="Times New Roman" w:hAnsi="Times New Roman" w:cs="Times New Roman"/>
          <w:sz w:val="24"/>
          <w:szCs w:val="20"/>
          <w:shd w:val="clear" w:color="auto" w:fill="FFFFFF"/>
        </w:rPr>
        <w:t>àquelas oriundas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 parceria </w:t>
      </w:r>
      <w:r w:rsidR="001F699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público privada e de concessões públicas, alias duas espécies de contratos públicos 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bastante utilizados pelo Estado e vistos na consecução de obras como o Rodoanel Mario Covas, Linha 6 do Metrô de São Paulo, </w:t>
      </w:r>
      <w:r w:rsidR="00615E5D" w:rsidRPr="00615E5D">
        <w:rPr>
          <w:rFonts w:ascii="Times New Roman" w:hAnsi="Times New Roman" w:cs="Times New Roman"/>
          <w:sz w:val="24"/>
        </w:rPr>
        <w:t>Sistema de Aproveitamento de Resíduos e Unidade de Recuperação de Energia (SPAR-URE)</w:t>
      </w:r>
      <w:r w:rsidR="00615E5D">
        <w:t xml:space="preserve"> </w:t>
      </w:r>
      <w:r w:rsidR="00615E5D" w:rsidRPr="00615E5D">
        <w:rPr>
          <w:rFonts w:ascii="Times New Roman" w:hAnsi="Times New Roman" w:cs="Times New Roman"/>
          <w:sz w:val="24"/>
          <w:szCs w:val="24"/>
        </w:rPr>
        <w:t>de São Bernardo do Campo</w:t>
      </w:r>
      <w:r w:rsidR="00615E5D">
        <w:rPr>
          <w:rFonts w:ascii="Times New Roman" w:hAnsi="Times New Roman" w:cs="Times New Roman"/>
          <w:sz w:val="24"/>
          <w:szCs w:val="24"/>
        </w:rPr>
        <w:t>, Aeroporto de Viracopos em Campinas, entre outros.</w:t>
      </w:r>
    </w:p>
    <w:p w:rsidR="001F6990" w:rsidRDefault="001F6990" w:rsidP="009F5D27">
      <w:pPr>
        <w:spacing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 legislação espec</w:t>
      </w:r>
      <w:r w:rsidR="004B3B77">
        <w:rPr>
          <w:rFonts w:ascii="Times New Roman" w:hAnsi="Times New Roman" w:cs="Times New Roman"/>
          <w:sz w:val="24"/>
          <w:szCs w:val="20"/>
          <w:shd w:val="clear" w:color="auto" w:fill="FFFFFF"/>
        </w:rPr>
        <w:t>ifica sobre a desapropriação para 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interesse </w:t>
      </w:r>
      <w:r w:rsidR="00F4561A">
        <w:rPr>
          <w:rFonts w:ascii="Times New Roman" w:hAnsi="Times New Roman" w:cs="Times New Roman"/>
          <w:sz w:val="24"/>
          <w:szCs w:val="20"/>
          <w:shd w:val="clear" w:color="auto" w:fill="FFFFFF"/>
        </w:rPr>
        <w:t>público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inicia-se com o art.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5º XXIV, 182 § 4º, III; art.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184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e art. 243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da Constituição Federal, art. 16§4º, II da Lei Complementar 101/00- LRF, Lei nº 10257/01- Estatuto das Cidades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art. </w:t>
      </w:r>
      <w:r w:rsidR="00A33020">
        <w:rPr>
          <w:rFonts w:ascii="Times New Roman" w:hAnsi="Times New Roman" w:cs="Times New Roman"/>
          <w:sz w:val="24"/>
          <w:szCs w:val="20"/>
          <w:shd w:val="clear" w:color="auto" w:fill="FFFFFF"/>
        </w:rPr>
        <w:t>1228 do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Código Civil</w:t>
      </w:r>
      <w:r w:rsidR="00803996">
        <w:rPr>
          <w:rFonts w:ascii="Times New Roman" w:hAnsi="Times New Roman" w:cs="Times New Roman"/>
          <w:sz w:val="24"/>
          <w:szCs w:val="20"/>
          <w:shd w:val="clear" w:color="auto" w:fill="FFFFFF"/>
        </w:rPr>
        <w:t>,</w:t>
      </w:r>
      <w:r w:rsidR="00615E5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Decreto Lei nº 3365/41</w:t>
      </w:r>
      <w:r w:rsidR="00803996">
        <w:rPr>
          <w:rFonts w:ascii="Times New Roman" w:hAnsi="Times New Roman" w:cs="Times New Roman"/>
          <w:sz w:val="24"/>
          <w:szCs w:val="20"/>
          <w:shd w:val="clear" w:color="auto" w:fill="FFFFFF"/>
        </w:rPr>
        <w:t>- Lei das Desapropriações</w:t>
      </w:r>
      <w:r w:rsidR="00A3302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além da </w:t>
      </w:r>
      <w:r w:rsidR="00803996">
        <w:rPr>
          <w:rFonts w:ascii="Times New Roman" w:hAnsi="Times New Roman" w:cs="Times New Roman"/>
          <w:sz w:val="24"/>
          <w:szCs w:val="20"/>
          <w:shd w:val="clear" w:color="auto" w:fill="FFFFFF"/>
        </w:rPr>
        <w:t>Lei da</w:t>
      </w:r>
      <w:r w:rsidR="00A33B10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803996">
        <w:rPr>
          <w:rFonts w:ascii="Times New Roman" w:hAnsi="Times New Roman" w:cs="Times New Roman"/>
          <w:sz w:val="24"/>
          <w:szCs w:val="20"/>
          <w:shd w:val="clear" w:color="auto" w:fill="FFFFFF"/>
        </w:rPr>
        <w:t>8987/95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80399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que trata das concessões e Lei nº 11079/04 que trata das Parcerias Publico Privadas no âmbito Federal. A </w:t>
      </w:r>
      <w:r w:rsidR="004B3B77">
        <w:rPr>
          <w:rFonts w:ascii="Times New Roman" w:hAnsi="Times New Roman" w:cs="Times New Roman"/>
          <w:sz w:val="24"/>
          <w:szCs w:val="20"/>
          <w:shd w:val="clear" w:color="auto" w:fill="FFFFFF"/>
        </w:rPr>
        <w:t>complexidade</w:t>
      </w:r>
      <w:r w:rsidR="00803996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 normas ainda encontra eco na capacidade legislativa dos demais entes da federação que podem legislar sobre desapropriação, no Estado de São Paulo há legislações especificas para as Parcerias Publico Privada e Decretos pontuais para declaração de utilidade pública que precede a obra, assim também nos municípios</w:t>
      </w:r>
      <w:r w:rsidR="004B3B77">
        <w:rPr>
          <w:rFonts w:ascii="Times New Roman" w:hAnsi="Times New Roman" w:cs="Times New Roman"/>
          <w:sz w:val="24"/>
          <w:szCs w:val="20"/>
          <w:shd w:val="clear" w:color="auto" w:fill="FFFFFF"/>
        </w:rPr>
        <w:t>. A defesa na desapropriação não pode se esvair de aferir a legalidade de cada ato preparatório da desapropriação, incluindo aí o processo de licenciamento e as audiência</w:t>
      </w:r>
      <w:r w:rsidR="00F4561A">
        <w:rPr>
          <w:rFonts w:ascii="Times New Roman" w:hAnsi="Times New Roman" w:cs="Times New Roman"/>
          <w:sz w:val="24"/>
          <w:szCs w:val="20"/>
          <w:shd w:val="clear" w:color="auto" w:fill="FFFFFF"/>
        </w:rPr>
        <w:t>s</w:t>
      </w:r>
      <w:r w:rsidR="004B3B77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públicas obrigatórias.</w:t>
      </w:r>
    </w:p>
    <w:p w:rsidR="00F4561A" w:rsidRDefault="004B3B77" w:rsidP="009F5D2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Essa completa aferição do amplo processo que surge com o De</w:t>
      </w:r>
      <w:r w:rsidR="00F4561A">
        <w:rPr>
          <w:rFonts w:ascii="Times New Roman" w:hAnsi="Times New Roman" w:cs="Times New Roman"/>
          <w:sz w:val="24"/>
          <w:szCs w:val="20"/>
          <w:shd w:val="clear" w:color="auto" w:fill="FFFFFF"/>
        </w:rPr>
        <w:t>creto de Utilidade Pública é fundamental ante a limitação expressa do objeto da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defesa no proc</w:t>
      </w:r>
      <w:r w:rsidR="00F4561A">
        <w:rPr>
          <w:rFonts w:ascii="Times New Roman" w:hAnsi="Times New Roman" w:cs="Times New Roman"/>
          <w:sz w:val="24"/>
          <w:szCs w:val="20"/>
          <w:shd w:val="clear" w:color="auto" w:fill="FFFFFF"/>
        </w:rPr>
        <w:t>esso judicial da desapropriação. V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aticina o art.</w:t>
      </w:r>
      <w:r w:rsidRPr="004B3B7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4B3B77">
        <w:rPr>
          <w:rFonts w:ascii="Times New Roman" w:hAnsi="Times New Roman" w:cs="Times New Roman"/>
          <w:color w:val="000000"/>
          <w:sz w:val="24"/>
          <w:shd w:val="clear" w:color="auto" w:fill="FFFFFF"/>
        </w:rPr>
        <w:t>20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do DL 3365/41 “</w:t>
      </w:r>
      <w:r w:rsidRPr="004B3B77">
        <w:rPr>
          <w:rFonts w:ascii="Times New Roman" w:hAnsi="Times New Roman" w:cs="Times New Roman"/>
          <w:color w:val="000000"/>
          <w:sz w:val="24"/>
          <w:shd w:val="clear" w:color="auto" w:fill="FFFFFF"/>
        </w:rPr>
        <w:t>A contestação só poderá versar sobre vício do processo judicial ou impugnação do preço; qualquer outra questão deverá ser decidida por ação direta</w:t>
      </w:r>
      <w:r>
        <w:rPr>
          <w:rFonts w:ascii="Arial" w:hAnsi="Arial" w:cs="Arial"/>
          <w:color w:val="000000"/>
          <w:shd w:val="clear" w:color="auto" w:fill="FFFFFF"/>
        </w:rPr>
        <w:t xml:space="preserve">.”,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significa que todos os demais meios de resposta do réu são excluídos do rito d</w:t>
      </w:r>
      <w:r w:rsidR="00F4561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desapropriação impondo ao expropriado apenas defender-se através de uma contestação limitada a vicio </w:t>
      </w:r>
      <w:r w:rsidR="0058131A">
        <w:rPr>
          <w:rFonts w:ascii="Times New Roman" w:hAnsi="Times New Roman" w:cs="Times New Roman"/>
          <w:color w:val="000000"/>
          <w:sz w:val="24"/>
          <w:shd w:val="clear" w:color="auto" w:fill="FFFFFF"/>
        </w:rPr>
        <w:t>ou discordâncias do preço</w:t>
      </w:r>
      <w:r w:rsidR="00F4561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; as questões de Direito de Família p.ex. que </w:t>
      </w:r>
      <w:r w:rsidR="00F4561A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dificultem o recebimento dos valores apontados na desapropriação deverão ser discutidos na Vara da Família e Sucessões, a habilitação no crédito e penhora no rosto dos autos também devem ser tratadas nos juízos de origem, , assentamentos e outros tantos assuntos que versam ou que circulam os interesses do expropriados não podem ser aventados no processo de desapropriação.</w:t>
      </w:r>
    </w:p>
    <w:p w:rsidR="0058131A" w:rsidRPr="0058131A" w:rsidRDefault="0058131A" w:rsidP="00EB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desapropriação indireta</w:t>
      </w:r>
      <w:r w:rsidR="008B3D93">
        <w:rPr>
          <w:rFonts w:ascii="Times New Roman" w:hAnsi="Times New Roman" w:cs="Times New Roman"/>
          <w:sz w:val="24"/>
          <w:szCs w:val="24"/>
        </w:rPr>
        <w:t xml:space="preserve"> oriunda de imóvel </w:t>
      </w:r>
      <w:r w:rsidRPr="0058131A">
        <w:rPr>
          <w:rFonts w:ascii="Times New Roman" w:hAnsi="Times New Roman" w:cs="Times New Roman"/>
          <w:sz w:val="24"/>
          <w:szCs w:val="24"/>
        </w:rPr>
        <w:t>encravado ou</w:t>
      </w:r>
      <w:r w:rsidR="008B3D93">
        <w:rPr>
          <w:rFonts w:ascii="Times New Roman" w:hAnsi="Times New Roman" w:cs="Times New Roman"/>
          <w:sz w:val="24"/>
          <w:szCs w:val="24"/>
        </w:rPr>
        <w:t xml:space="preserve"> que impossibilite</w:t>
      </w:r>
      <w:r w:rsidRPr="0058131A">
        <w:rPr>
          <w:rFonts w:ascii="Times New Roman" w:hAnsi="Times New Roman" w:cs="Times New Roman"/>
          <w:sz w:val="24"/>
          <w:szCs w:val="24"/>
        </w:rPr>
        <w:t xml:space="preserve"> a utilização econômica do restante da área; </w:t>
      </w:r>
      <w:r w:rsidR="008B3D93">
        <w:rPr>
          <w:rFonts w:ascii="Times New Roman" w:hAnsi="Times New Roman" w:cs="Times New Roman"/>
          <w:sz w:val="24"/>
          <w:szCs w:val="24"/>
        </w:rPr>
        <w:t>poderá ser aventada</w:t>
      </w:r>
      <w:r w:rsidRPr="0058131A">
        <w:rPr>
          <w:rFonts w:ascii="Times New Roman" w:hAnsi="Times New Roman" w:cs="Times New Roman"/>
          <w:sz w:val="24"/>
          <w:szCs w:val="24"/>
        </w:rPr>
        <w:t>, em sede de contestação , sem que haja necessidade de oposição de ação</w:t>
      </w:r>
      <w:r w:rsidR="008B3D93">
        <w:rPr>
          <w:rFonts w:ascii="Times New Roman" w:hAnsi="Times New Roman" w:cs="Times New Roman"/>
          <w:sz w:val="24"/>
          <w:szCs w:val="24"/>
        </w:rPr>
        <w:t xml:space="preserve"> direta (aplicação dos art</w:t>
      </w:r>
      <w:r w:rsidRPr="0058131A">
        <w:rPr>
          <w:rFonts w:ascii="Times New Roman" w:hAnsi="Times New Roman" w:cs="Times New Roman"/>
          <w:sz w:val="24"/>
          <w:szCs w:val="24"/>
        </w:rPr>
        <w:t>. 182, § 3º, da CF</w:t>
      </w:r>
      <w:r w:rsidRPr="0058131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58131A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31A">
        <w:rPr>
          <w:rFonts w:ascii="Times New Roman" w:hAnsi="Times New Roman" w:cs="Times New Roman"/>
          <w:sz w:val="24"/>
          <w:szCs w:val="24"/>
        </w:rPr>
        <w:t xml:space="preserve">ADMINISTRATIVO E PROCESSUAL CIVIL. DESAPROPRIAÇÃO. SENTENÇA QUE DEFINIU O PREÇO DO IMÓVEL DESAPROPRIADO COM BASE EM LAUDO PERICIAL. </w:t>
      </w:r>
      <w:r w:rsidRPr="0058131A">
        <w:rPr>
          <w:rFonts w:ascii="Times New Roman" w:hAnsi="Times New Roman" w:cs="Times New Roman"/>
          <w:b/>
          <w:sz w:val="24"/>
          <w:szCs w:val="24"/>
        </w:rPr>
        <w:t>DIREITO DE EXTENSÃO</w:t>
      </w:r>
      <w:r w:rsidRPr="0058131A">
        <w:rPr>
          <w:rFonts w:ascii="Times New Roman" w:hAnsi="Times New Roman" w:cs="Times New Roman"/>
          <w:sz w:val="24"/>
          <w:szCs w:val="24"/>
        </w:rPr>
        <w:t xml:space="preserve">. POSSIBILIDADE DE SER EXERCIDO. JUROS COMPENSATÓRIOS. JUROS MORATÓRIOS. HONORÁRIOS ADVOCATÍCIOS. 1. Não merece reparos a sentença que, para fixação do justo preço da terra nua de imóvel desapropriado, se baseou em laudo pericial, realizado dentro de critérios e pressupostos essencialmente técnicos e plenamente justificados. 2. </w:t>
      </w:r>
      <w:r w:rsidRPr="0058131A">
        <w:rPr>
          <w:rFonts w:ascii="Times New Roman" w:hAnsi="Times New Roman" w:cs="Times New Roman"/>
          <w:b/>
          <w:sz w:val="24"/>
          <w:szCs w:val="24"/>
        </w:rPr>
        <w:t>Faculta-se ao proprietário requerer, na contestação, quando a desapropriação é parcial, a desapropriação de todo o imóvel, quando a área remanescente ficar prejudicada substancialmente em suas condições de exploração econômica, caso seja o seu valor inferior ao da parte desapropriada. Exegese do art. 4º, ii, da lei complemenar 76/93</w:t>
      </w:r>
      <w:r w:rsidRPr="0058131A">
        <w:rPr>
          <w:rFonts w:ascii="Times New Roman" w:hAnsi="Times New Roman" w:cs="Times New Roman"/>
          <w:sz w:val="24"/>
          <w:szCs w:val="24"/>
        </w:rPr>
        <w:t xml:space="preserve">. Elementos de convicção do julgador baseados em informação, dada pelo perito, possibilitando a inclusão da área restante. 3. Os juros compensatórios são devidos, mesmo nos casos de desapropriação por interesse social, pois visam compensar a perda da posse direta do bem, devendo obedecer os ditames da súmula 113, do STJ, sendo no percentual de 6% (seis por cento) ao ano de acordo com a medida provisória nº 1.577, em 11.06.97. 4. Os juros moratórios não devem incidir sobre o valor total da condenação mas sobre o valor desta menos a quantia ofertada, mesmo que contados a partir do trânsito em julgado da sentença, tendo em vista a sua natureza indenizatória pelo retardamento no pagamento da dívida. 5. Manutenção do percentual de honorários advocatícios de 5% (cinco por cento) sobre a diferença corrigida entre a oferta e o preço final </w:t>
      </w:r>
      <w:r w:rsidRPr="0058131A">
        <w:rPr>
          <w:rFonts w:ascii="Times New Roman" w:hAnsi="Times New Roman" w:cs="Times New Roman"/>
          <w:sz w:val="24"/>
          <w:szCs w:val="24"/>
        </w:rPr>
        <w:lastRenderedPageBreak/>
        <w:t>da indenização, por representar, no casu, percentual razoável. 6. Apelação parcialmente provida. (in TRF 05º R; Proc. 905533990-Ac. 189667. Rel. Des. Fed Nereu Santos)</w:t>
      </w:r>
    </w:p>
    <w:p w:rsidR="004B3B77" w:rsidRDefault="00F4561A" w:rsidP="009F5D2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A limitação do processo de desapropriação gera, na maioria das vezes, e por ausência de previa analise uma execução inviável e impossível; a ausência de tecnicidade na compleição da defesa do expropriado, apontando à desapropriação uma analise múltipla que inicia com a regularidade do processo administrativo que comina no Decreto, meio licitatório da execução da obra, competência para o pagamento, legitimidade da concessão e avança para a qualidade do titulo de propriedade e qualidade da posse do imóvel, elementos comprobatórios de propriedade, legitimidade do recebimento e aferição previa dos terceiros interessados </w:t>
      </w:r>
      <w:r w:rsidR="009572F8">
        <w:rPr>
          <w:rFonts w:ascii="Times New Roman" w:hAnsi="Times New Roman" w:cs="Times New Roman"/>
          <w:color w:val="000000"/>
          <w:sz w:val="24"/>
          <w:shd w:val="clear" w:color="auto" w:fill="FFFFFF"/>
        </w:rPr>
        <w:t>contribui para que o processo de desapropriação seja mais viável e rápido.</w:t>
      </w:r>
    </w:p>
    <w:p w:rsidR="00F05AE6" w:rsidRDefault="009572F8" w:rsidP="009572F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O Estado de São Paulo e o Tribunal de Justiça do Estado de São Paulo vêm travando inúmeros embates teóricos sobre a amplitude do poder expropriante e a capacidade de defesa do expropriado: na ação de Argüição de Descumprimento de Preceito Fundamental, ADPF 249 o Estado de São Paulo procura a imissão na posse sem que haja necessidade de avaliação previa do imóvel, é que o Tribunal de Justiça não concede imissão provisória na posse de imóveis alvo de desapropriação pelo mero deposito da avaliação</w:t>
      </w:r>
      <w:r w:rsidR="001939E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(Súmula 30 do Órgão Especial do Tribunal de Justiça de São Paulo)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; significa dizer que em São Paulo o Estado opõe uma ação de desapropriação com os requisitos do Decreto Lei e apresenta um laudo feito por especialista que gera um determinado valor ao imóvel; procede o deposito do valor em conta do juízo e o juiz manda citar e avaliar o imóvel com um perito judicial, só após o laudo do perito judicial é que o juiz avalia o pedido de imissão na posse. O que o Estado de São Paulo quer é a desocupação do imóvel </w:t>
      </w:r>
      <w:r w:rsidR="001939E3">
        <w:rPr>
          <w:rFonts w:ascii="Times New Roman" w:hAnsi="Times New Roman" w:cs="Times New Roman"/>
          <w:color w:val="000000"/>
          <w:sz w:val="24"/>
          <w:shd w:val="clear" w:color="auto" w:fill="FFFFFF"/>
        </w:rPr>
        <w:t>antes da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avaliação do perito judicial</w:t>
      </w:r>
      <w:r w:rsidR="001939E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F05AE6" w:rsidRPr="00B617BB" w:rsidRDefault="00F05AE6" w:rsidP="00EB5E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Tribunal de Justiça Do Estado de São Paulo também tem relativizado, em beneficio do expropriado, a qualidade do título de propriedade</w:t>
      </w:r>
      <w:r w:rsidR="00B617BB" w:rsidRPr="00B6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n</w:t>
      </w:r>
      <w:r w:rsidRPr="00B6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agravo de Instrumento nº </w:t>
      </w:r>
      <w:r w:rsidRPr="00B617BB">
        <w:rPr>
          <w:rFonts w:ascii="Times New Roman" w:hAnsi="Times New Roman" w:cs="Times New Roman"/>
          <w:bCs/>
          <w:sz w:val="24"/>
          <w:szCs w:val="24"/>
        </w:rPr>
        <w:t>2035628-65.2013.8.26.0000</w:t>
      </w:r>
      <w:r w:rsidRPr="00B6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 11º </w:t>
      </w:r>
      <w:r w:rsidRPr="00B617BB">
        <w:rPr>
          <w:rFonts w:ascii="Times New Roman" w:hAnsi="Times New Roman" w:cs="Times New Roman"/>
          <w:sz w:val="24"/>
          <w:szCs w:val="24"/>
        </w:rPr>
        <w:t xml:space="preserve">Câmara de Direito Publico </w:t>
      </w:r>
      <w:r w:rsidR="00B617BB" w:rsidRPr="00B617BB">
        <w:rPr>
          <w:rFonts w:ascii="Times New Roman" w:hAnsi="Times New Roman" w:cs="Times New Roman"/>
          <w:sz w:val="24"/>
          <w:szCs w:val="24"/>
        </w:rPr>
        <w:t>vaticinou o Tribunal</w:t>
      </w:r>
      <w:r w:rsidR="008B3D93">
        <w:rPr>
          <w:rFonts w:ascii="Times New Roman" w:hAnsi="Times New Roman" w:cs="Times New Roman"/>
          <w:sz w:val="24"/>
          <w:szCs w:val="24"/>
        </w:rPr>
        <w:t>:</w:t>
      </w:r>
      <w:r w:rsidR="00EB5E24">
        <w:rPr>
          <w:rFonts w:ascii="Times New Roman" w:hAnsi="Times New Roman" w:cs="Times New Roman"/>
          <w:sz w:val="24"/>
          <w:szCs w:val="24"/>
        </w:rPr>
        <w:t xml:space="preserve"> </w:t>
      </w:r>
      <w:r w:rsidR="00B617BB">
        <w:rPr>
          <w:rFonts w:ascii="Times New Roman" w:hAnsi="Times New Roman" w:cs="Times New Roman"/>
          <w:sz w:val="24"/>
          <w:szCs w:val="24"/>
        </w:rPr>
        <w:t>“</w:t>
      </w:r>
      <w:r w:rsidR="00B617BB" w:rsidRPr="00B617BB">
        <w:rPr>
          <w:rFonts w:ascii="Times New Roman" w:hAnsi="Times New Roman" w:cs="Times New Roman"/>
          <w:sz w:val="24"/>
          <w:szCs w:val="24"/>
        </w:rPr>
        <w:t xml:space="preserve">A r. </w:t>
      </w:r>
      <w:r w:rsidR="00B617BB">
        <w:rPr>
          <w:rFonts w:ascii="Times New Roman" w:hAnsi="Times New Roman" w:cs="Times New Roman"/>
          <w:sz w:val="24"/>
          <w:szCs w:val="24"/>
        </w:rPr>
        <w:t>sentença objeto - que se diz tra</w:t>
      </w:r>
      <w:r w:rsidR="00B617BB" w:rsidRPr="00B617BB">
        <w:rPr>
          <w:rFonts w:ascii="Times New Roman" w:hAnsi="Times New Roman" w:cs="Times New Roman"/>
          <w:sz w:val="24"/>
          <w:szCs w:val="24"/>
        </w:rPr>
        <w:t>nsita</w:t>
      </w:r>
      <w:r w:rsidR="00B617BB">
        <w:rPr>
          <w:rFonts w:ascii="Times New Roman" w:hAnsi="Times New Roman" w:cs="Times New Roman"/>
          <w:sz w:val="24"/>
          <w:szCs w:val="24"/>
        </w:rPr>
        <w:t>da</w:t>
      </w:r>
      <w:r w:rsidR="00B617BB" w:rsidRPr="00B617BB">
        <w:rPr>
          <w:rFonts w:ascii="Times New Roman" w:hAnsi="Times New Roman" w:cs="Times New Roman"/>
          <w:sz w:val="24"/>
          <w:szCs w:val="24"/>
        </w:rPr>
        <w:t xml:space="preserve"> em julgado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estabeleceu,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com todas as letras, que o levantamento do valor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depositado exigiria “</w:t>
      </w:r>
      <w:r w:rsidR="00B617BB" w:rsidRPr="00B617BB">
        <w:rPr>
          <w:rFonts w:ascii="Times New Roman" w:hAnsi="Times New Roman" w:cs="Times New Roman"/>
          <w:b/>
          <w:bCs/>
          <w:sz w:val="24"/>
          <w:szCs w:val="24"/>
        </w:rPr>
        <w:t>efetiva comprovação da propriedade</w:t>
      </w:r>
      <w:r w:rsidR="00B617BB" w:rsidRPr="00B617BB">
        <w:rPr>
          <w:rFonts w:ascii="Times New Roman" w:hAnsi="Times New Roman" w:cs="Times New Roman"/>
          <w:sz w:val="24"/>
          <w:szCs w:val="24"/>
        </w:rPr>
        <w:t>”</w:t>
      </w:r>
      <w:r w:rsidR="00B617BB">
        <w:rPr>
          <w:rFonts w:ascii="Times New Roman" w:hAnsi="Times New Roman" w:cs="Times New Roman"/>
          <w:sz w:val="24"/>
          <w:szCs w:val="24"/>
        </w:rPr>
        <w:t xml:space="preserve">. </w:t>
      </w:r>
      <w:r w:rsidR="00B617BB" w:rsidRPr="00B617BB">
        <w:rPr>
          <w:rFonts w:ascii="Times New Roman" w:hAnsi="Times New Roman" w:cs="Times New Roman"/>
          <w:sz w:val="24"/>
          <w:szCs w:val="24"/>
        </w:rPr>
        <w:t>É verdade que, em linha de princípio, essa prova é a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registral, mas isso não impede que se reconheça doutro modo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o domínio ou, quando menos, a substituinte suficiência de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título possessório para o levantamento do preço (</w:t>
      </w:r>
      <w:r w:rsidR="00B617BB" w:rsidRPr="00B617BB">
        <w:rPr>
          <w:rFonts w:ascii="Times New Roman" w:hAnsi="Times New Roman" w:cs="Times New Roman"/>
          <w:i/>
          <w:iCs/>
          <w:sz w:val="24"/>
          <w:szCs w:val="24"/>
        </w:rPr>
        <w:t xml:space="preserve">vid. </w:t>
      </w:r>
      <w:r w:rsidR="00B617BB" w:rsidRPr="00B617BB">
        <w:rPr>
          <w:rFonts w:ascii="Times New Roman" w:hAnsi="Times New Roman" w:cs="Times New Roman"/>
          <w:sz w:val="24"/>
          <w:szCs w:val="24"/>
        </w:rPr>
        <w:t>REsp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769.731 -STJ -Min. LUIZ FUX; AgR no AgR no REsp 1.226.040 -</w:t>
      </w:r>
      <w:r w:rsidR="00B617BB">
        <w:rPr>
          <w:rFonts w:ascii="Times New Roman" w:hAnsi="Times New Roman" w:cs="Times New Roman"/>
          <w:sz w:val="24"/>
          <w:szCs w:val="24"/>
        </w:rPr>
        <w:t xml:space="preserve"> </w:t>
      </w:r>
      <w:r w:rsidR="00B617BB" w:rsidRPr="00B617BB">
        <w:rPr>
          <w:rFonts w:ascii="Times New Roman" w:hAnsi="Times New Roman" w:cs="Times New Roman"/>
          <w:sz w:val="24"/>
          <w:szCs w:val="24"/>
        </w:rPr>
        <w:t>STJ -Min. HUMBERTO MARTINS).</w:t>
      </w:r>
      <w:r w:rsidR="00B617BB">
        <w:rPr>
          <w:rFonts w:ascii="Times New Roman" w:hAnsi="Times New Roman" w:cs="Times New Roman"/>
          <w:sz w:val="24"/>
          <w:szCs w:val="24"/>
        </w:rPr>
        <w:t>”</w:t>
      </w:r>
    </w:p>
    <w:p w:rsidR="00B617BB" w:rsidRPr="00B617BB" w:rsidRDefault="00B617BB" w:rsidP="00B617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2F8" w:rsidRDefault="004A4AD2" w:rsidP="009572F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Na mesma esteira a sentença do processo 1024007-89.2014.826.0053 de São Paulo em que figura Move São Paulo como expropriante julgou extinto a ação por ausência de lei autorizadora da substituição processual, notadamente por que a Move São Paulo, concessionária </w:t>
      </w:r>
      <w:r w:rsidR="00F05AE6">
        <w:rPr>
          <w:rFonts w:ascii="Times New Roman" w:hAnsi="Times New Roman" w:cs="Times New Roman"/>
          <w:color w:val="000000"/>
          <w:sz w:val="24"/>
          <w:shd w:val="clear" w:color="auto" w:fill="FFFFFF"/>
        </w:rPr>
        <w:t>movia as ações de desapropriação em nome próprio, no interesse do Estado de São Paulo, por força de um contrato e de um decreto de utilidade pública, mas sem lei que autorizasse essa substituição processual pagando os expropriados com dinheiro público. O que parece algo normal fere o art. 29, VIII da Lei 8987/95 e o art. 6º do Código de Processo Civil</w:t>
      </w:r>
      <w:r w:rsidR="00B925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 sem desmerecimento da revisão imposta pelo </w:t>
      </w:r>
      <w:r w:rsidR="002A3C18">
        <w:rPr>
          <w:rFonts w:ascii="Times New Roman" w:hAnsi="Times New Roman" w:cs="Times New Roman"/>
          <w:color w:val="000000"/>
          <w:sz w:val="24"/>
          <w:shd w:val="clear" w:color="auto" w:fill="FFFFFF"/>
        </w:rPr>
        <w:t>Tribunal de Justiça do Estado de São Paulo resta a determinação e necessário acuro do advogado em aferir todas as possibilidades de defesa do interesse do cliente.</w:t>
      </w:r>
    </w:p>
    <w:p w:rsidR="00B617BB" w:rsidRDefault="00B617BB" w:rsidP="009572F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Vemos então que a defesa da ação de desapropriação, em que pese limitada, deve ser precedida de analise de todos os fatores que compõe o ato de Estado.</w:t>
      </w:r>
    </w:p>
    <w:p w:rsidR="00B617BB" w:rsidRDefault="00B617BB" w:rsidP="009572F8">
      <w:pPr>
        <w:spacing w:line="360" w:lineRule="auto"/>
        <w:jc w:val="both"/>
        <w:rPr>
          <w:rFonts w:ascii="Verdana" w:eastAsia="Times New Roman" w:hAnsi="Verdana" w:cs="Times New Roman"/>
          <w:b/>
          <w:bCs/>
          <w:color w:val="000000"/>
          <w:sz w:val="26"/>
          <w:lang w:eastAsia="pt-BR"/>
        </w:rPr>
      </w:pPr>
    </w:p>
    <w:p w:rsidR="009572F8" w:rsidRDefault="009572F8" w:rsidP="009572F8">
      <w:pPr>
        <w:jc w:val="both"/>
        <w:rPr>
          <w:rFonts w:ascii="Verdana" w:eastAsia="Times New Roman" w:hAnsi="Verdana" w:cs="Times New Roman"/>
          <w:b/>
          <w:bCs/>
          <w:color w:val="000000"/>
          <w:sz w:val="26"/>
          <w:lang w:eastAsia="pt-BR"/>
        </w:rPr>
      </w:pPr>
    </w:p>
    <w:p w:rsidR="009572F8" w:rsidRPr="004B3B77" w:rsidRDefault="009572F8" w:rsidP="009F5D27">
      <w:pPr>
        <w:spacing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9F5D27" w:rsidRDefault="009F5D27" w:rsidP="009F5D27">
      <w:pPr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9F5D27" w:rsidRPr="009F5D27" w:rsidRDefault="009F5D27" w:rsidP="009F5D2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F5D27" w:rsidRPr="009F5D27" w:rsidSect="00B85FE2">
      <w:pgSz w:w="11906" w:h="16838"/>
      <w:pgMar w:top="1417" w:right="1133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2B9" w:rsidRDefault="003B62B9" w:rsidP="00615E5D">
      <w:pPr>
        <w:spacing w:after="0" w:line="240" w:lineRule="auto"/>
      </w:pPr>
      <w:r>
        <w:separator/>
      </w:r>
    </w:p>
  </w:endnote>
  <w:endnote w:type="continuationSeparator" w:id="0">
    <w:p w:rsidR="003B62B9" w:rsidRDefault="003B62B9" w:rsidP="0061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2B9" w:rsidRDefault="003B62B9" w:rsidP="00615E5D">
      <w:pPr>
        <w:spacing w:after="0" w:line="240" w:lineRule="auto"/>
      </w:pPr>
      <w:r>
        <w:separator/>
      </w:r>
    </w:p>
  </w:footnote>
  <w:footnote w:type="continuationSeparator" w:id="0">
    <w:p w:rsidR="003B62B9" w:rsidRDefault="003B62B9" w:rsidP="00615E5D">
      <w:pPr>
        <w:spacing w:after="0" w:line="240" w:lineRule="auto"/>
      </w:pPr>
      <w:r>
        <w:continuationSeparator/>
      </w:r>
    </w:p>
  </w:footnote>
  <w:footnote w:id="1">
    <w:p w:rsidR="0058131A" w:rsidRDefault="0058131A" w:rsidP="0058131A">
      <w:pPr>
        <w:pStyle w:val="NormalWeb"/>
        <w:spacing w:before="0" w:beforeAutospacing="0" w:after="0" w:afterAutospacing="0" w:line="360" w:lineRule="auto"/>
        <w:jc w:val="both"/>
        <w:rPr>
          <w:color w:val="003333"/>
        </w:rPr>
      </w:pPr>
      <w:r>
        <w:rPr>
          <w:rStyle w:val="Refdenotaderodap"/>
        </w:rPr>
        <w:footnoteRef/>
      </w:r>
      <w:r>
        <w:t xml:space="preserve"> </w:t>
      </w:r>
      <w:bookmarkStart w:id="0" w:name="Art._182"/>
      <w:r w:rsidRPr="00E86D07">
        <w:rPr>
          <w:b/>
          <w:bCs/>
          <w:sz w:val="20"/>
        </w:rPr>
        <w:t>Art.</w:t>
      </w:r>
      <w:r w:rsidRPr="00E86D07">
        <w:rPr>
          <w:sz w:val="20"/>
        </w:rPr>
        <w:t xml:space="preserve"> </w:t>
      </w:r>
      <w:r w:rsidRPr="00E86D07">
        <w:rPr>
          <w:b/>
          <w:bCs/>
          <w:sz w:val="20"/>
        </w:rPr>
        <w:t>182</w:t>
      </w:r>
      <w:bookmarkEnd w:id="0"/>
      <w:r w:rsidRPr="00E86D07">
        <w:rPr>
          <w:sz w:val="20"/>
        </w:rPr>
        <w:t xml:space="preserve"> - A política de desenvolvimento urbano, executada pelo Poder Público municipal, conforme diretrizes gerais fixadas em lei, tem por objetivo ordenar o pleno desenvolvimento das funções sociais da cidade e garantir o bem-estar de seus habitantes.</w:t>
      </w:r>
      <w:bookmarkStart w:id="1" w:name="p-3-182"/>
      <w:r w:rsidRPr="00E86D07">
        <w:rPr>
          <w:b/>
          <w:bCs/>
          <w:sz w:val="20"/>
        </w:rPr>
        <w:t xml:space="preserve"> §</w:t>
      </w:r>
      <w:r w:rsidRPr="00E86D07">
        <w:rPr>
          <w:sz w:val="20"/>
        </w:rPr>
        <w:t xml:space="preserve"> </w:t>
      </w:r>
      <w:r w:rsidRPr="00E86D07">
        <w:rPr>
          <w:b/>
          <w:bCs/>
          <w:sz w:val="20"/>
        </w:rPr>
        <w:t>3º</w:t>
      </w:r>
      <w:bookmarkEnd w:id="1"/>
      <w:r w:rsidRPr="00E86D07">
        <w:rPr>
          <w:sz w:val="20"/>
        </w:rPr>
        <w:t xml:space="preserve"> - </w:t>
      </w:r>
      <w:bookmarkStart w:id="2" w:name="§_3o_-_As_des"/>
      <w:r w:rsidRPr="00E86D07">
        <w:rPr>
          <w:sz w:val="20"/>
        </w:rPr>
        <w:t>A</w:t>
      </w:r>
      <w:bookmarkEnd w:id="2"/>
      <w:r w:rsidRPr="00E86D07">
        <w:rPr>
          <w:sz w:val="20"/>
        </w:rPr>
        <w:t>s desapropriações de imóveis urbanos serão feitas com prévia e justa indenização em dinheiro.</w:t>
      </w:r>
    </w:p>
    <w:p w:rsidR="0058131A" w:rsidRDefault="0058131A" w:rsidP="0058131A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D27"/>
    <w:rsid w:val="0016306E"/>
    <w:rsid w:val="001850DF"/>
    <w:rsid w:val="001939E3"/>
    <w:rsid w:val="001A3B1D"/>
    <w:rsid w:val="001F6990"/>
    <w:rsid w:val="002901C0"/>
    <w:rsid w:val="002A3C18"/>
    <w:rsid w:val="002A712D"/>
    <w:rsid w:val="003B62B9"/>
    <w:rsid w:val="004A4AD2"/>
    <w:rsid w:val="004B3B77"/>
    <w:rsid w:val="0058131A"/>
    <w:rsid w:val="00615E5D"/>
    <w:rsid w:val="00803996"/>
    <w:rsid w:val="00807663"/>
    <w:rsid w:val="008B3D93"/>
    <w:rsid w:val="009572F8"/>
    <w:rsid w:val="009F5D27"/>
    <w:rsid w:val="00A15EE5"/>
    <w:rsid w:val="00A33020"/>
    <w:rsid w:val="00A33B10"/>
    <w:rsid w:val="00B617BB"/>
    <w:rsid w:val="00B85FE2"/>
    <w:rsid w:val="00B92510"/>
    <w:rsid w:val="00EB5E24"/>
    <w:rsid w:val="00F05AE6"/>
    <w:rsid w:val="00F4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EE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D2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5E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5E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5E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0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3996"/>
    <w:rPr>
      <w:b/>
      <w:bCs/>
    </w:rPr>
  </w:style>
  <w:style w:type="character" w:customStyle="1" w:styleId="apple-converted-space">
    <w:name w:val="apple-converted-space"/>
    <w:basedOn w:val="Fontepargpadro"/>
    <w:rsid w:val="00803996"/>
  </w:style>
  <w:style w:type="character" w:customStyle="1" w:styleId="padraooutputtextgrande">
    <w:name w:val="padraooutputtextgrande"/>
    <w:basedOn w:val="Fontepargpadro"/>
    <w:rsid w:val="00957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9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35811932697704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9DB9-E625-4B66-8E14-94232C19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1309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DRAlexandre</dc:creator>
  <cp:lastModifiedBy>DRAlexandre</cp:lastModifiedBy>
  <cp:revision>8</cp:revision>
  <cp:lastPrinted>2015-04-07T15:10:00Z</cp:lastPrinted>
  <dcterms:created xsi:type="dcterms:W3CDTF">2015-04-06T19:39:00Z</dcterms:created>
  <dcterms:modified xsi:type="dcterms:W3CDTF">2015-04-07T15:10:00Z</dcterms:modified>
</cp:coreProperties>
</file>