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D0" w:rsidRDefault="00682CE1" w:rsidP="00682C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E1">
        <w:rPr>
          <w:rFonts w:ascii="Times New Roman" w:hAnsi="Times New Roman" w:cs="Times New Roman"/>
          <w:b/>
          <w:sz w:val="24"/>
          <w:szCs w:val="24"/>
        </w:rPr>
        <w:t xml:space="preserve">Um curto ensaio sobre a filosofia à venda, de </w:t>
      </w:r>
      <w:proofErr w:type="spellStart"/>
      <w:r w:rsidRPr="00682CE1">
        <w:rPr>
          <w:rFonts w:ascii="Times New Roman" w:hAnsi="Times New Roman" w:cs="Times New Roman"/>
          <w:b/>
          <w:sz w:val="24"/>
          <w:szCs w:val="24"/>
        </w:rPr>
        <w:t>Boaventura</w:t>
      </w:r>
      <w:proofErr w:type="spellEnd"/>
      <w:r w:rsidRPr="00682CE1">
        <w:rPr>
          <w:rFonts w:ascii="Times New Roman" w:hAnsi="Times New Roman" w:cs="Times New Roman"/>
          <w:b/>
          <w:sz w:val="24"/>
          <w:szCs w:val="24"/>
        </w:rPr>
        <w:t xml:space="preserve"> de Souza Santos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2CE1" w:rsidRDefault="00682CE1" w:rsidP="00682C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448" w:rsidRDefault="00710448" w:rsidP="00682C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2CE1" w:rsidRPr="00682CE1" w:rsidRDefault="00682CE1" w:rsidP="00682C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Frederico Nicolau Cesarino</w:t>
      </w:r>
    </w:p>
    <w:p w:rsidR="00682CE1" w:rsidRPr="00710448" w:rsidRDefault="00682CE1" w:rsidP="00644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2E6" w:rsidRDefault="00710448" w:rsidP="00C62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044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ab/>
      </w:r>
      <w:r w:rsidR="00C627B9"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 a compreensão do texto</w:t>
      </w:r>
      <w:r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119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A </w:t>
      </w:r>
      <w:r w:rsidR="00DF119C" w:rsidRPr="00DF119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filosofia</w:t>
      </w:r>
      <w:r w:rsidRPr="00DF119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à venda, a douta </w:t>
      </w:r>
      <w:r w:rsidR="00DF119C" w:rsidRPr="00DF119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ignorância</w:t>
      </w:r>
      <w:r w:rsidRPr="00DF119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e a aposta de Pascal</w:t>
      </w:r>
      <w:r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627B9"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Boaventura</w:t>
      </w:r>
      <w:proofErr w:type="spellEnd"/>
      <w:r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Souza Santos</w:t>
      </w:r>
      <w:r w:rsidR="00C627B9"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inicialmente se faz</w:t>
      </w:r>
      <w:r w:rsidR="0064458B"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necessário recordar a definição de Epistemologia: trata-se, simplificadamente, da teoria ou filosofia do conhecimento. É o ramo </w:t>
      </w:r>
      <w:r w:rsidR="000302E6" w:rsidRPr="00DF11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ciência cujo</w:t>
      </w:r>
      <w:r w:rsidR="000302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objeto de pesquisa é o conjunto de problemas relacionados ao conhecimento como, por exemplo, sua metodologia, sua organização, seu histórico, sua validação e seus limites. </w:t>
      </w:r>
    </w:p>
    <w:p w:rsidR="004F6EE0" w:rsidRPr="0064458B" w:rsidRDefault="000302E6" w:rsidP="004F6E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Souza Santos, a partir desta definição, define duas epistemologias: Epistemologia do Norte e Epistemologia do Sul. O autor define esta última como a epistemologia que tem por objetivo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recuperação dos saberes e práticas dos grupos sociais que, devido ao capitalismo e aos processos coloniais, foram </w:t>
      </w:r>
      <w:r w:rsidR="00C627B9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historica</w:t>
      </w:r>
      <w:r w:rsidR="00C627B9">
        <w:rPr>
          <w:rFonts w:ascii="Times New Roman" w:hAnsi="Times New Roman" w:cs="Times New Roman"/>
          <w:color w:val="000000" w:themeColor="text1"/>
          <w:sz w:val="24"/>
          <w:szCs w:val="24"/>
        </w:rPr>
        <w:t>mente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sociologicamente colocados na posição de serem apenas objetos ou matéria-prima dos saberes dominantes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chamados pelo autor de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pistemologia do Norte,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considerados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durante a maior parte do período da História da Ciência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como os únicos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saberes cientificamente válidos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São,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F08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considerados como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conjunto de epistemologias do que uma única epistemologia</w:t>
      </w:r>
      <w:r w:rsidR="00C62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se refere </w:t>
      </w:r>
      <w:proofErr w:type="gramStart"/>
      <w:r w:rsidR="00C627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C62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introdução do texto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5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Epistemologia do Sul, no entanto, tem como diferencial a inclusão das experiências e conhecimentos</w:t>
      </w:r>
      <w:r w:rsidR="004F6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mundo, as tradições, em seu conjunto de saberes. Inclui também as próprias experiências de conhecimento da Epistemologia do Norte, porém reconfiguradas. </w:t>
      </w:r>
      <w:proofErr w:type="spellStart"/>
      <w:r w:rsidR="004F6EE0"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 w:rsidR="004F6EE0">
        <w:rPr>
          <w:rFonts w:ascii="Times New Roman" w:hAnsi="Times New Roman" w:cs="Times New Roman"/>
          <w:color w:val="000000" w:themeColor="text1"/>
          <w:sz w:val="24"/>
          <w:szCs w:val="24"/>
        </w:rPr>
        <w:t>, por sua vez, não sugere ou deseja o fortalecimento do Sul por meio de uma posição combativa ao Norte, e sim sugere a subversão dos modos de compreensão do mundo por meio da utilização de todo o conjunto de saberes.</w:t>
      </w:r>
      <w:r w:rsidR="004F6EE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78C7" w:rsidRDefault="004556D0" w:rsidP="000302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dos conceitos centrais da 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pistemologia do Sul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>tal como é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proposta por </w:t>
      </w:r>
      <w:proofErr w:type="spellStart"/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Souza Santos, se refere à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Ecologia de Saberes.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autor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>descreve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como cada saber só existe dentro de uma pluralidade de saberes, nenhum deles pode compreender-se a si próprio sem se referir aos outros saberes.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Afirma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</w:t>
      </w:r>
      <w:r w:rsidR="00C7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s limites e as possibilidades de cada saber residem, assim, em última instância, na existência de outros saberes e, por isso, só podem ser explorados e valorizados na comparação com outros saberes.</w:t>
      </w:r>
    </w:p>
    <w:p w:rsidR="00512515" w:rsidRDefault="00E815CC" w:rsidP="000302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Existe uma dificuldade, segundo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de se realizar a comparação entre as epistemologias. Este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dificuldade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ocorre, segundo o autor, por conta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assimetria entre os saberes, ou o que </w:t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chamado por ele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de diferença epistemológica.</w:t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Existem, </w:t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>no entanto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, duas formas de viver ou acionar essa assimetria:</w:t>
      </w:r>
    </w:p>
    <w:p w:rsidR="00512515" w:rsidRDefault="004556D0" w:rsidP="000302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aximizá-la, levando ao máximo a ignorância a respeito de outros saberes, de modo a praticamente declarar a sua inexistência (fascismo epistemológico) – modo que tem predominado nas epistemologias hegemônicas da modernidade ocidental (ou seja, do que ele nomeia epistemologia do Norte);</w:t>
      </w:r>
    </w:p>
    <w:p w:rsidR="00512515" w:rsidRDefault="00512515" w:rsidP="000302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T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odos os saberes reconhecerem a assimetria e fazerem dela o motor da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comparação com outros saberes. 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 segundo modo o autor chama de ecologia dos saberes, que vem a ser um dos conceitos fundamentais da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pistemologia do Sul.</w:t>
      </w:r>
    </w:p>
    <w:p w:rsidR="00512515" w:rsidRDefault="00512515" w:rsidP="00512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515" w:rsidRDefault="004556D0" w:rsidP="005125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A ecologia de saberes, por sua vez, se depara com dois problemas:</w:t>
      </w:r>
    </w:p>
    <w:p w:rsidR="00512515" w:rsidRDefault="00512515" w:rsidP="00512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C1A" w:rsidRDefault="00512515" w:rsidP="001D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maneira de se realizar a comparação dos diferentes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saberes,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por conta da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diferença epistemológica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, ou seja,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4556D0" w:rsidRPr="006445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tradução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sentido específico,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por meio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procedimentos de busca de proporção e correspondência que permitam aproximações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 inevitavelmente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ocorre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modo recíproco,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nenhum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saber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es a ocupar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lugar de saber dominante;</w:t>
      </w:r>
    </w:p>
    <w:p w:rsidR="001D4C95" w:rsidRDefault="004556D0" w:rsidP="001D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>- A maneira em se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criar o conjunto de saberes que participa de um dado exercício de ecologia de saberes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, uma vez que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pluralidade d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saberes é infinita </w:t>
      </w:r>
      <w:r w:rsidR="0051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partir do princípio de que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>seu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lugar de discussão não seja um lugar exclusivo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isto como,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exemplo,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universidades ou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centros de </w:t>
      </w:r>
      <w:r w:rsidR="00BF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pesquisa e </w:t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investigação.</w:t>
      </w:r>
    </w:p>
    <w:p w:rsidR="001D4C95" w:rsidRDefault="001D4C95" w:rsidP="001D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1" w:rsidRDefault="001D4C95" w:rsidP="00682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defende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o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lugar de enunciação da ecologia de saberes são todos os lugares onde o saber é convocado a converter-se em experiência transformadora.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 torna-se possível</w:t>
      </w:r>
      <w:r w:rsidR="00682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caracterizar uma epistemologia em rede, a qual possua seus conceitos como a ecologia dos saberes como um dos seus pressupostos.</w:t>
      </w:r>
      <w:r w:rsidR="00682CE1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Colocar em rede estudos de diferentes realidades, memórias, realidades artísticas, </w:t>
      </w:r>
      <w:r w:rsidR="00682CE1">
        <w:rPr>
          <w:rFonts w:ascii="Times New Roman" w:hAnsi="Times New Roman" w:cs="Times New Roman"/>
          <w:color w:val="000000" w:themeColor="text1"/>
          <w:sz w:val="24"/>
          <w:szCs w:val="24"/>
        </w:rPr>
        <w:t>se configura na promoção da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construção inacabada e inacabável d</w:t>
      </w:r>
      <w:r w:rsidR="00682CE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criação de metáforas e </w:t>
      </w:r>
      <w:r w:rsidR="004556D0"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epistemologias que podem, juntas, concorrer para uma melhor compreensão de determinados fenômenos e, ainda, para a aposta de uma melhor realidade.</w:t>
      </w:r>
    </w:p>
    <w:p w:rsidR="00682CE1" w:rsidRDefault="004556D0" w:rsidP="00682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>Boaventura</w:t>
      </w:r>
      <w:proofErr w:type="spellEnd"/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usa a metáfora da aposta de Pascal (pautada na racionalidade e na razoabilidade da crença), como o que nos impulsiona a trabalharmos árduo tendo como base a incerteza das possibilidades de transformação:</w:t>
      </w:r>
    </w:p>
    <w:p w:rsidR="004556D0" w:rsidRPr="00682CE1" w:rsidRDefault="004556D0" w:rsidP="00682CE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 w:themeColor="text1"/>
        </w:rPr>
      </w:pP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445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82CE1">
        <w:rPr>
          <w:rFonts w:ascii="Times New Roman" w:hAnsi="Times New Roman" w:cs="Times New Roman"/>
          <w:color w:val="000000" w:themeColor="text1"/>
        </w:rPr>
        <w:t xml:space="preserve">“(…) a questão que nos confronta pode ser formulada assim: que razões nos podem levar a lutar por </w:t>
      </w:r>
      <w:proofErr w:type="gramStart"/>
      <w:r w:rsidRPr="00682CE1">
        <w:rPr>
          <w:rFonts w:ascii="Times New Roman" w:hAnsi="Times New Roman" w:cs="Times New Roman"/>
          <w:color w:val="000000" w:themeColor="text1"/>
        </w:rPr>
        <w:t>uma tal</w:t>
      </w:r>
      <w:proofErr w:type="gramEnd"/>
      <w:r w:rsidRPr="00682CE1">
        <w:rPr>
          <w:rFonts w:ascii="Times New Roman" w:hAnsi="Times New Roman" w:cs="Times New Roman"/>
          <w:color w:val="000000" w:themeColor="text1"/>
        </w:rPr>
        <w:t xml:space="preserve"> possibilidade, correndo riscos certos para obter um ganho tão incerto? Sugiro que a resposta seja a aposta, como única alternativa tanto às teses do fim da história como às teses do determinismo vulgar. A aposta é a metáfora da construção precária, mas minimamente credível, da possibilidade de um mundo melhor, ou seja, a possibilidade de emancipação social, sem a qual a rejeição da injustiça do mundo </w:t>
      </w:r>
      <w:proofErr w:type="spellStart"/>
      <w:r w:rsidRPr="00682CE1">
        <w:rPr>
          <w:rFonts w:ascii="Times New Roman" w:hAnsi="Times New Roman" w:cs="Times New Roman"/>
          <w:color w:val="000000" w:themeColor="text1"/>
        </w:rPr>
        <w:t>actual</w:t>
      </w:r>
      <w:proofErr w:type="spellEnd"/>
      <w:r w:rsidRPr="00682CE1">
        <w:rPr>
          <w:rFonts w:ascii="Times New Roman" w:hAnsi="Times New Roman" w:cs="Times New Roman"/>
          <w:color w:val="000000" w:themeColor="text1"/>
        </w:rPr>
        <w:t xml:space="preserve"> e o inconformismo perante ela não fazem sentido. A aposta é a metáfora da transformação social num mundo em que as razões e visões negativas (o que se rejeita) são muito mais convincentes do que as razões positivas (a identificação do que se quer e como lá chegar).</w:t>
      </w:r>
      <w:r w:rsidR="00DF119C">
        <w:rPr>
          <w:rFonts w:ascii="Times New Roman" w:hAnsi="Times New Roman" w:cs="Times New Roman"/>
          <w:color w:val="000000" w:themeColor="text1"/>
        </w:rPr>
        <w:t xml:space="preserve"> (SANTOS, 2008)</w:t>
      </w:r>
      <w:r w:rsidRPr="00682CE1">
        <w:rPr>
          <w:rFonts w:ascii="Times New Roman" w:hAnsi="Times New Roman" w:cs="Times New Roman"/>
          <w:color w:val="000000" w:themeColor="text1"/>
        </w:rPr>
        <w:t xml:space="preserve">” </w:t>
      </w:r>
    </w:p>
    <w:p w:rsidR="00682CE1" w:rsidRPr="00DF119C" w:rsidRDefault="00682CE1" w:rsidP="00682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10F" w:rsidRPr="00DF119C" w:rsidRDefault="007F410F" w:rsidP="007F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119C" w:rsidRPr="00DF119C" w:rsidRDefault="00DF119C" w:rsidP="00682CE1">
      <w:pPr>
        <w:pStyle w:val="Default"/>
        <w:rPr>
          <w:rFonts w:eastAsia="Times New Roman"/>
          <w:color w:val="000000" w:themeColor="text1"/>
          <w:lang w:eastAsia="pt-BR"/>
        </w:rPr>
      </w:pPr>
      <w:r w:rsidRPr="00DF119C">
        <w:rPr>
          <w:rFonts w:eastAsia="Times New Roman"/>
          <w:b/>
          <w:color w:val="000000" w:themeColor="text1"/>
          <w:lang w:eastAsia="pt-BR"/>
        </w:rPr>
        <w:t>Referências Bibliográficas</w:t>
      </w:r>
      <w:r w:rsidRPr="00DF119C">
        <w:rPr>
          <w:rFonts w:eastAsia="Times New Roman"/>
          <w:color w:val="000000" w:themeColor="text1"/>
          <w:lang w:eastAsia="pt-BR"/>
        </w:rPr>
        <w:t>:</w:t>
      </w:r>
    </w:p>
    <w:p w:rsidR="00DF119C" w:rsidRPr="00DF119C" w:rsidRDefault="00DF119C" w:rsidP="00682CE1">
      <w:pPr>
        <w:pStyle w:val="Default"/>
        <w:rPr>
          <w:rFonts w:eastAsia="Times New Roman"/>
          <w:color w:val="000000" w:themeColor="text1"/>
          <w:lang w:eastAsia="pt-BR"/>
        </w:rPr>
      </w:pPr>
    </w:p>
    <w:p w:rsidR="00DF119C" w:rsidRPr="00DF119C" w:rsidRDefault="00DF119C" w:rsidP="00DF1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1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SANTOS, </w:t>
      </w:r>
      <w:proofErr w:type="spellStart"/>
      <w:r w:rsidRPr="00DF11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Boaventura</w:t>
      </w:r>
      <w:proofErr w:type="spellEnd"/>
      <w:r w:rsidRPr="00DF11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Souza. </w:t>
      </w:r>
      <w:r w:rsidRPr="00DF119C">
        <w:rPr>
          <w:rFonts w:ascii="Times New Roman" w:hAnsi="Times New Roman" w:cs="Times New Roman"/>
          <w:b/>
          <w:bCs/>
          <w:sz w:val="24"/>
          <w:szCs w:val="24"/>
        </w:rPr>
        <w:t xml:space="preserve">A filosofia à venda, a douta ignorância e a aposta de Pascal. </w:t>
      </w:r>
      <w:r w:rsidRPr="00DF119C">
        <w:rPr>
          <w:rFonts w:ascii="Times New Roman" w:hAnsi="Times New Roman" w:cs="Times New Roman"/>
          <w:bCs/>
          <w:sz w:val="24"/>
          <w:szCs w:val="24"/>
        </w:rPr>
        <w:t xml:space="preserve">In: </w:t>
      </w:r>
      <w:r w:rsidRPr="00DF119C">
        <w:rPr>
          <w:rFonts w:ascii="Times New Roman" w:hAnsi="Times New Roman" w:cs="Times New Roman"/>
          <w:iCs/>
          <w:sz w:val="24"/>
          <w:szCs w:val="24"/>
        </w:rPr>
        <w:t>Revista Crítica de Ciências Sociais,</w:t>
      </w:r>
      <w:r w:rsidRPr="00DF11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19C">
        <w:rPr>
          <w:rFonts w:ascii="Times New Roman" w:hAnsi="Times New Roman" w:cs="Times New Roman"/>
          <w:sz w:val="24"/>
          <w:szCs w:val="24"/>
        </w:rPr>
        <w:t>80, Março 2008: 11-43</w:t>
      </w:r>
    </w:p>
    <w:p w:rsidR="00DF119C" w:rsidRPr="00DF119C" w:rsidRDefault="00DF119C" w:rsidP="00DF1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58B" w:rsidRPr="00DF119C" w:rsidRDefault="007F410F" w:rsidP="00682CE1">
      <w:pPr>
        <w:pStyle w:val="Default"/>
        <w:rPr>
          <w:rFonts w:eastAsia="Times New Roman"/>
          <w:color w:val="000000" w:themeColor="text1"/>
          <w:lang w:eastAsia="pt-BR"/>
        </w:rPr>
      </w:pPr>
      <w:r w:rsidRPr="00DF119C">
        <w:rPr>
          <w:rFonts w:eastAsia="Times New Roman"/>
          <w:color w:val="000000" w:themeColor="text1"/>
          <w:lang w:eastAsia="pt-BR"/>
        </w:rPr>
        <w:br w:type="textWrapping" w:clear="all"/>
      </w:r>
    </w:p>
    <w:sectPr w:rsidR="0064458B" w:rsidRPr="00DF119C" w:rsidSect="00995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10F"/>
    <w:rsid w:val="000302E6"/>
    <w:rsid w:val="00053568"/>
    <w:rsid w:val="001D4C95"/>
    <w:rsid w:val="004556D0"/>
    <w:rsid w:val="004F6EE0"/>
    <w:rsid w:val="00512515"/>
    <w:rsid w:val="0064458B"/>
    <w:rsid w:val="00682CE1"/>
    <w:rsid w:val="006E5F08"/>
    <w:rsid w:val="00710448"/>
    <w:rsid w:val="007F410F"/>
    <w:rsid w:val="00995C25"/>
    <w:rsid w:val="00BF1C1A"/>
    <w:rsid w:val="00C627B9"/>
    <w:rsid w:val="00C778C7"/>
    <w:rsid w:val="00DF119C"/>
    <w:rsid w:val="00E637AF"/>
    <w:rsid w:val="00E8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10F"/>
    <w:rPr>
      <w:strike w:val="0"/>
      <w:dstrike w:val="0"/>
      <w:color w:val="0087BF"/>
      <w:u w:val="none"/>
      <w:effect w:val="none"/>
    </w:rPr>
  </w:style>
  <w:style w:type="paragraph" w:customStyle="1" w:styleId="Default">
    <w:name w:val="Default"/>
    <w:rsid w:val="007F4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4781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86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4E4E4"/>
                    <w:bottom w:val="none" w:sz="0" w:space="0" w:color="auto"/>
                    <w:right w:val="none" w:sz="0" w:space="0" w:color="auto"/>
                  </w:divBdr>
                  <w:divsChild>
                    <w:div w:id="1348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210903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  <w:div w:id="15245795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single" w:sz="2" w:space="2" w:color="000000"/>
                                    <w:left w:val="single" w:sz="2" w:space="0" w:color="000000"/>
                                    <w:bottom w:val="single" w:sz="2" w:space="2" w:color="000000"/>
                                    <w:right w:val="single" w:sz="2" w:space="0" w:color="000000"/>
                                  </w:divBdr>
                                  <w:divsChild>
                                    <w:div w:id="12099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11000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FF"/>
                                        <w:left w:val="single" w:sz="2" w:space="0" w:color="0000FF"/>
                                        <w:bottom w:val="single" w:sz="2" w:space="0" w:color="0000FF"/>
                                        <w:right w:val="single" w:sz="2" w:space="0" w:color="0000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tgt119</dc:creator>
  <cp:keywords/>
  <dc:description/>
  <cp:lastModifiedBy>tgt119</cp:lastModifiedBy>
  <cp:revision>8</cp:revision>
  <dcterms:created xsi:type="dcterms:W3CDTF">2015-04-13T13:17:00Z</dcterms:created>
  <dcterms:modified xsi:type="dcterms:W3CDTF">2015-04-14T14:41:00Z</dcterms:modified>
</cp:coreProperties>
</file>