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DE" w:rsidRDefault="001D2DDE" w:rsidP="001D2DDE">
      <w:pPr>
        <w:jc w:val="center"/>
        <w:rPr>
          <w:b/>
          <w:sz w:val="44"/>
          <w:szCs w:val="44"/>
        </w:rPr>
      </w:pPr>
      <w:r w:rsidRPr="001D2DDE">
        <w:rPr>
          <w:b/>
          <w:sz w:val="44"/>
          <w:szCs w:val="44"/>
        </w:rPr>
        <w:t>A Sentença no Processo Penal</w:t>
      </w:r>
    </w:p>
    <w:p w:rsidR="001D2DDE" w:rsidRPr="001D2DDE" w:rsidRDefault="001D2DDE" w:rsidP="001D2DDE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D2DDE" w:rsidRDefault="001D2DDE" w:rsidP="001D2DDE">
      <w:r w:rsidRPr="001D2DDE">
        <w:t>Autor: Fernando Henrique Carvalho</w:t>
      </w:r>
    </w:p>
    <w:p w:rsidR="001D2DDE" w:rsidRPr="001D2DDE" w:rsidRDefault="001D2DDE" w:rsidP="001D2DDE"/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código de processo penal não é sistemático quando se refere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sentença, não obstante tenha um titulo com dispositivos regulando, especialmente, a sentença penal condenatória (artigos 381 – 392, CPP). 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sentenças possíveis em direito processual penal não encontram um padrão rígido de conceituação, como de certa maneira ainda subsiste no âmbito do processo civil.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embargo, um critério exato do que seja sentença, isto é, um conceito abrangente de todas as suas possibilidades é um ideal distante. O que é viável uma noção, um indicativo do que se poderia entender por sentença.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código de processo civil, havia uma distinção precisa do que se tinha por sentença na redação do §1º, do seu art. 162, que assentava que “sentença é o ato pelo qual o juiz põe termo ao processo”. Ao lado dessa enunciação, o §2º esclarece que “decisão interlocutória é o ato pelo qual o juiz, no curso do processo, resolve questão incidente”, enquanto o §3º estatui que “são despachos todos os demais atos do juiz praticados no processo, de oficio ou de requerimento da parte, a cujo respeito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 não estabelece outra forma” e o §4º explica que “os atos meramente ordinários, como a juntada e a vista obrigatória, independem de despacho, devendo ser praticado de oficio pelo servidor e revisto pelo juiz quando necessário”.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o código de processo civil havia um regramento fechado sobre os atos do juiz que tinha o condão de considerar sentença tão somente o ato final que encerrava o processo, que por sua vez, só podia ser de três espécies: o processo de conhecimento, o de execução e o cautelar.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código de processo civil, a partir do advento da Lei nº 11.232/2005, passou a preconizar que “sentença é o ato do juiz que implica alguma das situações previstas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267 e 269 desta Lei” </w:t>
      </w:r>
      <w:proofErr w:type="gramStart"/>
      <w:r>
        <w:rPr>
          <w:rFonts w:ascii="Times New Roman" w:hAnsi="Times New Roman" w:cs="Times New Roman"/>
          <w:sz w:val="24"/>
          <w:szCs w:val="24"/>
        </w:rPr>
        <w:t>(art. 162, §1º.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sua vez no tocante as sentenças definitivas (que apreciam o mérito), o CPC não fala mais, em seu art. 269, que o processo será extinto, “com julgamento do mérito”, porém simplesmente, que “haverá resolução de mérito”. Isso evidencia que não é plausível assimilar a noção de sentença ao ato de encerramento do processo, por encobrir a sua natureza que é a de definir o direito.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legislador do código de processo penal andou melhor em não estampar um conceito de sentença; A leitura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381 e seguintes dá margem a interpretação de que “sentença é apenas a decisão que julga o mérito principal, ou seja, a que condena ou absolve o réu”, decidindo a cerca da imputação feita em desfavor do acusado, o que não é verdadeiro. Esta noção corresponde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sentença em sentido estrito, mas há sentença que não encerram o processo, por exemplo da “sentença” de pronuncia (§1º, art. 413, CPP) que poderia ser assimilada a uma “decisão </w:t>
      </w:r>
      <w:r>
        <w:rPr>
          <w:rFonts w:ascii="Times New Roman" w:hAnsi="Times New Roman" w:cs="Times New Roman"/>
          <w:sz w:val="24"/>
          <w:szCs w:val="24"/>
        </w:rPr>
        <w:lastRenderedPageBreak/>
        <w:t>interlocutória mista não terminativa”. A sentença da pronuncia, malgrado não contenha mérito de julgamento definitivo com aplicação de pena, não deixa de ter um conteúdo declaratório do direito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sob o ponto de vista de que faz o “recorte” da imputação.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inviabilidade de um conceito fechado será evidenciada a partir do cortejo das sentenças possíveis em um processo penal, tal como se dá com a sentença homologatória de transação penal, no âmbito dos juizados especiais criminais que, em sua essência, contém uma “condenação” do autor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fato, impondo-lhe uma “pena”, embora sob o rotulo de “medida”.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processo penal não se resume ao de natureza condenatória. Em processo penal não condenatório, ou mesmo em processo desta natureza, sentenças de outras espécies poderão ter lugar, tais como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sentença </w:t>
      </w:r>
      <w:r w:rsidRPr="00F65F80">
        <w:rPr>
          <w:rFonts w:ascii="Times New Roman" w:hAnsi="Times New Roman" w:cs="Times New Roman"/>
          <w:b/>
          <w:sz w:val="24"/>
          <w:szCs w:val="24"/>
        </w:rPr>
        <w:t>declaratórias, exe</w:t>
      </w:r>
      <w:r>
        <w:rPr>
          <w:rFonts w:ascii="Times New Roman" w:hAnsi="Times New Roman" w:cs="Times New Roman"/>
          <w:b/>
          <w:sz w:val="24"/>
          <w:szCs w:val="24"/>
        </w:rPr>
        <w:t>cutivas, mandamentais ou constitutivas</w:t>
      </w:r>
      <w:r w:rsidRPr="00F65F8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conformidade com a natureza do processo penal respectivo</w:t>
      </w:r>
      <w:proofErr w:type="gramEnd"/>
      <w:r>
        <w:rPr>
          <w:rFonts w:ascii="Times New Roman" w:hAnsi="Times New Roman" w:cs="Times New Roman"/>
          <w:sz w:val="24"/>
          <w:szCs w:val="24"/>
        </w:rPr>
        <w:t>. Releva, portanto, que sejam enfrentadas tais espécies de sentença de que não há uma sentença com eficácia unicamente declaratória, condenatória, constitutiva, mandamental ou executiva.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sentença declaratória não necessita de providencia ulterior, contendo uma força preponderantemente de declaração, tal como ocorre com aquela que declara reabilitado o apenado.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sentença constitutiva, por sua vez, tem como eficácia preponderante a modificação de situação jurídica, estando inserida nessa classificação a sentença em habeas corpus, que invalida inquérito policial em curso, com o seu seguinte trancamento. O habeas corpus é a ação penal não condenatória que visa assegurar o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conforme o seu fito descrito na petição inicial, pode ter eficácia constitutiva prevalecente. A sentença constitutiva não impõe ação de execução subsequente.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>
        <w:rPr>
          <w:rFonts w:ascii="Times New Roman" w:hAnsi="Times New Roman" w:cs="Times New Roman"/>
          <w:sz w:val="24"/>
          <w:szCs w:val="24"/>
        </w:rPr>
        <w:t>, a sentença mandamental pode ser encontrada também em ação de habeas corpus, quando termina com a emissão de alvará de soltura ou de um salvo-conduto, retratando um pronunciamento judicial que consubstancia uma ordem da mesma ordem que as sentenças declaratórias e mandamentais, não há aqui necessidade de ação ou pedido de execução de sentença, sendo expedido o mandado de imediato.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 possibilidade de sentença executiva no processo penal, ainda que em sede de processos instaurados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oficio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 a “requerimento do Ministério Público ou do ofendido, ou mediante representação da autoridade policial” (art. 127, CPP).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Sentenças interlocutórias simples: caracterizadas como aquelas que “dirimem questões emergentes relativas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regularidade ou marcha do processo, exigindo um pronunciamento decisório sem penetrar no mérito da causa”, a exemplo da decisão de recebimento da denuncia ou da que decreta prisão preventiva, que se distinguem dos meros despachos;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Sentenças interlocutórias mistas, também chamadas de “decisões com força de definitivas”, em terminologia adotada pelo art. 593, II, CPP, assim definidas porque “encerram uma etapa do procedimento ou a própria relação processual, sem o julgamento do mérito da causa”, sendo o primeiro caso, denominadas “de </w:t>
      </w:r>
      <w:r>
        <w:rPr>
          <w:rFonts w:ascii="Times New Roman" w:hAnsi="Times New Roman" w:cs="Times New Roman"/>
          <w:sz w:val="24"/>
          <w:szCs w:val="24"/>
        </w:rPr>
        <w:lastRenderedPageBreak/>
        <w:t>interlocutórias mistas não terminativas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>
        <w:rPr>
          <w:rFonts w:ascii="Times New Roman" w:hAnsi="Times New Roman" w:cs="Times New Roman"/>
          <w:sz w:val="24"/>
          <w:szCs w:val="24"/>
        </w:rPr>
        <w:t>,  tal como ocorre com a pronúncia – que remete ao feito ao tribunal do júri – e no segundo caso, “de interlocutórias mistas terminativas”;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Sentenças definitivas ou sentenças em sentido próprio, provimentos que “solucionam a lide, julgando o mérito da causa”, podendo se apresentar como condenatórias, absolutórias e terminativas de mérito.</w:t>
      </w:r>
    </w:p>
    <w:p w:rsidR="001D2DDE" w:rsidRDefault="001D2DDE" w:rsidP="001D2DDE">
      <w:pPr>
        <w:spacing w:line="240" w:lineRule="auto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com fundamentação da sentença que são explicitadas as teses da acusação e da defesa, as provas produzidas e as razões do convencimento do juiz. 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fundamentação </w:t>
      </w:r>
      <w:r w:rsidRPr="003F0767">
        <w:rPr>
          <w:rFonts w:ascii="Times New Roman" w:hAnsi="Times New Roman" w:cs="Times New Roman"/>
          <w:i/>
          <w:sz w:val="24"/>
          <w:szCs w:val="24"/>
        </w:rPr>
        <w:t xml:space="preserve">per </w:t>
      </w:r>
      <w:proofErr w:type="spellStart"/>
      <w:r w:rsidRPr="003F0767">
        <w:rPr>
          <w:rFonts w:ascii="Times New Roman" w:hAnsi="Times New Roman" w:cs="Times New Roman"/>
          <w:i/>
          <w:sz w:val="24"/>
          <w:szCs w:val="24"/>
        </w:rPr>
        <w:t>relationem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proofErr w:type="spellStart"/>
      <w:r>
        <w:rPr>
          <w:rFonts w:ascii="Times New Roman" w:hAnsi="Times New Roman" w:cs="Times New Roman"/>
          <w:sz w:val="24"/>
          <w:szCs w:val="24"/>
        </w:rPr>
        <w:t>aliunde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(em outro lugar) é a motivação de decisão ou sentença que se reporta as razoes de decidir consignadas na fundamentação de outra decisão ou sentença.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a fundamentação </w:t>
      </w:r>
      <w:r>
        <w:rPr>
          <w:rFonts w:ascii="Times New Roman" w:hAnsi="Times New Roman" w:cs="Times New Roman"/>
          <w:i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relationem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encontre resistências da doutrina, na jurisprudência ela é francamente admitida. Tanto no STF,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quanto o STJ tem se pronunciado favoravelmente ao uso dessa técnica, desde que não implique falta de motivos para decidir 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uma maneira geral, nas sentenças, pode ser visualizada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como um relatório, traduzindo-se o resumo do processo.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 art. 381, do CPP, a sentença penal conterá: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nome das partes, a exposição sucinta da acusação e da defesa, a indicação dos motivos de fato e de direito em que se funda a decisão, a indicação dos artigos de lei aplicados, o dispositivo – conclusão – ou parte dispositiva, parte que contem a decisão propriamente dita, de forma coerente com fundamentação, onde o juiz aplica a lei ao caso concreto, condenando ou absolvendo o réu, devendo indicar os artigos de lei aplicados.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fito de assegurar que a sentença aprecie de maneira completa e coerente os fatos, o art. 382, CPP, prevê os </w:t>
      </w:r>
      <w:proofErr w:type="spellStart"/>
      <w:r>
        <w:rPr>
          <w:rFonts w:ascii="Times New Roman" w:hAnsi="Times New Roman" w:cs="Times New Roman"/>
          <w:sz w:val="24"/>
          <w:szCs w:val="24"/>
        </w:rPr>
        <w:t>embarguinhos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(apelido dado, pela doutrina, aos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embargos de declaração no processo penal quando oposto contra a sentença de juiz).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aludido dispositivo assegura que a sentença de primeiro grau que contiver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>
        <w:rPr>
          <w:rFonts w:ascii="Times New Roman" w:hAnsi="Times New Roman" w:cs="Times New Roman"/>
          <w:sz w:val="24"/>
          <w:szCs w:val="24"/>
        </w:rPr>
        <w:t>obscuridade, ambiguidade, contradição ou omissão”, “qualquer das partes poderá, no prazo de 2 (dois), dias, pedir ao juiz” que a declare.</w:t>
      </w:r>
    </w:p>
    <w:p w:rsidR="001D2DDE" w:rsidRPr="00B2576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 o juiz sem modificar a descrição do fato contida na denuncia ou queixa, poderá atribuir-lhe definição jurídica diversa, ainda que, em consequência, tenha de aplicar a pena mais grave (</w:t>
      </w:r>
      <w:proofErr w:type="spellStart"/>
      <w:r w:rsidRPr="00B2576E">
        <w:rPr>
          <w:rFonts w:ascii="Times New Roman" w:hAnsi="Times New Roman" w:cs="Times New Roman"/>
          <w:i/>
          <w:sz w:val="24"/>
          <w:szCs w:val="24"/>
        </w:rPr>
        <w:t>emendatio</w:t>
      </w:r>
      <w:proofErr w:type="spellEnd"/>
      <w:r w:rsidRPr="00B257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2576E">
        <w:rPr>
          <w:rFonts w:ascii="Times New Roman" w:hAnsi="Times New Roman" w:cs="Times New Roman"/>
          <w:i/>
          <w:sz w:val="24"/>
          <w:szCs w:val="24"/>
        </w:rPr>
        <w:t>libelli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Iart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2576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576E">
        <w:rPr>
          <w:rFonts w:ascii="Times New Roman" w:hAnsi="Times New Roman" w:cs="Times New Roman"/>
          <w:sz w:val="24"/>
          <w:szCs w:val="24"/>
        </w:rPr>
        <w:t>, CPP</w:t>
      </w:r>
      <w:r>
        <w:rPr>
          <w:rFonts w:ascii="Times New Roman" w:hAnsi="Times New Roman" w:cs="Times New Roman"/>
          <w:sz w:val="24"/>
          <w:szCs w:val="24"/>
        </w:rPr>
        <w:t>, com redação dada pela Lei nº 11.719/2008).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mutatio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libelli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 requer cautela diversa (art. 384, e parágrafos, CPP, com redação determinada pela Lei nº 11719/2008).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Prolatada a sentença, será ela publicada em mãos de escrivão que lavrará nos autos o respectivo termo, registrando-a em livro especialmente destinados a esse fim (art. 389, CPP).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publicação á a transformação do ato individual do juiz, sem valor jurídico, em ato processual, pois passa a ser do conhecimento geral o veredicto dado. Nos </w:t>
      </w:r>
      <w:proofErr w:type="gramStart"/>
      <w:r>
        <w:rPr>
          <w:rFonts w:ascii="Times New Roman" w:hAnsi="Times New Roman" w:cs="Times New Roman"/>
          <w:sz w:val="24"/>
          <w:szCs w:val="24"/>
        </w:rPr>
        <w:t>auto será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lavrado um termo, bem como há em todo oficio, um livro especifico para seu registro.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Normalmente, é composto pelas copias das decisões proferidas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pelos juízes em exercício na Vara, com termo de abertura e encerramento feito pelo magistrado encarregado da corregedoria do cartório.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Destaque-se que, de acordo com o procedimento, a sentença pode ser proferida na própria audiência,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quando consequentemente, estará dispensada a certidão própria, substituída pelo termo de audiência. Assim ocorre, por exemplo, nos procedimento do júri, em que a sentença se considera publicada no momento em que o magistrado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procede,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final d sessão, a sua leitura.</w:t>
      </w:r>
    </w:p>
    <w:p w:rsidR="001D2DDE" w:rsidRDefault="001D2DDE" w:rsidP="001D2DDE">
      <w:pPr>
        <w:spacing w:line="240" w:lineRule="auto"/>
        <w:ind w:left="170" w:right="113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publicação é ato de grande importância, tendo como efeito, a titulo de exemplo, a interrupção da prescrição quando há hipótese de sentença condenatória recorrível, consoante alteração trazida pela Lei nº 11596/2007, que modificou a redação do art. 117,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IV, do código Penal. Ademais, após a publicação a sentença se torna imutável para aquele juízo, salvo se forem acolhidos embargos de declaração (art. 382, CPP), ou em caso de erro de material, quando a alteração poderá se feita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officio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(caso o juiz indique o nome réu de forma equivocada, por exemplo, poderá fazer a correção).  </w:t>
      </w:r>
    </w:p>
    <w:p w:rsidR="001D2DDE" w:rsidRPr="00ED4361" w:rsidRDefault="001D2DDE" w:rsidP="001D2DDE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D4361">
        <w:rPr>
          <w:rFonts w:ascii="Times New Roman" w:hAnsi="Times New Roman" w:cs="Times New Roman"/>
          <w:sz w:val="24"/>
          <w:szCs w:val="24"/>
        </w:rPr>
        <w:t>Referencia Bibliográfica;</w:t>
      </w:r>
    </w:p>
    <w:p w:rsidR="001D2DDE" w:rsidRDefault="001D2DDE" w:rsidP="001D2DD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TAVORA, Nestor – ALENCAR, </w:t>
      </w:r>
      <w:proofErr w:type="spellStart"/>
      <w:r>
        <w:t>Rosmar</w:t>
      </w:r>
      <w:proofErr w:type="spellEnd"/>
      <w:r>
        <w:t xml:space="preserve"> Rodrigues – Curso de Direito Processual Penal, 9ª Edição – revista, ampliada e atualizada. 2014 – Editora </w:t>
      </w:r>
      <w:proofErr w:type="spellStart"/>
      <w:proofErr w:type="gramStart"/>
      <w:r w:rsidRPr="00202BD7">
        <w:rPr>
          <w:i/>
        </w:rPr>
        <w:t>Jus</w:t>
      </w:r>
      <w:r>
        <w:t>Podivm</w:t>
      </w:r>
      <w:proofErr w:type="spellEnd"/>
      <w:proofErr w:type="gramEnd"/>
      <w:r>
        <w:t>.</w:t>
      </w:r>
    </w:p>
    <w:p w:rsidR="001D2DDE" w:rsidRDefault="001D2DDE" w:rsidP="001D2DDE">
      <w:pPr>
        <w:spacing w:line="240" w:lineRule="auto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1D2DDE" w:rsidRDefault="001D2DDE" w:rsidP="001D2DDE">
      <w:pPr>
        <w:spacing w:line="240" w:lineRule="auto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E2225" w:rsidRDefault="008E2225"/>
    <w:sectPr w:rsidR="008E2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9C6"/>
    <w:multiLevelType w:val="hybridMultilevel"/>
    <w:tmpl w:val="AD844652"/>
    <w:lvl w:ilvl="0" w:tplc="32207DE8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9F05F8"/>
    <w:multiLevelType w:val="hybridMultilevel"/>
    <w:tmpl w:val="517C98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05D3C"/>
    <w:multiLevelType w:val="hybridMultilevel"/>
    <w:tmpl w:val="3D10DA22"/>
    <w:lvl w:ilvl="0" w:tplc="47DEA32C">
      <w:start w:val="1"/>
      <w:numFmt w:val="upperLetter"/>
      <w:lvlText w:val="(%1)"/>
      <w:lvlJc w:val="left"/>
      <w:pPr>
        <w:ind w:left="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0" w:hanging="360"/>
      </w:pPr>
    </w:lvl>
    <w:lvl w:ilvl="2" w:tplc="0416001B" w:tentative="1">
      <w:start w:val="1"/>
      <w:numFmt w:val="lowerRoman"/>
      <w:lvlText w:val="%3."/>
      <w:lvlJc w:val="right"/>
      <w:pPr>
        <w:ind w:left="1970" w:hanging="180"/>
      </w:pPr>
    </w:lvl>
    <w:lvl w:ilvl="3" w:tplc="0416000F" w:tentative="1">
      <w:start w:val="1"/>
      <w:numFmt w:val="decimal"/>
      <w:lvlText w:val="%4."/>
      <w:lvlJc w:val="left"/>
      <w:pPr>
        <w:ind w:left="2690" w:hanging="360"/>
      </w:pPr>
    </w:lvl>
    <w:lvl w:ilvl="4" w:tplc="04160019" w:tentative="1">
      <w:start w:val="1"/>
      <w:numFmt w:val="lowerLetter"/>
      <w:lvlText w:val="%5."/>
      <w:lvlJc w:val="left"/>
      <w:pPr>
        <w:ind w:left="3410" w:hanging="360"/>
      </w:pPr>
    </w:lvl>
    <w:lvl w:ilvl="5" w:tplc="0416001B" w:tentative="1">
      <w:start w:val="1"/>
      <w:numFmt w:val="lowerRoman"/>
      <w:lvlText w:val="%6."/>
      <w:lvlJc w:val="right"/>
      <w:pPr>
        <w:ind w:left="4130" w:hanging="180"/>
      </w:pPr>
    </w:lvl>
    <w:lvl w:ilvl="6" w:tplc="0416000F" w:tentative="1">
      <w:start w:val="1"/>
      <w:numFmt w:val="decimal"/>
      <w:lvlText w:val="%7."/>
      <w:lvlJc w:val="left"/>
      <w:pPr>
        <w:ind w:left="4850" w:hanging="360"/>
      </w:pPr>
    </w:lvl>
    <w:lvl w:ilvl="7" w:tplc="04160019" w:tentative="1">
      <w:start w:val="1"/>
      <w:numFmt w:val="lowerLetter"/>
      <w:lvlText w:val="%8."/>
      <w:lvlJc w:val="left"/>
      <w:pPr>
        <w:ind w:left="5570" w:hanging="360"/>
      </w:pPr>
    </w:lvl>
    <w:lvl w:ilvl="8" w:tplc="04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42DC3F38"/>
    <w:multiLevelType w:val="hybridMultilevel"/>
    <w:tmpl w:val="698A69C4"/>
    <w:lvl w:ilvl="0" w:tplc="FC001766">
      <w:start w:val="1"/>
      <w:numFmt w:val="upperLetter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314CE8"/>
    <w:multiLevelType w:val="hybridMultilevel"/>
    <w:tmpl w:val="861413AC"/>
    <w:lvl w:ilvl="0" w:tplc="E5ACBD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DE"/>
    <w:rsid w:val="001D2DDE"/>
    <w:rsid w:val="00404F3B"/>
    <w:rsid w:val="008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</cp:revision>
  <dcterms:created xsi:type="dcterms:W3CDTF">2015-03-18T14:16:00Z</dcterms:created>
  <dcterms:modified xsi:type="dcterms:W3CDTF">2015-03-18T14:16:00Z</dcterms:modified>
</cp:coreProperties>
</file>