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1"/>
        <w:contextualSpacing w:val="0"/>
        <w:jc w:val="center"/>
      </w:pPr>
      <w:bookmarkStart w:id="0" w:colFirst="0" w:name="h.xpn24hgvu6oa" w:colLast="0"/>
      <w:bookmarkEnd w:id="0"/>
      <w:r w:rsidRPr="00000000" w:rsidR="00000000" w:rsidDel="00000000">
        <w:rPr>
          <w:rtl w:val="0"/>
        </w:rPr>
        <w:t xml:space="preserve">Bala na Cara: O perigo de um poder hegemônico no sistema carcerário do Rio Grande do Sul</w:t>
      </w:r>
    </w:p>
    <w:p w:rsidP="00000000" w:rsidRPr="00000000" w:rsidR="00000000" w:rsidDel="00000000" w:rsidRDefault="00000000">
      <w:pPr>
        <w:pStyle w:val="Heading1"/>
        <w:contextualSpacing w:val="0"/>
      </w:pPr>
      <w:bookmarkStart w:id="1" w:colFirst="0" w:name="h.6q83pgaa92j4" w:colLast="0"/>
      <w:bookmarkEnd w:id="1"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contextualSpacing w:val="0"/>
      </w:pPr>
      <w:bookmarkStart w:id="2" w:colFirst="0" w:name="h.ctxvto8e8ko8" w:colLast="0"/>
      <w:bookmarkEnd w:id="2"/>
      <w:r w:rsidRPr="00000000" w:rsidR="00000000" w:rsidDel="00000000">
        <w:rPr>
          <w:rtl w:val="0"/>
        </w:rPr>
        <w:t xml:space="preserve">1 INTRODUÇÃO</w:t>
      </w:r>
    </w:p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sz w:val="24"/>
          <w:rtl w:val="0"/>
        </w:rPr>
        <w:t xml:space="preserve">Desde de a demonstração de força pela falange gaúcha na fuga espetacularizada do Presídio Central de Porto Alegre (PCPA) no ano de 1994, pode-se perceber o surgimento e fortalecimento de facções criminosas no sistema prisional no estado do Rio Grande do Sul (Rs). Esse fortalecimento deu-se a partir da inserção de um modelo empresarial na gestão, por assim dizer, das quadrilhas criminosas. O comércio de drogas ilícitas, o tráfico de armas, a lavagem de dinheiro e crimes conexos provenientes destes delitos fez com essas quadrilhas tivessem um crescimento exponencial, concomitantemente a isso as coberturas da mídia (muitas delas glamourizando o crime) que arregimentou uma horda de jovens</w:t>
      </w:r>
      <w:r w:rsidRPr="00000000" w:rsidR="00000000" w:rsidDel="00000000">
        <w:rPr>
          <w:sz w:val="24"/>
          <w:vertAlign w:val="superscript"/>
        </w:rPr>
        <w:footnoteReference w:id="0" w:customMarkFollows="0"/>
      </w:r>
      <w:r w:rsidRPr="00000000" w:rsidR="00000000" w:rsidDel="00000000">
        <w:rPr>
          <w:sz w:val="24"/>
          <w:rtl w:val="0"/>
        </w:rPr>
        <w:t xml:space="preserve"> em busca de reconhecimento como pertencente á este ou aquele grupo. O presente estudo busca descrever a evolução deste poder e os perigos concernentes a uma possível hegemonia dentro do já frágil sistema carcerário gaúcho.</w:t>
      </w:r>
    </w:p>
    <w:p w:rsidP="00000000" w:rsidRPr="00000000" w:rsidR="00000000" w:rsidDel="00000000" w:rsidRDefault="00000000">
      <w:pPr>
        <w:pStyle w:val="Heading1"/>
        <w:contextualSpacing w:val="0"/>
      </w:pPr>
      <w:bookmarkStart w:id="3" w:colFirst="0" w:name="h.438xv8aezh3p" w:colLast="0"/>
      <w:bookmarkEnd w:id="3"/>
      <w:r w:rsidRPr="00000000" w:rsidR="00000000" w:rsidDel="00000000">
        <w:rPr>
          <w:rtl w:val="0"/>
        </w:rPr>
        <w:t xml:space="preserve">2 A GÊNESE CRIMINAL</w:t>
      </w:r>
    </w:p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sz w:val="24"/>
          <w:rtl w:val="0"/>
        </w:rPr>
        <w:t xml:space="preserve">O fracasso prisional e a política de encarceramento massivo institucionalizada pelos sucessivos governos como política de segurança pública no Rs tem retroalimentado a criminalidade organizada e produzido, ainda que </w:t>
      </w:r>
      <w:r w:rsidRPr="00000000" w:rsidR="00000000" w:rsidDel="00000000">
        <w:rPr>
          <w:b w:val="1"/>
          <w:sz w:val="24"/>
          <w:rtl w:val="0"/>
        </w:rPr>
        <w:t xml:space="preserve">inconscientemente</w:t>
      </w:r>
      <w:r w:rsidRPr="00000000" w:rsidR="00000000" w:rsidDel="00000000">
        <w:rPr>
          <w:sz w:val="24"/>
          <w:rtl w:val="0"/>
        </w:rPr>
        <w:t xml:space="preserve"> o fortalecimento das chamadas facções criminosas que lutam pelo poder dentro dos presídios no Rs. Esse notório crescimento tem sido lastreado, sabidamente, por ações engendradas e comandadas de dentro dos presídios concernentes aos mais diversos tipos delituosos como o tráfico de drogas, roubos á banco, roubo e furto de veículos e sequestros entre outros.  As idéias de globalização, as novas tecnologias de informação e comunicação e o acesso á informação tem sido catalizadores nas organizações e do fortalecimento das facções mesmo dentro dos presídios. A máquina que estimula o ciclo da delinquencia tem como carro chefe o tráfico de drogas e a relação de comércio estabelecida entre o traficante e o usuário das mais diversas drogas ilícitas, visto que, assim como no mercado formal, nessa relação também funciona a lei da oferta e da procura. Sobre essa lei incide a chamada “guerra do tráfico”, a guerra por pontos de distribuição, muitas das vezes disputados palmo á palmo nos bairros das cidades do Rs. Nesse contexto de luta pelo “poder”,entre os anos de 2008 e 2009,  temos o surgimento de uma nova facção que antes mesmo de ser batizada pela imprensa, já mostra, nas empoeiradas vielas da vila Bom Jesus sua força e decisão aniquilando rivais com os chamados “tiro de esculacho”</w:t>
      </w:r>
      <w:r w:rsidRPr="00000000" w:rsidR="00000000" w:rsidDel="00000000">
        <w:rPr>
          <w:sz w:val="24"/>
          <w:vertAlign w:val="superscript"/>
        </w:rPr>
        <w:footnoteReference w:id="1" w:customMarkFollows="0"/>
      </w:r>
      <w:r w:rsidRPr="00000000" w:rsidR="00000000" w:rsidDel="00000000">
        <w:rPr>
          <w:sz w:val="24"/>
          <w:rtl w:val="0"/>
        </w:rPr>
        <w:t xml:space="preserve">, tiros que além de tirar a vida dos oponentes trazem fama para o autor.</w:t>
      </w:r>
    </w:p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spacing w:lineRule="auto" w:line="360"/>
        <w:contextualSpacing w:val="0"/>
        <w:jc w:val="both"/>
      </w:pPr>
      <w:bookmarkStart w:id="4" w:colFirst="0" w:name="h.7u3ff1fffjkk" w:colLast="0"/>
      <w:bookmarkEnd w:id="4"/>
      <w:r w:rsidRPr="00000000" w:rsidR="00000000" w:rsidDel="00000000">
        <w:rPr>
          <w:rtl w:val="0"/>
        </w:rPr>
        <w:t xml:space="preserve">3 A MÍDIA E O CONTEXTO DA CRIMINALIDADE</w:t>
      </w:r>
    </w:p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sz w:val="24"/>
          <w:rtl w:val="0"/>
        </w:rPr>
        <w:t xml:space="preserve">A velocidade da informação e o conceito de </w:t>
      </w:r>
      <w:r w:rsidRPr="00000000" w:rsidR="00000000" w:rsidDel="00000000">
        <w:rPr>
          <w:i w:val="1"/>
          <w:sz w:val="24"/>
          <w:rtl w:val="0"/>
        </w:rPr>
        <w:t xml:space="preserve">all platform</w:t>
      </w:r>
      <w:r w:rsidRPr="00000000" w:rsidR="00000000" w:rsidDel="00000000">
        <w:rPr>
          <w:i w:val="1"/>
          <w:sz w:val="24"/>
          <w:vertAlign w:val="superscript"/>
        </w:rPr>
        <w:footnoteReference w:id="2" w:customMarkFollows="0"/>
      </w:r>
      <w:r w:rsidRPr="00000000" w:rsidR="00000000" w:rsidDel="00000000">
        <w:rPr>
          <w:i w:val="1"/>
          <w:sz w:val="24"/>
          <w:rtl w:val="0"/>
        </w:rPr>
        <w:t xml:space="preserve"> </w:t>
      </w:r>
      <w:r w:rsidRPr="00000000" w:rsidR="00000000" w:rsidDel="00000000">
        <w:rPr>
          <w:sz w:val="24"/>
          <w:rtl w:val="0"/>
        </w:rPr>
        <w:t xml:space="preserve">são incontestavelmente um momento histórico de avanço para as sociedades, mas este momento também trouxe uma corrida entre os conglomerados de imprensa na tentativa de sempre informar antes, o que não necessariamente quer dizer informar melhor. Esse acesso á informação em </w:t>
      </w:r>
      <w:r w:rsidRPr="00000000" w:rsidR="00000000" w:rsidDel="00000000">
        <w:rPr>
          <w:i w:val="1"/>
          <w:sz w:val="24"/>
          <w:rtl w:val="0"/>
        </w:rPr>
        <w:t xml:space="preserve">real time </w:t>
      </w:r>
      <w:r w:rsidRPr="00000000" w:rsidR="00000000" w:rsidDel="00000000">
        <w:rPr>
          <w:sz w:val="24"/>
          <w:rtl w:val="0"/>
        </w:rPr>
        <w:t xml:space="preserve">tem trazido um empoderamento ás pessoas e produzido também o efeito de poder sobre as massas, traduzindo em um conhecimento sobre tudo e em qualquer lugar. Esse poder midiático funciona como uma liturgia que leva a pessoa que recebeu, ou leu determinada notícia a repassá-la para várias outras pessoas e aquele assunto se tornar uma verdade incondicional, cuja fonte e veracidade não foram atestadas. Logo, aparecer na primeira página de um jornal, em um site na internet e passar a ser o comentário geral na região onde mora passou do imaginário dos jovens para a possibilidade de ser reconhecido e prestigiado, ainda que pelo cometimento de um crime. A força usada pela mídia para massificar a marca de um produto, tornando-o conhecido e desejado pelo público ávido por novidades foi e está sendo usado para estimular a sensação e o desejo de pertencimento á um grupo, a glamourização e banalização do crime e da vida criminosa. Com rótulos, frases de efeito, fotos trabalhadas com photoshop e muitas das vezes com um discurso que glamouriza o crime há um forte apelo por parte da mídia que vende a idéia do sensacionalismo do crime. Segundo Zaffaroni</w:t>
      </w:r>
      <w:r w:rsidRPr="00000000" w:rsidR="00000000" w:rsidDel="00000000">
        <w:rPr>
          <w:sz w:val="24"/>
          <w:vertAlign w:val="superscript"/>
        </w:rPr>
        <w:footnoteReference w:id="3" w:customMarkFollows="0"/>
      </w:r>
      <w:r w:rsidRPr="00000000" w:rsidR="00000000" w:rsidDel="00000000">
        <w:rPr>
          <w:sz w:val="24"/>
          <w:rtl w:val="0"/>
        </w:rPr>
        <w:t xml:space="preserve">, os meios de comunicação são responsáveis por demandas que criam o chamado pânico social</w:t>
      </w:r>
    </w:p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spacing w:lineRule="auto" w:line="360"/>
        <w:contextualSpacing w:val="0"/>
        <w:jc w:val="both"/>
      </w:pPr>
      <w:bookmarkStart w:id="5" w:colFirst="0" w:name="h.s7fyxsbhbujk" w:colLast="0"/>
      <w:bookmarkEnd w:id="5"/>
      <w:r w:rsidRPr="00000000" w:rsidR="00000000" w:rsidDel="00000000">
        <w:rPr>
          <w:rtl w:val="0"/>
        </w:rPr>
        <w:t xml:space="preserve">4 </w:t>
      </w:r>
      <w:r w:rsidRPr="00000000" w:rsidR="00000000" w:rsidDel="00000000">
        <w:rPr>
          <w:rtl w:val="0"/>
        </w:rPr>
        <w:t xml:space="preserve">PCC: O BENCHMARK</w:t>
      </w:r>
      <w:r w:rsidRPr="00000000" w:rsidR="00000000" w:rsidDel="00000000">
        <w:rPr>
          <w:vertAlign w:val="superscript"/>
        </w:rPr>
        <w:footnoteReference w:id="4" w:customMarkFollows="0"/>
      </w:r>
      <w:r w:rsidRPr="00000000" w:rsidR="00000000" w:rsidDel="00000000">
        <w:rPr>
          <w:rtl w:val="0"/>
        </w:rPr>
        <w:t xml:space="preserve"> DA CRIMINALIDADE</w:t>
      </w:r>
    </w:p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sz w:val="24"/>
          <w:rtl w:val="0"/>
        </w:rPr>
        <w:t xml:space="preserve">Os modelos de “sucesso” também são seguidos no mundo do crime. A forma gerencial de administração da estrutura criminal usada pelo PCC (nascido dentro das cadeias do estado de São Paulo) tem motivado outras organizações criminosas á buscarem uma forma de se perpetuar no tempo e no espaço. O modelo piramidal estruturado, onde cada indivíduo do grupo colabora com uma quantia mensal para o caixa da organização, se sujeita á prestar contas para alguém do nível imediatamente superior e também deve se dispor para outras tarefas promoveu o fortalecimento financeiro e a busca por novo modalidades de investimento do dinheiro proveniente do crime. Nessa linha, a forma adotada pela organização chamada </w:t>
      </w:r>
      <w:r w:rsidRPr="00000000" w:rsidR="00000000" w:rsidDel="00000000">
        <w:rPr>
          <w:i w:val="1"/>
          <w:sz w:val="24"/>
          <w:rtl w:val="0"/>
        </w:rPr>
        <w:t xml:space="preserve">bala na cara (BNC) </w:t>
      </w:r>
      <w:r w:rsidRPr="00000000" w:rsidR="00000000" w:rsidDel="00000000">
        <w:rPr>
          <w:sz w:val="24"/>
          <w:rtl w:val="0"/>
        </w:rPr>
        <w:t xml:space="preserve">também chama a atenção no modo peculiar de franquear seu nome, sua estrutura e </w:t>
      </w:r>
      <w:r w:rsidRPr="00000000" w:rsidR="00000000" w:rsidDel="00000000">
        <w:rPr>
          <w:i w:val="1"/>
          <w:sz w:val="24"/>
          <w:rtl w:val="0"/>
        </w:rPr>
        <w:t xml:space="preserve">modus operandi. </w:t>
      </w:r>
      <w:r w:rsidRPr="00000000" w:rsidR="00000000" w:rsidDel="00000000">
        <w:rPr>
          <w:sz w:val="24"/>
          <w:rtl w:val="0"/>
        </w:rPr>
        <w:t xml:space="preserve">Esse franqueamento resulta de acordos com líderes do tráfico locais e em não existindo acordo, os </w:t>
      </w:r>
      <w:r w:rsidRPr="00000000" w:rsidR="00000000" w:rsidDel="00000000">
        <w:rPr>
          <w:i w:val="1"/>
          <w:sz w:val="24"/>
          <w:rtl w:val="0"/>
        </w:rPr>
        <w:t xml:space="preserve">bala na cara</w:t>
      </w:r>
      <w:r w:rsidRPr="00000000" w:rsidR="00000000" w:rsidDel="00000000">
        <w:rPr>
          <w:sz w:val="24"/>
          <w:rtl w:val="0"/>
        </w:rPr>
        <w:t xml:space="preserve"> tentam tomar a </w:t>
      </w:r>
      <w:r w:rsidRPr="00000000" w:rsidR="00000000" w:rsidDel="00000000">
        <w:rPr>
          <w:i w:val="1"/>
          <w:sz w:val="24"/>
          <w:rtl w:val="0"/>
        </w:rPr>
        <w:t xml:space="preserve">boca de tráfico</w:t>
      </w:r>
      <w:r w:rsidRPr="00000000" w:rsidR="00000000" w:rsidDel="00000000">
        <w:rPr>
          <w:i w:val="1"/>
          <w:sz w:val="24"/>
          <w:vertAlign w:val="superscript"/>
        </w:rPr>
        <w:footnoteReference w:id="5" w:customMarkFollows="0"/>
      </w:r>
      <w:r w:rsidRPr="00000000" w:rsidR="00000000" w:rsidDel="00000000">
        <w:rPr>
          <w:sz w:val="24"/>
          <w:rtl w:val="0"/>
        </w:rPr>
        <w:t xml:space="preserve"> á força. Aluguel de armas e envio de grupos armados para reforçar a segurança e caçar desafetos estão no rol de atividades disponibilizadas pela franquia. O poder dos </w:t>
      </w:r>
      <w:r w:rsidRPr="00000000" w:rsidR="00000000" w:rsidDel="00000000">
        <w:rPr>
          <w:i w:val="1"/>
          <w:sz w:val="24"/>
          <w:rtl w:val="0"/>
        </w:rPr>
        <w:t xml:space="preserve">bala na cara</w:t>
      </w:r>
      <w:r w:rsidRPr="00000000" w:rsidR="00000000" w:rsidDel="00000000">
        <w:rPr>
          <w:sz w:val="24"/>
          <w:rtl w:val="0"/>
        </w:rPr>
        <w:t xml:space="preserve"> vem de suas alianças e acordos com outros bandos que se sujeitam a comprar drogas, receber ordens fazer negócios com o aval dos BNC. É natural que uma organização após se estabelecer, mesmo que em um cenário antagônico, busque se expandir, delimitando seu território e fortalecendo sua marca junto aos seus clientes, fornecedores e demais circulos, ao contrário das demais façções gaúchas (e o próprio PCC) que nasceram dentro da carceragem e buscaram depois se consolidar nas ruas, os BNC foram em sentido contrário, surgiram na rua e hoje tem se fortalecido dentro das cadeias gaúchas visto as facilidades encontradas no atual modelo prisional. </w:t>
      </w:r>
    </w:p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spacing w:lineRule="auto" w:line="360"/>
        <w:contextualSpacing w:val="0"/>
        <w:jc w:val="both"/>
      </w:pPr>
      <w:bookmarkStart w:id="6" w:colFirst="0" w:name="h.kmrvihoc2atl" w:colLast="0"/>
      <w:bookmarkEnd w:id="6"/>
      <w:r w:rsidRPr="00000000" w:rsidR="00000000" w:rsidDel="00000000">
        <w:rPr>
          <w:rtl w:val="0"/>
        </w:rPr>
        <w:t xml:space="preserve">5 A EXPANSÃO E PERSPECTIVAS</w:t>
      </w:r>
    </w:p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sz w:val="24"/>
          <w:rtl w:val="0"/>
        </w:rPr>
        <w:t xml:space="preserve">O fenômeno da expansão dos BNC merece ser estudado em suas minúcias, visto que o poderio econômico</w:t>
      </w:r>
      <w:r w:rsidRPr="00000000" w:rsidR="00000000" w:rsidDel="00000000">
        <w:rPr>
          <w:sz w:val="24"/>
          <w:vertAlign w:val="superscript"/>
        </w:rPr>
        <w:footnoteReference w:id="6" w:customMarkFollows="0"/>
      </w:r>
      <w:r w:rsidRPr="00000000" w:rsidR="00000000" w:rsidDel="00000000">
        <w:rPr>
          <w:sz w:val="24"/>
          <w:rtl w:val="0"/>
        </w:rPr>
        <w:t xml:space="preserve"> para uma facção se transforma em uma ameaça do crime organizado contra o estado. Essa ameaça complexa, (como podemos ver na megarrebelião patrocinada pelo PCC no ano de 2006 em São Paulo), é iminente visto as facilidades que a quadrilha dos BNC tem encontrado para se expandir e crescer dentro e fora dos muros das cadeias. Esse poderio econômico é usado para entrar nas estruturas do estado, “comprando” desde informações até sentenças judiciais.  No caso dos BNC sua expansão dentro do sistema carcerário se deu a partir do mês de abril de 2010, quando o líder da facção </w:t>
      </w:r>
      <w:r w:rsidRPr="00000000" w:rsidR="00000000" w:rsidDel="00000000">
        <w:rPr>
          <w:i w:val="1"/>
          <w:sz w:val="24"/>
          <w:rtl w:val="0"/>
        </w:rPr>
        <w:t xml:space="preserve">Os Manos, Paulo Marcio Duarte da Silva, </w:t>
      </w:r>
      <w:r w:rsidRPr="00000000" w:rsidR="00000000" w:rsidDel="00000000">
        <w:rPr>
          <w:sz w:val="24"/>
          <w:rtl w:val="0"/>
        </w:rPr>
        <w:t xml:space="preserve">alcunha Maradona, virou alvo de duas ações policiais e do Ministério Público, que revelaram o poder da sua facção. Ele concentraria um verdadeiro consórcio do tráfico na região a partir da Pasc. Por isso, foi transferido, na época, para o Paraná. </w:t>
      </w:r>
      <w:r w:rsidRPr="00000000" w:rsidR="00000000" w:rsidDel="00000000">
        <w:rPr>
          <w:sz w:val="24"/>
          <w:rtl w:val="0"/>
        </w:rPr>
        <w:t xml:space="preserve">Com </w:t>
      </w:r>
      <w:r w:rsidRPr="00000000" w:rsidR="00000000" w:rsidDel="00000000">
        <w:rPr>
          <w:i w:val="1"/>
          <w:sz w:val="24"/>
          <w:rtl w:val="0"/>
        </w:rPr>
        <w:t xml:space="preserve">Os Manos</w:t>
      </w:r>
      <w:r w:rsidRPr="00000000" w:rsidR="00000000" w:rsidDel="00000000">
        <w:rPr>
          <w:sz w:val="24"/>
          <w:rtl w:val="0"/>
        </w:rPr>
        <w:t xml:space="preserve"> enfraquecidos, os BNC entram em guerra pelo poder das cadeias em condições de igualdade. Outro artifício usado pela quadrilha e que condicionou sua expansão foi a descentralização de poder, onde os gerentes de células menores detém certo poder de decisão e na eventualidade de prisão de algum dos líderes os seguintes na hierarquia assumem o andamento dos negócios da quadrilha. Essa pulverização do controle de bocas de tráfico tem angariado com o passar do tempo mais recursos e mais adeptos. A autonomia financeira das células criminosas também é parte deste poder. Se em uma investigação há a apreensão de drogas e dinheiro da facção, logo outra parte coopera para a manutenção daquele ponto de tráfico. A quadrilha não é lesada de todo, apenas em parte e pode permanecer operando. A lavagem de dinheiro usando o nome de laranjas em contas bancárias diversas, com depósitos pequenos e sequenciais são de difícil percepção, o investimento em pequenos negócios, com aparência de lícitos, para ocultar a origem ilícita do dinheiro também são artifícios cada vez mais empregados para dissimular a atividade criminosa. No atual modelo de atuação as perspectivas de crescimento e fortalecimento da quadrilha são substancialmente maiores. A criação de vínculos, de contatos e troca de informações dentro das cadeias e entre as cadeias cooperam para o surgimento de novos líderes, novas modalidades criminosas, o engendramento de ações como assaltos á carros-fortes e agências bancárias com uso de explosivos, sequestros e homicídios cooperam para o fortalecimento do caixa da organização. O acesso fácil á comunicação via telefonia celular e internet nas suas diversas modalidades, como já é sabido, trazem para a delinquência organizada uma vantagem estratégica jamais vista permitindo o fluxo de informações e articulação de ações criminosas quase que instantâneamente.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spacing w:lineRule="auto" w:line="360"/>
        <w:contextualSpacing w:val="0"/>
      </w:pPr>
      <w:bookmarkStart w:id="7" w:colFirst="0" w:name="h.car8uo085q5" w:colLast="0"/>
      <w:bookmarkEnd w:id="7"/>
      <w:r w:rsidRPr="00000000" w:rsidR="00000000" w:rsidDel="00000000">
        <w:rPr>
          <w:rtl w:val="0"/>
        </w:rPr>
        <w:t xml:space="preserve"> CONSIDERAÇÕES FINAIS</w:t>
      </w:r>
    </w:p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sz w:val="24"/>
          <w:rtl w:val="0"/>
        </w:rPr>
        <w:t xml:space="preserve">Na grave crise que tomou conta do estado de São Paulo no ano de 2006 (e que por fontes não oficiais somente foi controlada após um “acordo” entre a administração pública e a liderança da facção PCC) pode-se ver o peso político e a falta de um plano estratégico para estancar e minimizar o impacto das atividades da organização criminosa. A imprensa noticiou que dados de inteligência davam conta da possibilidade de rebelião em diversas unidades prisionais daquele estado pelo menos quinze dias antes da data prevista o que não foi repassado para as unidades operacionais, ocasionando um grande número de baixas entre os efetivos da segurança pública e o elevando o custo político da falta de estratégia para conter a crise logo nos primeiros embates. Também já havia o monitoramento das ações da facção e de seu fortalecimento financeiro devido a sua forma de administração gerencial. Consideramos neste estudo o potencial financeiro da quadrilha denominada </w:t>
      </w:r>
      <w:r w:rsidRPr="00000000" w:rsidR="00000000" w:rsidDel="00000000">
        <w:rPr>
          <w:i w:val="1"/>
          <w:sz w:val="24"/>
          <w:rtl w:val="0"/>
        </w:rPr>
        <w:t xml:space="preserve">bala na cara</w:t>
      </w:r>
      <w:r w:rsidRPr="00000000" w:rsidR="00000000" w:rsidDel="00000000">
        <w:rPr>
          <w:sz w:val="24"/>
          <w:rtl w:val="0"/>
        </w:rPr>
        <w:t xml:space="preserve">, suas atividades criminosas diversas (o que aumenta em muito o fluxo de dinheiro arrecadado) e diversificadas por áreas de Porto Alegre e região metropolitana, os possíveis vínculos com delinquentes de outros estados e seu crescimento exponencial dentro do sistema carcerário gaúcho. Isto posto, necessário se faz ações coordenadas entre os órgãos de segurança pública para conter o crescimento da quadrilha. Monitoramento dos líderes que estão presos nas casas prisionais, tanto nos regimes fechado quanto aberto e semi-aberto; força-tarefa para investigação, mapeamento e produção de dados de inteligência de locais, bairros e regiões de atuação da quadrilha para ações de contenção e identificação de novas lideranças; apoio do MP quanto ao levantamento e bloqueio de bens, direitos e valores de recursos provenientes de ações delituosas utilizadas pela quadrilha, conforme estabelecido na lei 12683/12 estão entre as ações possíveis para refrear a possibilidade da hegemonia dos BNC no sistema carcerário gaúcho. A antecipação dessas ações colaborarão para evitar a instalação de uma crise comandada de dentro dos presídios</w:t>
      </w:r>
      <w:r w:rsidRPr="00000000" w:rsidR="00000000" w:rsidDel="00000000">
        <w:rPr>
          <w:sz w:val="24"/>
          <w:vertAlign w:val="superscript"/>
        </w:rPr>
        <w:footnoteReference w:id="7" w:customMarkFollows="0"/>
      </w:r>
      <w:r w:rsidRPr="00000000" w:rsidR="00000000" w:rsidDel="00000000">
        <w:rPr>
          <w:sz w:val="24"/>
          <w:rtl w:val="0"/>
        </w:rPr>
        <w:t xml:space="preserve">, dos custos políticos e a instabilidade social causada para o gerenciamento de tal situação.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contextualSpacing w:val="0"/>
      </w:pPr>
      <w:bookmarkStart w:id="8" w:colFirst="0" w:name="h.38s0actplb6j" w:colLast="0"/>
      <w:bookmarkEnd w:id="8"/>
      <w:r w:rsidRPr="00000000" w:rsidR="00000000" w:rsidDel="00000000">
        <w:rPr>
          <w:rtl w:val="0"/>
        </w:rPr>
        <w:t xml:space="preserve"> REFERÊNCIAS BIBLIOGÁFICAS</w:t>
      </w:r>
    </w:p>
    <w:p w:rsidP="00000000" w:rsidRPr="00000000" w:rsidR="00000000" w:rsidDel="00000000" w:rsidRDefault="00000000">
      <w:pPr>
        <w:pStyle w:val="Heading1"/>
        <w:contextualSpacing w:val="0"/>
      </w:pPr>
      <w:bookmarkStart w:id="9" w:colFirst="0" w:name="h.ki8ledtcxn9" w:colLast="0"/>
      <w:bookmarkEnd w:id="9"/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ARAUJO, Ingrid Rossana Santos de. </w:t>
      </w:r>
      <w:r w:rsidRPr="00000000" w:rsidR="00000000" w:rsidDel="00000000">
        <w:rPr>
          <w:rFonts w:cs="Arial" w:hAnsi="Arial" w:eastAsia="Arial" w:ascii="Arial"/>
          <w:i w:val="1"/>
          <w:sz w:val="22"/>
          <w:rtl w:val="0"/>
        </w:rPr>
        <w:t xml:space="preserve">A formação das facções criminosas e o seu papel no sistema carcerário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. Conteudo Juridico, Brasilia-DF: 10 jul. 2013. Disponivel em: </w:t>
      </w:r>
      <w:hyperlink r:id="rId6">
        <w:r w:rsidRPr="00000000" w:rsidR="00000000" w:rsidDel="00000000">
          <w:rPr>
            <w:rFonts w:cs="Arial" w:hAnsi="Arial" w:eastAsia="Arial" w:ascii="Arial"/>
            <w:color w:val="1155cc"/>
            <w:sz w:val="22"/>
            <w:u w:val="single"/>
            <w:rtl w:val="0"/>
          </w:rPr>
          <w:t xml:space="preserve">http://www.conteudojuridico.com.br/?artigos&amp;ver=2.44326&amp;seo=1</w:t>
        </w:r>
      </w:hyperlink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 </w:t>
      </w:r>
      <w:r w:rsidRPr="00000000" w:rsidR="00000000" w:rsidDel="00000000">
        <w:rPr>
          <w:rFonts w:cs="Arial" w:hAnsi="Arial" w:eastAsia="Arial" w:ascii="Arial"/>
          <w:sz w:val="22"/>
          <w:rtl w:val="0"/>
        </w:rPr>
        <w:t xml:space="preserve"> Acesso em: 11 dez 2014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BIGOLI, Paula dos Santos e BEZERRO, Eduardo Buzetti Eustachio. Facções Criminosas: O caso PCC - Primeiro Comando da Capital. Disponível em:</w:t>
      </w:r>
      <w:hyperlink r:id="rId7">
        <w:r w:rsidRPr="00000000" w:rsidR="00000000" w:rsidDel="00000000">
          <w:rPr>
            <w:rtl w:val="0"/>
          </w:rPr>
          <w:t xml:space="preserve"> </w:t>
        </w:r>
      </w:hyperlink>
      <w:hyperlink r:id="rId8">
        <w:r w:rsidRPr="00000000" w:rsidR="00000000" w:rsidDel="00000000">
          <w:rPr>
            <w:color w:val="1155cc"/>
            <w:u w:val="single"/>
            <w:rtl w:val="0"/>
          </w:rPr>
          <w:t xml:space="preserve">http://jus.com.br/artigos/33754/faccoes-criminosas-o-caso-do-pcc-primeiro-comando-da-capital</w:t>
        </w:r>
      </w:hyperlink>
      <w:r w:rsidRPr="00000000" w:rsidR="00000000" w:rsidDel="00000000">
        <w:rPr>
          <w:rtl w:val="0"/>
        </w:rPr>
        <w:t xml:space="preserve"> Acesso em 11 dez 14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BENCHMARKING. In: WIKIPÉDIA, a enciclopédia livre. Flórida: Wikimedia Foundation, 2014. Disponível em: &lt;</w:t>
      </w:r>
      <w:hyperlink r:id="rId9">
        <w:r w:rsidRPr="00000000" w:rsidR="00000000" w:rsidDel="00000000">
          <w:rPr>
            <w:color w:val="1155cc"/>
            <w:u w:val="single"/>
            <w:rtl w:val="0"/>
          </w:rPr>
          <w:t xml:space="preserve">http://pt.wikipedia.org/w/index.php?title=Benchmarking&amp;oldid=40816731</w:t>
        </w:r>
      </w:hyperlink>
      <w:r w:rsidRPr="00000000" w:rsidR="00000000" w:rsidDel="00000000">
        <w:rPr>
          <w:rtl w:val="0"/>
        </w:rPr>
        <w:t xml:space="preserve">&gt;. Acesso em: 12 dez. 2014.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BOCA DE FUMO. In: WIKIPÉDIA, a enciclopédia livre. Flórida: Wikimedia Foundation, 2014. Disponível em: &lt;</w:t>
      </w:r>
      <w:hyperlink r:id="rId10">
        <w:r w:rsidRPr="00000000" w:rsidR="00000000" w:rsidDel="00000000">
          <w:rPr>
            <w:color w:val="1155cc"/>
            <w:u w:val="single"/>
            <w:rtl w:val="0"/>
          </w:rPr>
          <w:t xml:space="preserve">http://pt.wikipedia.org/w/index.php?title=Boca_de_fumo&amp;oldid=39077662</w:t>
        </w:r>
      </w:hyperlink>
      <w:r w:rsidRPr="00000000" w:rsidR="00000000" w:rsidDel="00000000">
        <w:rPr>
          <w:rtl w:val="0"/>
        </w:rPr>
        <w:t xml:space="preserve">&gt;. Acesso em: 12 dez. 2014.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JURÍDICO, Consultor. Cada país tem o número de presos que decide ter. Disponível em: </w:t>
      </w:r>
      <w:hyperlink r:id="rId11">
        <w:r w:rsidRPr="00000000" w:rsidR="00000000" w:rsidDel="00000000">
          <w:rPr>
            <w:color w:val="1155cc"/>
            <w:u w:val="single"/>
            <w:rtl w:val="0"/>
          </w:rPr>
          <w:t xml:space="preserve">http://www.conjur.com.br/2013-jul-30/cada-pais-numero-presos-decide-raul-zaffaroni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Acesso em 12 dez. 2014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BRASIL. Lei 12683/12. Disponível em </w:t>
      </w:r>
      <w:hyperlink r:id="rId12">
        <w:r w:rsidRPr="00000000" w:rsidR="00000000" w:rsidDel="00000000">
          <w:rPr>
            <w:color w:val="1155cc"/>
            <w:u w:val="single"/>
            <w:rtl w:val="0"/>
          </w:rPr>
          <w:t xml:space="preserve">http://www.planalto.gov.br/ccivil_03/_Ato2011-2014/2012/Lei/L12683.htm#art2</w:t>
        </w:r>
      </w:hyperlink>
      <w:r w:rsidRPr="00000000" w:rsidR="00000000" w:rsidDel="00000000">
        <w:rPr>
          <w:rtl w:val="0"/>
        </w:rPr>
        <w:t xml:space="preserve"> Acesso em 15 dez14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GOMES, Luiz Flávio. CRIMINALIDADE ECONÔMICA ORGANIZADA. Disponível em: </w:t>
      </w:r>
      <w:hyperlink r:id="rId13">
        <w:r w:rsidRPr="00000000" w:rsidR="00000000" w:rsidDel="00000000">
          <w:rPr>
            <w:color w:val="1155cc"/>
            <w:u w:val="single"/>
            <w:rtl w:val="0"/>
          </w:rPr>
          <w:t xml:space="preserve">http://www.lex.com.br/doutrina_24801423_CRIMINALIDADE_ECONOMICA_ORGANIZADA.aspx</w:t>
        </w:r>
      </w:hyperlink>
      <w:r w:rsidRPr="00000000" w:rsidR="00000000" w:rsidDel="00000000">
        <w:rPr>
          <w:rtl w:val="0"/>
        </w:rPr>
        <w:t xml:space="preserve"> Acesso em 11 dez 2014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otnote w:id="0">
    <w:p w:rsidP="00000000" w:rsidRPr="00000000" w:rsidR="00000000" w:rsidDel="00000000" w:rsidRDefault="00000000">
      <w:pPr>
        <w:spacing w:lineRule="auto" w:line="240"/>
        <w:contextualSpacing w:val="0"/>
        <w:jc w:val="both"/>
      </w:pPr>
      <w:r w:rsidRPr="00000000" w:rsidR="00000000" w:rsidDel="00000000">
        <w:rPr>
          <w:rStyle w:val="FootnoteReference"/>
          <w:vertAlign w:val="superscript"/>
        </w:rPr>
        <w:footnoteRef/>
      </w:r>
      <w:r w:rsidRPr="00000000" w:rsidR="00000000" w:rsidDel="00000000">
        <w:rPr>
          <w:sz w:val="20"/>
          <w:rtl w:val="0"/>
        </w:rPr>
        <w:t xml:space="preserve"> muitos não alcançados pelos serviços e atendimentos dados pelo estado, sistema escolar, saúde, cultura e entretenimento precários ou não atingidos pelas políticas públicas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</w:footnote>
  <w:footnote w:id="1"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rStyle w:val="FootnoteReference"/>
          <w:vertAlign w:val="superscript"/>
        </w:rPr>
        <w:footnoteRef/>
      </w:r>
      <w:r w:rsidRPr="00000000" w:rsidR="00000000" w:rsidDel="00000000">
        <w:rPr>
          <w:sz w:val="20"/>
          <w:rtl w:val="0"/>
        </w:rPr>
        <w:t xml:space="preserve"> tiros disparados á queima-roupa no rosto dos adversários com intuito de desfigurar e promover um velório com o caixão fechado.</w:t>
      </w:r>
    </w:p>
  </w:footnote>
  <w:footnote w:id="2"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Style w:val="FootnoteReference"/>
          <w:vertAlign w:val="superscript"/>
        </w:rPr>
        <w:footnoteRef/>
      </w:r>
      <w:r w:rsidRPr="00000000" w:rsidR="00000000" w:rsidDel="00000000">
        <w:rPr>
          <w:sz w:val="20"/>
          <w:rtl w:val="0"/>
        </w:rPr>
        <w:t xml:space="preserve"> em todas as plataformas (em tradução livre)</w:t>
      </w:r>
    </w:p>
  </w:footnote>
  <w:footnote w:id="4"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Style w:val="FootnoteReference"/>
          <w:vertAlign w:val="superscript"/>
        </w:rPr>
        <w:footnoteRef/>
      </w:r>
      <w:r w:rsidRPr="00000000" w:rsidR="00000000" w:rsidDel="00000000">
        <w:rPr>
          <w:sz w:val="20"/>
          <w:rtl w:val="0"/>
        </w:rPr>
        <w:t xml:space="preserve"> É visto como um processo positivo e através do qual uma empresa examina como outra realiza uma função específica a fim de melhorar a forma como realiza a mesma ou uma função semelhante. O processo de comparação do desempenho entre dois ou mais sistemas é chamado de benchmarking e as cargas usadas são chamadas de benchmarks.</w:t>
      </w:r>
    </w:p>
  </w:footnote>
  <w:footnote w:id="5"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Style w:val="FootnoteReference"/>
          <w:vertAlign w:val="superscript"/>
        </w:rPr>
        <w:footnoteRef/>
      </w:r>
      <w:r w:rsidRPr="00000000" w:rsidR="00000000" w:rsidDel="00000000">
        <w:rPr>
          <w:sz w:val="20"/>
          <w:rtl w:val="0"/>
        </w:rPr>
        <w:t xml:space="preserve"> </w:t>
      </w:r>
      <w:r w:rsidRPr="00000000" w:rsidR="00000000" w:rsidDel="00000000">
        <w:rPr>
          <w:b w:val="1"/>
          <w:sz w:val="20"/>
          <w:rtl w:val="0"/>
        </w:rPr>
        <w:t xml:space="preserve">Boca de fumo</w:t>
      </w:r>
      <w:r w:rsidRPr="00000000" w:rsidR="00000000" w:rsidDel="00000000">
        <w:rPr>
          <w:sz w:val="20"/>
          <w:rtl w:val="0"/>
        </w:rPr>
        <w:t xml:space="preserve"> refere-se ao local onde é feita a venda de</w:t>
      </w:r>
      <w:hyperlink r:id="rId1">
        <w:r w:rsidRPr="00000000" w:rsidR="00000000" w:rsidDel="00000000">
          <w:rPr>
            <w:sz w:val="20"/>
            <w:rtl w:val="0"/>
          </w:rPr>
          <w:t xml:space="preserve"> </w:t>
        </w:r>
      </w:hyperlink>
      <w:hyperlink r:id="rId2">
        <w:r w:rsidRPr="00000000" w:rsidR="00000000" w:rsidDel="00000000">
          <w:rPr>
            <w:color w:val="1155cc"/>
            <w:sz w:val="20"/>
            <w:u w:val="single"/>
            <w:rtl w:val="0"/>
          </w:rPr>
          <w:t xml:space="preserve">substâncias ilícitas</w:t>
        </w:r>
      </w:hyperlink>
      <w:r w:rsidRPr="00000000" w:rsidR="00000000" w:rsidDel="00000000">
        <w:rPr>
          <w:sz w:val="20"/>
          <w:rtl w:val="0"/>
        </w:rPr>
        <w:t xml:space="preserve"> tais como</w:t>
      </w:r>
      <w:hyperlink r:id="rId3">
        <w:r w:rsidRPr="00000000" w:rsidR="00000000" w:rsidDel="00000000">
          <w:rPr>
            <w:sz w:val="20"/>
            <w:rtl w:val="0"/>
          </w:rPr>
          <w:t xml:space="preserve"> </w:t>
        </w:r>
      </w:hyperlink>
      <w:hyperlink r:id="rId4">
        <w:r w:rsidRPr="00000000" w:rsidR="00000000" w:rsidDel="00000000">
          <w:rPr>
            <w:color w:val="1155cc"/>
            <w:sz w:val="20"/>
            <w:u w:val="single"/>
            <w:rtl w:val="0"/>
          </w:rPr>
          <w:t xml:space="preserve">maconha</w:t>
        </w:r>
      </w:hyperlink>
      <w:r w:rsidRPr="00000000" w:rsidR="00000000" w:rsidDel="00000000">
        <w:rPr>
          <w:sz w:val="20"/>
          <w:rtl w:val="0"/>
        </w:rPr>
        <w:t xml:space="preserve">,</w:t>
      </w:r>
      <w:hyperlink r:id="rId5">
        <w:r w:rsidRPr="00000000" w:rsidR="00000000" w:rsidDel="00000000">
          <w:rPr>
            <w:sz w:val="20"/>
            <w:rtl w:val="0"/>
          </w:rPr>
          <w:t xml:space="preserve"> </w:t>
        </w:r>
      </w:hyperlink>
      <w:hyperlink r:id="rId6">
        <w:r w:rsidRPr="00000000" w:rsidR="00000000" w:rsidDel="00000000">
          <w:rPr>
            <w:color w:val="1155cc"/>
            <w:sz w:val="20"/>
            <w:u w:val="single"/>
            <w:rtl w:val="0"/>
          </w:rPr>
          <w:t xml:space="preserve">cocaína</w:t>
        </w:r>
      </w:hyperlink>
      <w:r w:rsidRPr="00000000" w:rsidR="00000000" w:rsidDel="00000000">
        <w:rPr>
          <w:sz w:val="20"/>
          <w:rtl w:val="0"/>
        </w:rPr>
        <w:t xml:space="preserve"> e</w:t>
      </w:r>
      <w:hyperlink r:id="rId7">
        <w:r w:rsidRPr="00000000" w:rsidR="00000000" w:rsidDel="00000000">
          <w:rPr>
            <w:sz w:val="20"/>
            <w:rtl w:val="0"/>
          </w:rPr>
          <w:t xml:space="preserve"> </w:t>
        </w:r>
      </w:hyperlink>
      <w:hyperlink r:id="rId8">
        <w:r w:rsidRPr="00000000" w:rsidR="00000000" w:rsidDel="00000000">
          <w:rPr>
            <w:color w:val="1155cc"/>
            <w:sz w:val="20"/>
            <w:u w:val="single"/>
            <w:rtl w:val="0"/>
          </w:rPr>
          <w:t xml:space="preserve">crack</w:t>
        </w:r>
      </w:hyperlink>
      <w:r w:rsidRPr="00000000" w:rsidR="00000000" w:rsidDel="00000000">
        <w:rPr>
          <w:sz w:val="20"/>
          <w:rtl w:val="0"/>
        </w:rPr>
        <w:t xml:space="preserve">. Os produtos são normalmente vendidos por menores que têm como clientes usuários de drogas pertencentes a todas as classes sociais.</w:t>
      </w:r>
    </w:p>
  </w:footnote>
  <w:footnote w:id="3"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Style w:val="FootnoteReference"/>
          <w:vertAlign w:val="superscript"/>
        </w:rPr>
        <w:footnoteRef/>
      </w:r>
      <w:r w:rsidRPr="00000000" w:rsidR="00000000" w:rsidDel="00000000">
        <w:rPr>
          <w:sz w:val="20"/>
          <w:rtl w:val="0"/>
        </w:rPr>
        <w:t xml:space="preserve"> Eugenio Raúl Zaffaroni: Professor titular e diretor do Departamento de Direito Penal e Criminologia na Universidade de Buenos Aires</w:t>
      </w:r>
    </w:p>
  </w:footnote>
  <w:footnote w:id="7"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Style w:val="FootnoteReference"/>
          <w:vertAlign w:val="superscript"/>
        </w:rPr>
        <w:footnoteRef/>
      </w:r>
      <w:r w:rsidRPr="00000000" w:rsidR="00000000" w:rsidDel="00000000">
        <w:rPr>
          <w:sz w:val="20"/>
          <w:rtl w:val="0"/>
        </w:rPr>
        <w:t xml:space="preserve"> Ver ações do PCC em São Paulo e PGC em Santa Catarina</w:t>
      </w:r>
    </w:p>
  </w:footnote>
  <w:footnote w:id="6"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Style w:val="FootnoteReference"/>
          <w:vertAlign w:val="superscript"/>
        </w:rPr>
        <w:footnoteRef/>
      </w:r>
      <w:r w:rsidRPr="00000000" w:rsidR="00000000" w:rsidDel="00000000">
        <w:rPr>
          <w:sz w:val="20"/>
          <w:rtl w:val="0"/>
        </w:rPr>
        <w:t xml:space="preserve"> Segundo Luiz Flavo Gomes - Jurista e Doutor em direito penal pela Universidade Complutense de Madrid.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http://www.planalto.gov.br/ccivil_03/_Ato2011-2014/2012/Lei/L12683.htm#art2" Type="http://schemas.openxmlformats.org/officeDocument/2006/relationships/hyperlink" TargetMode="External" Id="rId12"/><Relationship Target="http://www.lex.com.br/doutrina_24801423_CRIMINALIDADE_ECONOMICA_ORGANIZADA.aspx" Type="http://schemas.openxmlformats.org/officeDocument/2006/relationships/hyperlink" TargetMode="External" Id="rId13"/><Relationship Target="settings.xml" Type="http://schemas.openxmlformats.org/officeDocument/2006/relationships/settings" Id="rId1"/><Relationship Target="numbering.xml" Type="http://schemas.openxmlformats.org/officeDocument/2006/relationships/numbering" Id="rId4"/><Relationship Target="http://pt.wikipedia.org/w/index.php?title=Boca_de_fumo&amp;oldid=39077662" Type="http://schemas.openxmlformats.org/officeDocument/2006/relationships/hyperlink" TargetMode="External" Id="rId10"/><Relationship Target="footnotes.xml" Type="http://schemas.openxmlformats.org/officeDocument/2006/relationships/footnotes" Id="rId3"/><Relationship Target="http://www.conjur.com.br/2013-jul-30/cada-pais-numero-presos-decide-raul-zaffaroni" Type="http://schemas.openxmlformats.org/officeDocument/2006/relationships/hyperlink" TargetMode="External" Id="rId11"/><Relationship Target="http://pt.wikipedia.org/w/index.php?title=Benchmarking&amp;oldid=40816731" Type="http://schemas.openxmlformats.org/officeDocument/2006/relationships/hyperlink" TargetMode="External" Id="rId9"/><Relationship Target="http://www.conteudojuridico.com.br/?artigos&amp;ver=2.44326&amp;seo=1" Type="http://schemas.openxmlformats.org/officeDocument/2006/relationships/hyperlink" TargetMode="External" Id="rId6"/><Relationship Target="styles.xml" Type="http://schemas.openxmlformats.org/officeDocument/2006/relationships/styles" Id="rId5"/><Relationship Target="http://jus.com.br/artigos/33754/faccoes-criminosas-o-caso-do-pcc-primeiro-comando-da-capital" Type="http://schemas.openxmlformats.org/officeDocument/2006/relationships/hyperlink" TargetMode="External" Id="rId8"/><Relationship Target="http://jus.com.br/artigos/33754/faccoes-criminosas-o-caso-do-pcc-primeiro-comando-da-capital" Type="http://schemas.openxmlformats.org/officeDocument/2006/relationships/hyperlink" TargetMode="External" Id="rId7"/></Relationships>
</file>

<file path=word/_rels/footnotes.xml.rels><?xml version="1.0" encoding="UTF-8" standalone="yes"?><Relationships xmlns="http://schemas.openxmlformats.org/package/2006/relationships"><Relationship Target="http://pt.wikipedia.org/wiki/Drogas" Type="http://schemas.openxmlformats.org/officeDocument/2006/relationships/hyperlink" TargetMode="External" Id="rId2"/><Relationship Target="http://pt.wikipedia.org/wiki/Drogas" Type="http://schemas.openxmlformats.org/officeDocument/2006/relationships/hyperlink" TargetMode="External" Id="rId1"/><Relationship Target="http://pt.wikipedia.org/wiki/Maconha" Type="http://schemas.openxmlformats.org/officeDocument/2006/relationships/hyperlink" TargetMode="External" Id="rId4"/><Relationship Target="http://pt.wikipedia.org/wiki/Maconha" Type="http://schemas.openxmlformats.org/officeDocument/2006/relationships/hyperlink" TargetMode="External" Id="rId3"/><Relationship Target="http://pt.wikipedia.org/wiki/Coca%C3%ADna" Type="http://schemas.openxmlformats.org/officeDocument/2006/relationships/hyperlink" TargetMode="External" Id="rId6"/><Relationship Target="http://pt.wikipedia.org/wiki/Coca%C3%ADna" Type="http://schemas.openxmlformats.org/officeDocument/2006/relationships/hyperlink" TargetMode="External" Id="rId5"/><Relationship Target="http://pt.wikipedia.org/wiki/Crack" Type="http://schemas.openxmlformats.org/officeDocument/2006/relationships/hyperlink" TargetMode="External" Id="rId8"/><Relationship Target="http://pt.wikipedia.org/wiki/Crack" Type="http://schemas.openxmlformats.org/officeDocument/2006/relationships/hyperlink" TargetMode="External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- Bala na Cara: O perigo do poder hegemônico no sistema carcerário do Rio Grande do Sul.docx</dc:title>
</cp:coreProperties>
</file>