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E3" w:rsidRPr="000F5FE3" w:rsidRDefault="000F5FE3" w:rsidP="00362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3">
        <w:rPr>
          <w:rFonts w:ascii="Times New Roman" w:hAnsi="Times New Roman" w:cs="Times New Roman"/>
          <w:b/>
          <w:sz w:val="24"/>
          <w:szCs w:val="24"/>
        </w:rPr>
        <w:t>NOMEAÇÃO À AUTORIA NAS AÇÕES REIVINDICATÓRIAS</w:t>
      </w:r>
      <w:r w:rsidRPr="000F5F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FE3" w:rsidRDefault="000F5FE3" w:rsidP="00362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3">
        <w:rPr>
          <w:rFonts w:ascii="Times New Roman" w:hAnsi="Times New Roman" w:cs="Times New Roman"/>
          <w:sz w:val="24"/>
          <w:szCs w:val="24"/>
        </w:rPr>
        <w:t>Legitimidade passiva do detentor, o novo Código Civil art. 1</w:t>
      </w:r>
      <w:r w:rsidR="00040019">
        <w:rPr>
          <w:rFonts w:ascii="Times New Roman" w:hAnsi="Times New Roman" w:cs="Times New Roman"/>
          <w:sz w:val="24"/>
          <w:szCs w:val="24"/>
        </w:rPr>
        <w:t>.228 e o conflito com o art. 62.</w:t>
      </w:r>
      <w:proofErr w:type="gramStart"/>
      <w:r w:rsidR="0004001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040019" w:rsidRDefault="00040019" w:rsidP="000F5F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9" w:rsidRDefault="00040019" w:rsidP="00040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Rayssa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Aráujo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Barros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40019" w:rsidRPr="000F5FE3" w:rsidRDefault="00040019" w:rsidP="00040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019" w:rsidRDefault="00040019" w:rsidP="00040019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F03AE">
        <w:rPr>
          <w:rFonts w:ascii="Times New Roman" w:hAnsi="Times New Roman" w:cs="Times New Roman"/>
          <w:b/>
          <w:sz w:val="20"/>
          <w:szCs w:val="20"/>
        </w:rPr>
        <w:t>Sumário:</w:t>
      </w:r>
      <w:r w:rsidRPr="007F03AE">
        <w:rPr>
          <w:rFonts w:ascii="Times New Roman" w:hAnsi="Times New Roman" w:cs="Times New Roman"/>
          <w:sz w:val="20"/>
          <w:szCs w:val="20"/>
        </w:rPr>
        <w:t xml:space="preserve"> Introdução.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="003A5DE2">
        <w:rPr>
          <w:rFonts w:ascii="Times New Roman" w:hAnsi="Times New Roman" w:cs="Times New Roman"/>
          <w:sz w:val="20"/>
          <w:szCs w:val="20"/>
        </w:rPr>
        <w:t>Panorama</w:t>
      </w:r>
      <w:r>
        <w:rPr>
          <w:rFonts w:ascii="Times New Roman" w:hAnsi="Times New Roman" w:cs="Times New Roman"/>
          <w:sz w:val="20"/>
          <w:szCs w:val="20"/>
        </w:rPr>
        <w:t xml:space="preserve"> geral </w:t>
      </w:r>
      <w:r w:rsidR="003A5DE2">
        <w:rPr>
          <w:rFonts w:ascii="Times New Roman" w:hAnsi="Times New Roman" w:cs="Times New Roman"/>
          <w:sz w:val="20"/>
          <w:szCs w:val="20"/>
        </w:rPr>
        <w:t>da nomeação a autoria</w:t>
      </w:r>
      <w:r w:rsidRPr="007F03AE">
        <w:rPr>
          <w:rFonts w:ascii="Times New Roman" w:hAnsi="Times New Roman" w:cs="Times New Roman"/>
          <w:sz w:val="20"/>
          <w:szCs w:val="20"/>
        </w:rPr>
        <w:t xml:space="preserve">. 2. </w:t>
      </w:r>
      <w:r w:rsidR="003A5DE2">
        <w:rPr>
          <w:rFonts w:ascii="Times New Roman" w:hAnsi="Times New Roman" w:cs="Times New Roman"/>
          <w:sz w:val="20"/>
          <w:szCs w:val="20"/>
        </w:rPr>
        <w:t>Nomeação a autoria na ação reivindicatória contra detentor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A5DE2">
        <w:rPr>
          <w:rFonts w:ascii="Times New Roman" w:hAnsi="Times New Roman" w:cs="Times New Roman"/>
          <w:sz w:val="20"/>
          <w:szCs w:val="20"/>
        </w:rPr>
        <w:t>Legitimidade passiva ao detentor, de acordo com o novo Código Civil art. 1228 e o conflito com o art. 62 do CPC – Propostas de interpretação.</w:t>
      </w:r>
      <w:r w:rsidRPr="007F03AE">
        <w:rPr>
          <w:rFonts w:ascii="Times New Roman" w:hAnsi="Times New Roman" w:cs="Times New Roman"/>
          <w:sz w:val="20"/>
          <w:szCs w:val="20"/>
        </w:rPr>
        <w:t xml:space="preserve"> </w:t>
      </w:r>
      <w:r w:rsidR="00413919">
        <w:rPr>
          <w:rFonts w:ascii="Times New Roman" w:hAnsi="Times New Roman" w:cs="Times New Roman"/>
          <w:sz w:val="20"/>
          <w:szCs w:val="20"/>
        </w:rPr>
        <w:t>Considerações Finais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5FE3" w:rsidRDefault="000F5FE3" w:rsidP="00E37E3F">
      <w:pPr>
        <w:rPr>
          <w:rFonts w:ascii="Times New Roman" w:hAnsi="Times New Roman" w:cs="Times New Roman"/>
          <w:sz w:val="24"/>
          <w:szCs w:val="24"/>
        </w:rPr>
      </w:pPr>
    </w:p>
    <w:p w:rsidR="000F5FE3" w:rsidRPr="003A5DE2" w:rsidRDefault="003A5DE2" w:rsidP="003A5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DE2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349A2" w:rsidRDefault="000F5FE3" w:rsidP="001B6F3B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presente artigo tem como objetivo a análise da questão 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heterotopia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entre o Novo Código Civil Brasileiro e o Código de Processo Civil, </w:t>
      </w:r>
      <w:r w:rsidR="001B6F3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que tange o conflito entre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egitimidade ad causam passiva do detentor na ação reivindicatória e a correção processual</w:t>
      </w:r>
      <w:r w:rsidR="002349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determinada pelo instituto de intervenção</w:t>
      </w:r>
      <w:bookmarkStart w:id="0" w:name="_GoBack"/>
      <w:bookmarkEnd w:id="0"/>
      <w:r w:rsidR="002349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 terceiros, nomeação à autoria. Busca-se, sob os aspectos materiais e instrumentais, apontar critérios de interpretação para uma coexistência harmônica de tais normas. </w:t>
      </w:r>
    </w:p>
    <w:p w:rsidR="003A5DE2" w:rsidRPr="003A5DE2" w:rsidRDefault="002349A2" w:rsidP="00E37E3F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2349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Palavra-chave: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detentor, possuidor, nomeação a autoria, terceiro, legitimidade.</w:t>
      </w:r>
    </w:p>
    <w:p w:rsidR="00E37E3F" w:rsidRPr="002349A2" w:rsidRDefault="00E37E3F" w:rsidP="00234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29C2" w:rsidRPr="00684CC8" w:rsidRDefault="00F029C2" w:rsidP="003676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CC8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793753" w:rsidRPr="00793753" w:rsidRDefault="00362105" w:rsidP="00793753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3753" w:rsidRPr="00793753">
        <w:rPr>
          <w:rFonts w:ascii="Times New Roman" w:hAnsi="Times New Roman" w:cs="Times New Roman"/>
          <w:sz w:val="24"/>
          <w:szCs w:val="24"/>
        </w:rPr>
        <w:t xml:space="preserve">O Código Civil de 1916, em seu no artigo 524, no eu tange os direitos do proprietário, dispunha que “a lei assegura ao proprietário o direito de usar, gozar e dispor de seus bens, e de reavê-los do poder de quem quer que injustamente os possua”. Ocorre que o atual Código Civil, no art. 1.228, inovou ao incorporar a essa leitura a possibilidade de inclusão da demanda reivindicatória não só em face de quem injustamente estiver possuindo, mas também contra eventual detentor, a inclusão ao texto dos seguintes termos: “de quem quer que injustamente os possua </w:t>
      </w:r>
      <w:r w:rsidR="00793753" w:rsidRPr="00793753">
        <w:rPr>
          <w:rFonts w:ascii="Times New Roman" w:hAnsi="Times New Roman" w:cs="Times New Roman"/>
          <w:i/>
          <w:sz w:val="24"/>
          <w:szCs w:val="24"/>
        </w:rPr>
        <w:t>ou detenha</w:t>
      </w:r>
      <w:r w:rsidR="00793753" w:rsidRPr="0079375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93753" w:rsidRDefault="00793753" w:rsidP="00717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essa modificação, ocorre um conflito com o art. 62 do Código de Processo Civil, na qual o detentor se encontra em posição de ilegítimo na situação de demanda reivindicatória, devendo nomear a autoria aquele que é o real titular</w:t>
      </w:r>
      <w:r w:rsidR="0071768B">
        <w:rPr>
          <w:rFonts w:ascii="Times New Roman" w:hAnsi="Times New Roman" w:cs="Times New Roman"/>
          <w:sz w:val="24"/>
          <w:szCs w:val="24"/>
        </w:rPr>
        <w:t xml:space="preserve"> da coisa, o possuidor ou proprietário. </w:t>
      </w:r>
    </w:p>
    <w:p w:rsidR="0071768B" w:rsidRDefault="0071768B" w:rsidP="00717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Diante disso, é entendido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há um conflito aparente de normas, tento a necessidade de aplicação das técnicas de resolução de conflito. Ademais, trata-se de normas heterotópicas, por se tratar de normas que se localizam tanto no direito material como no direito processual. </w:t>
      </w:r>
    </w:p>
    <w:p w:rsidR="00F029C2" w:rsidRDefault="00DE4065" w:rsidP="00684CC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ab/>
      </w:r>
      <w:r w:rsidR="00F25E16" w:rsidRPr="00DE4065">
        <w:rPr>
          <w:rFonts w:ascii="Times New Roman" w:hAnsi="Times New Roman" w:cs="Times New Roman"/>
          <w:bCs/>
          <w:sz w:val="24"/>
          <w:szCs w:val="24"/>
        </w:rPr>
        <w:t>Humberto Theodoro Júnior</w:t>
      </w:r>
      <w:r w:rsidR="0022111B">
        <w:rPr>
          <w:rFonts w:ascii="Times New Roman" w:hAnsi="Times New Roman" w:cs="Times New Roman"/>
          <w:bCs/>
          <w:sz w:val="24"/>
          <w:szCs w:val="24"/>
        </w:rPr>
        <w:t xml:space="preserve"> (2007, p.127) </w:t>
      </w:r>
      <w:r w:rsidRPr="00DE4065">
        <w:rPr>
          <w:rFonts w:ascii="Times New Roman" w:hAnsi="Times New Roman" w:cs="Times New Roman"/>
          <w:bCs/>
          <w:sz w:val="24"/>
          <w:szCs w:val="24"/>
        </w:rPr>
        <w:t>discorre que</w:t>
      </w:r>
      <w:r w:rsidR="00F25E16" w:rsidRPr="00DE4065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F25E16" w:rsidRPr="00DE4065">
        <w:rPr>
          <w:rFonts w:ascii="Times New Roman" w:hAnsi="Times New Roman" w:cs="Times New Roman"/>
          <w:sz w:val="24"/>
          <w:szCs w:val="24"/>
        </w:rPr>
        <w:t>sem embargo da autonomia científica do estudo do direito processual, a moderna doutrina do processo não se cansa de ressaltar seu caráter instrumental, o que o coloca em irrecusável simbiose junto ao direito material. Na verdade, é hoje mais relevante destacar os pontos de contato entre os dois grandes segmentos da ordem jurídica do que isolá-los em compartimentos estanques, de bela configuração acadêmica, mas de escassa repercussão para a função prática ou de resultado que do direito processual se espera na pacificação social e na realização efetiva do direito material</w:t>
      </w:r>
      <w:proofErr w:type="gramStart"/>
      <w:r w:rsidR="00793753" w:rsidRPr="00DE4065"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CC8" w:rsidRPr="00684CC8" w:rsidRDefault="00684CC8" w:rsidP="00684CC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2BC9" w:rsidRPr="00684CC8" w:rsidRDefault="003A5DE2" w:rsidP="003676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CC8">
        <w:rPr>
          <w:rFonts w:ascii="Times New Roman" w:hAnsi="Times New Roman" w:cs="Times New Roman"/>
          <w:b/>
          <w:sz w:val="24"/>
          <w:szCs w:val="24"/>
        </w:rPr>
        <w:t>PANORA</w:t>
      </w:r>
      <w:r w:rsidR="0032403D" w:rsidRPr="00684CC8">
        <w:rPr>
          <w:rFonts w:ascii="Times New Roman" w:hAnsi="Times New Roman" w:cs="Times New Roman"/>
          <w:b/>
          <w:sz w:val="24"/>
          <w:szCs w:val="24"/>
        </w:rPr>
        <w:t>M</w:t>
      </w:r>
      <w:r w:rsidR="00040019" w:rsidRPr="00684CC8">
        <w:rPr>
          <w:rFonts w:ascii="Times New Roman" w:hAnsi="Times New Roman" w:cs="Times New Roman"/>
          <w:b/>
          <w:sz w:val="24"/>
          <w:szCs w:val="24"/>
        </w:rPr>
        <w:t>A</w:t>
      </w:r>
      <w:r w:rsidR="0032403D" w:rsidRPr="00684CC8">
        <w:rPr>
          <w:rFonts w:ascii="Times New Roman" w:hAnsi="Times New Roman" w:cs="Times New Roman"/>
          <w:b/>
          <w:sz w:val="24"/>
          <w:szCs w:val="24"/>
        </w:rPr>
        <w:t xml:space="preserve"> GERAL DA </w:t>
      </w:r>
      <w:r w:rsidR="008D1BEE" w:rsidRPr="00684CC8">
        <w:rPr>
          <w:rFonts w:ascii="Times New Roman" w:hAnsi="Times New Roman" w:cs="Times New Roman"/>
          <w:b/>
          <w:sz w:val="24"/>
          <w:szCs w:val="24"/>
        </w:rPr>
        <w:t xml:space="preserve">NOMEAÇÃO À AUTORIA </w:t>
      </w:r>
    </w:p>
    <w:p w:rsidR="00CF2BC9" w:rsidRDefault="00CF2BC9" w:rsidP="00E760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6CA">
        <w:rPr>
          <w:rFonts w:ascii="Times New Roman" w:hAnsi="Times New Roman" w:cs="Times New Roman"/>
          <w:sz w:val="24"/>
          <w:szCs w:val="24"/>
        </w:rPr>
        <w:t xml:space="preserve">A nomeação a autoria trata-se de um instituto processual de intervenção de terceiros </w:t>
      </w:r>
      <w:r w:rsidR="008D1BEE">
        <w:rPr>
          <w:rFonts w:ascii="Times New Roman" w:hAnsi="Times New Roman" w:cs="Times New Roman"/>
          <w:sz w:val="24"/>
          <w:szCs w:val="24"/>
        </w:rPr>
        <w:t>que introduz ao processo aquele que deveria ser originalmente demandado, passando a assumir a condição de réu.</w:t>
      </w:r>
      <w:r w:rsidRPr="003676CA">
        <w:rPr>
          <w:rFonts w:ascii="Times New Roman" w:hAnsi="Times New Roman" w:cs="Times New Roman"/>
          <w:sz w:val="24"/>
          <w:szCs w:val="24"/>
        </w:rPr>
        <w:t xml:space="preserve"> </w:t>
      </w:r>
      <w:r w:rsidR="008D1BEE">
        <w:rPr>
          <w:rFonts w:ascii="Times New Roman" w:hAnsi="Times New Roman" w:cs="Times New Roman"/>
          <w:sz w:val="24"/>
          <w:szCs w:val="24"/>
        </w:rPr>
        <w:t xml:space="preserve">Trata-se de uma correção da legitimidade passiva da ação. </w:t>
      </w:r>
    </w:p>
    <w:p w:rsidR="00CF2BC9" w:rsidRDefault="00362105" w:rsidP="00684C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BEE">
        <w:rPr>
          <w:rFonts w:ascii="Times New Roman" w:hAnsi="Times New Roman" w:cs="Times New Roman"/>
          <w:sz w:val="24"/>
          <w:szCs w:val="24"/>
        </w:rPr>
        <w:t>Normalmente, nos casos de situação de ilegitimidade passiva, haveria a extinção do processo sem resolução de mérito, de acordo com o que dispõe o</w:t>
      </w:r>
      <w:r w:rsidR="00C33A7B">
        <w:rPr>
          <w:rFonts w:ascii="Times New Roman" w:hAnsi="Times New Roman" w:cs="Times New Roman"/>
          <w:sz w:val="24"/>
          <w:szCs w:val="24"/>
        </w:rPr>
        <w:t xml:space="preserve"> art. 267, VI, do CPC</w:t>
      </w:r>
      <w:r w:rsidR="00032D54">
        <w:rPr>
          <w:rFonts w:ascii="Times New Roman" w:hAnsi="Times New Roman" w:cs="Times New Roman"/>
          <w:sz w:val="24"/>
          <w:szCs w:val="24"/>
        </w:rPr>
        <w:t>,</w:t>
      </w:r>
      <w:r w:rsidR="00746709">
        <w:rPr>
          <w:rFonts w:ascii="Times New Roman" w:hAnsi="Times New Roman" w:cs="Times New Roman"/>
          <w:sz w:val="24"/>
          <w:szCs w:val="24"/>
        </w:rPr>
        <w:t xml:space="preserve"> na qual </w:t>
      </w:r>
      <w:r w:rsidR="00746709" w:rsidRPr="00746709">
        <w:rPr>
          <w:rFonts w:ascii="Times New Roman" w:hAnsi="Times New Roman" w:cs="Times New Roman"/>
          <w:sz w:val="24"/>
          <w:szCs w:val="24"/>
        </w:rPr>
        <w:t>julgará o autor</w:t>
      </w:r>
      <w:r w:rsidR="00746709">
        <w:rPr>
          <w:rFonts w:ascii="Times New Roman" w:hAnsi="Times New Roman" w:cs="Times New Roman"/>
          <w:sz w:val="24"/>
          <w:szCs w:val="24"/>
        </w:rPr>
        <w:t xml:space="preserve"> </w:t>
      </w:r>
      <w:r w:rsidR="00746709" w:rsidRPr="00746709">
        <w:rPr>
          <w:rFonts w:ascii="Times New Roman" w:hAnsi="Times New Roman" w:cs="Times New Roman"/>
          <w:sz w:val="24"/>
          <w:szCs w:val="24"/>
        </w:rPr>
        <w:t>"carecedor de ação" contra o contestante</w:t>
      </w:r>
      <w:r w:rsidR="00C33A7B" w:rsidRPr="00746709">
        <w:rPr>
          <w:rFonts w:ascii="Times New Roman" w:hAnsi="Times New Roman" w:cs="Times New Roman"/>
          <w:sz w:val="24"/>
          <w:szCs w:val="24"/>
        </w:rPr>
        <w:t>. (</w:t>
      </w:r>
      <w:r w:rsidR="00C33A7B">
        <w:rPr>
          <w:rFonts w:ascii="Times New Roman" w:hAnsi="Times New Roman" w:cs="Times New Roman"/>
          <w:sz w:val="24"/>
          <w:szCs w:val="24"/>
        </w:rPr>
        <w:t>WAMBIER, 2007</w:t>
      </w:r>
      <w:r w:rsidR="007C64D5">
        <w:rPr>
          <w:rFonts w:ascii="Times New Roman" w:hAnsi="Times New Roman" w:cs="Times New Roman"/>
          <w:sz w:val="24"/>
          <w:szCs w:val="24"/>
        </w:rPr>
        <w:t>, p. 263</w:t>
      </w:r>
      <w:r w:rsidR="00C33A7B">
        <w:rPr>
          <w:rFonts w:ascii="Times New Roman" w:hAnsi="Times New Roman" w:cs="Times New Roman"/>
          <w:sz w:val="24"/>
          <w:szCs w:val="24"/>
        </w:rPr>
        <w:t>) Entretanto</w:t>
      </w:r>
      <w:r w:rsidR="003676CA" w:rsidRPr="003676CA">
        <w:rPr>
          <w:rFonts w:ascii="Times New Roman" w:hAnsi="Times New Roman" w:cs="Times New Roman"/>
          <w:sz w:val="24"/>
          <w:szCs w:val="24"/>
        </w:rPr>
        <w:t xml:space="preserve"> </w:t>
      </w:r>
      <w:r w:rsidR="00C33A7B">
        <w:rPr>
          <w:rFonts w:ascii="Times New Roman" w:hAnsi="Times New Roman" w:cs="Times New Roman"/>
          <w:sz w:val="24"/>
          <w:szCs w:val="24"/>
        </w:rPr>
        <w:t xml:space="preserve">a lei autoriza em duas situações, na qual </w:t>
      </w:r>
      <w:r w:rsidR="003676CA" w:rsidRPr="003676CA">
        <w:rPr>
          <w:rFonts w:ascii="Times New Roman" w:hAnsi="Times New Roman" w:cs="Times New Roman"/>
          <w:sz w:val="24"/>
          <w:szCs w:val="24"/>
        </w:rPr>
        <w:t>não se é possível</w:t>
      </w:r>
      <w:r w:rsidR="003676CA">
        <w:rPr>
          <w:rFonts w:ascii="Times New Roman" w:hAnsi="Times New Roman" w:cs="Times New Roman"/>
          <w:sz w:val="24"/>
          <w:szCs w:val="24"/>
        </w:rPr>
        <w:t xml:space="preserve">, em primeira vista, se identificar quem é o real sujeito legítimo para a demanda, </w:t>
      </w:r>
      <w:r w:rsidR="00C33A7B">
        <w:rPr>
          <w:rFonts w:ascii="Times New Roman" w:hAnsi="Times New Roman" w:cs="Times New Roman"/>
          <w:sz w:val="24"/>
          <w:szCs w:val="24"/>
        </w:rPr>
        <w:t>aproveitar</w:t>
      </w:r>
      <w:r w:rsidR="003676CA">
        <w:rPr>
          <w:rFonts w:ascii="Times New Roman" w:hAnsi="Times New Roman" w:cs="Times New Roman"/>
          <w:sz w:val="24"/>
          <w:szCs w:val="24"/>
        </w:rPr>
        <w:t xml:space="preserve"> o process</w:t>
      </w:r>
      <w:r w:rsidR="00C33A7B">
        <w:rPr>
          <w:rFonts w:ascii="Times New Roman" w:hAnsi="Times New Roman" w:cs="Times New Roman"/>
          <w:sz w:val="24"/>
          <w:szCs w:val="24"/>
        </w:rPr>
        <w:t xml:space="preserve">o, dando oportunidade ao réu primitivo em corrigir o equívoco e assim nomear aquele que deveria ter sido indicado como réu originalmente. </w:t>
      </w:r>
    </w:p>
    <w:p w:rsidR="00746709" w:rsidRDefault="003676CA" w:rsidP="00684C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como afirma </w:t>
      </w:r>
      <w:proofErr w:type="spellStart"/>
      <w:r w:rsidR="0022111B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="0022111B">
        <w:rPr>
          <w:rFonts w:ascii="Times New Roman" w:hAnsi="Times New Roman" w:cs="Times New Roman"/>
          <w:sz w:val="24"/>
          <w:szCs w:val="24"/>
        </w:rPr>
        <w:t xml:space="preserve"> Didier</w:t>
      </w:r>
      <w:r>
        <w:rPr>
          <w:rFonts w:ascii="Times New Roman" w:hAnsi="Times New Roman" w:cs="Times New Roman"/>
          <w:sz w:val="24"/>
          <w:szCs w:val="24"/>
        </w:rPr>
        <w:t xml:space="preserve"> (2011), a nomeação a autoria tem dois objetivos, indicar ao autor o real titular</w:t>
      </w:r>
      <w:r w:rsidR="00A87DEE">
        <w:rPr>
          <w:rFonts w:ascii="Times New Roman" w:hAnsi="Times New Roman" w:cs="Times New Roman"/>
          <w:sz w:val="24"/>
          <w:szCs w:val="24"/>
        </w:rPr>
        <w:t xml:space="preserve"> do polo passivo</w:t>
      </w:r>
      <w:r>
        <w:rPr>
          <w:rFonts w:ascii="Times New Roman" w:hAnsi="Times New Roman" w:cs="Times New Roman"/>
          <w:sz w:val="24"/>
          <w:szCs w:val="24"/>
        </w:rPr>
        <w:t xml:space="preserve"> da situação </w:t>
      </w:r>
      <w:r w:rsidR="00A87DEE">
        <w:rPr>
          <w:rFonts w:ascii="Times New Roman" w:hAnsi="Times New Roman" w:cs="Times New Roman"/>
          <w:sz w:val="24"/>
          <w:szCs w:val="24"/>
        </w:rPr>
        <w:t xml:space="preserve">litigante, </w:t>
      </w:r>
      <w:r>
        <w:rPr>
          <w:rFonts w:ascii="Times New Roman" w:hAnsi="Times New Roman" w:cs="Times New Roman"/>
          <w:sz w:val="24"/>
          <w:szCs w:val="24"/>
        </w:rPr>
        <w:t>e retirar do sujeito o ônus de conduzir um pro</w:t>
      </w:r>
      <w:r w:rsidR="00746709">
        <w:rPr>
          <w:rFonts w:ascii="Times New Roman" w:hAnsi="Times New Roman" w:cs="Times New Roman"/>
          <w:sz w:val="24"/>
          <w:szCs w:val="24"/>
        </w:rPr>
        <w:t xml:space="preserve">cesso que não lhe diz respeito, possibilitando, ainda, aproveitar o mesmo processo. </w:t>
      </w:r>
    </w:p>
    <w:p w:rsidR="00F029C2" w:rsidRDefault="00746709" w:rsidP="00684C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709">
        <w:rPr>
          <w:rFonts w:ascii="Times New Roman" w:hAnsi="Times New Roman" w:cs="Times New Roman"/>
          <w:sz w:val="24"/>
          <w:szCs w:val="24"/>
        </w:rPr>
        <w:t xml:space="preserve">Pelo instituto da nomeação à autoria, em determinados casos o </w:t>
      </w:r>
      <w:r>
        <w:rPr>
          <w:rFonts w:ascii="Times New Roman" w:hAnsi="Times New Roman" w:cs="Times New Roman"/>
          <w:sz w:val="24"/>
          <w:szCs w:val="24"/>
        </w:rPr>
        <w:t xml:space="preserve">réu é obrigado </w:t>
      </w:r>
      <w:r w:rsidRPr="00746709">
        <w:rPr>
          <w:rFonts w:ascii="Times New Roman" w:hAnsi="Times New Roman" w:cs="Times New Roman"/>
          <w:sz w:val="24"/>
          <w:szCs w:val="24"/>
        </w:rPr>
        <w:t>a provocar, desde logo, sua "substituição", o que</w:t>
      </w:r>
      <w:r w:rsidR="0022111B">
        <w:rPr>
          <w:rFonts w:ascii="Times New Roman" w:hAnsi="Times New Roman" w:cs="Times New Roman"/>
          <w:sz w:val="24"/>
          <w:szCs w:val="24"/>
        </w:rPr>
        <w:t xml:space="preserve"> </w:t>
      </w:r>
      <w:r w:rsidRPr="00746709">
        <w:rPr>
          <w:rFonts w:ascii="Times New Roman" w:hAnsi="Times New Roman" w:cs="Times New Roman"/>
          <w:sz w:val="24"/>
          <w:szCs w:val="24"/>
        </w:rPr>
        <w:t xml:space="preserve">representa evidente vantagem prática quer para o demandante, que irá litigar com o "verdadeiro" réu, quer para o demandado, a quem se faculta afastar-se do processo e dos ônus e </w:t>
      </w:r>
      <w:r w:rsidR="007C64D5">
        <w:rPr>
          <w:rFonts w:ascii="Times New Roman" w:hAnsi="Times New Roman" w:cs="Times New Roman"/>
          <w:sz w:val="24"/>
          <w:szCs w:val="24"/>
        </w:rPr>
        <w:t xml:space="preserve">incômodos que aquele acarreta </w:t>
      </w:r>
      <w:r>
        <w:rPr>
          <w:rFonts w:ascii="Times New Roman" w:hAnsi="Times New Roman" w:cs="Times New Roman"/>
          <w:sz w:val="24"/>
          <w:szCs w:val="24"/>
        </w:rPr>
        <w:t>(CARNEIRO, 2000</w:t>
      </w:r>
      <w:r w:rsidR="007C64D5">
        <w:rPr>
          <w:rFonts w:ascii="Times New Roman" w:hAnsi="Times New Roman" w:cs="Times New Roman"/>
          <w:sz w:val="24"/>
          <w:szCs w:val="24"/>
        </w:rPr>
        <w:t xml:space="preserve">). </w:t>
      </w:r>
      <w:r w:rsidR="00F029C2">
        <w:rPr>
          <w:rFonts w:ascii="Times New Roman" w:hAnsi="Times New Roman" w:cs="Times New Roman"/>
          <w:sz w:val="24"/>
          <w:szCs w:val="24"/>
        </w:rPr>
        <w:t>Ademais, o</w:t>
      </w:r>
      <w:r w:rsidR="007C64D5">
        <w:rPr>
          <w:rFonts w:ascii="Times New Roman" w:hAnsi="Times New Roman" w:cs="Times New Roman"/>
          <w:sz w:val="24"/>
          <w:szCs w:val="24"/>
        </w:rPr>
        <w:t xml:space="preserve"> não cumprimento dessa obrigatoriedade não gera perdas materiais, mas </w:t>
      </w:r>
      <w:r w:rsidR="007C64D5">
        <w:rPr>
          <w:rFonts w:ascii="Times New Roman" w:hAnsi="Times New Roman" w:cs="Times New Roman"/>
          <w:sz w:val="24"/>
          <w:szCs w:val="24"/>
        </w:rPr>
        <w:lastRenderedPageBreak/>
        <w:t xml:space="preserve">perdas de oportunidades dentro do processo, o que geralmente tem uma consequência negativa para aquele que se omitiu. </w:t>
      </w:r>
    </w:p>
    <w:p w:rsidR="0022111B" w:rsidRDefault="007C64D5" w:rsidP="00684C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s</w:t>
      </w:r>
      <w:r w:rsidR="0022111B">
        <w:rPr>
          <w:rFonts w:ascii="Times New Roman" w:hAnsi="Times New Roman" w:cs="Times New Roman"/>
          <w:sz w:val="24"/>
          <w:szCs w:val="24"/>
        </w:rPr>
        <w:t>egundo regra do art. 69:</w:t>
      </w:r>
    </w:p>
    <w:p w:rsidR="0022111B" w:rsidRDefault="0022111B" w:rsidP="00684C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709" w:rsidRDefault="00746709" w:rsidP="0022111B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11B">
        <w:rPr>
          <w:rFonts w:ascii="Times New Roman" w:hAnsi="Times New Roman" w:cs="Times New Roman"/>
          <w:sz w:val="24"/>
          <w:szCs w:val="24"/>
        </w:rPr>
        <w:t>“</w:t>
      </w:r>
      <w:r w:rsidRPr="0022111B">
        <w:rPr>
          <w:rFonts w:ascii="Times New Roman" w:hAnsi="Times New Roman" w:cs="Times New Roman"/>
          <w:sz w:val="20"/>
          <w:szCs w:val="20"/>
        </w:rPr>
        <w:t>se aquele a quem incumbia a nomear a autoria deixar de fazê-lo, ou se o fizer, mas nomeando pessoa diversa daquele em nome de quem detém a coisa demandada, estará sujeito a responder pelas perdas e danos causadas pela sua condu</w:t>
      </w:r>
      <w:r w:rsidR="007C64D5" w:rsidRPr="0022111B">
        <w:rPr>
          <w:rFonts w:ascii="Times New Roman" w:hAnsi="Times New Roman" w:cs="Times New Roman"/>
          <w:sz w:val="20"/>
          <w:szCs w:val="20"/>
        </w:rPr>
        <w:t xml:space="preserve">ta, </w:t>
      </w:r>
      <w:r w:rsidR="00F029C2" w:rsidRPr="0022111B">
        <w:rPr>
          <w:rFonts w:ascii="Times New Roman" w:hAnsi="Times New Roman" w:cs="Times New Roman"/>
          <w:sz w:val="20"/>
          <w:szCs w:val="20"/>
        </w:rPr>
        <w:t>porém</w:t>
      </w:r>
      <w:r w:rsidR="007C64D5" w:rsidRPr="0022111B">
        <w:rPr>
          <w:rFonts w:ascii="Times New Roman" w:hAnsi="Times New Roman" w:cs="Times New Roman"/>
          <w:sz w:val="20"/>
          <w:szCs w:val="20"/>
        </w:rPr>
        <w:t xml:space="preserve"> não ganha nem perde direitos no plano material no processo.</w:t>
      </w:r>
      <w:r w:rsidR="0022111B">
        <w:rPr>
          <w:rFonts w:ascii="Times New Roman" w:hAnsi="Times New Roman" w:cs="Times New Roman"/>
          <w:sz w:val="20"/>
          <w:szCs w:val="20"/>
        </w:rPr>
        <w:t>”</w:t>
      </w:r>
      <w:r w:rsidR="007C64D5" w:rsidRPr="0022111B">
        <w:rPr>
          <w:rFonts w:ascii="Times New Roman" w:hAnsi="Times New Roman" w:cs="Times New Roman"/>
          <w:sz w:val="20"/>
          <w:szCs w:val="20"/>
        </w:rPr>
        <w:t xml:space="preserve"> (WA</w:t>
      </w:r>
      <w:r w:rsidR="00846E4B" w:rsidRPr="0022111B">
        <w:rPr>
          <w:rFonts w:ascii="Times New Roman" w:hAnsi="Times New Roman" w:cs="Times New Roman"/>
          <w:sz w:val="20"/>
          <w:szCs w:val="20"/>
        </w:rPr>
        <w:t>MBIER, 2007, p. 264</w:t>
      </w:r>
      <w:r w:rsidR="0022111B" w:rsidRPr="0022111B">
        <w:rPr>
          <w:rFonts w:ascii="Times New Roman" w:hAnsi="Times New Roman" w:cs="Times New Roman"/>
          <w:sz w:val="20"/>
          <w:szCs w:val="20"/>
        </w:rPr>
        <w:t>).</w:t>
      </w:r>
    </w:p>
    <w:p w:rsidR="0022111B" w:rsidRDefault="0022111B" w:rsidP="0022111B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111B" w:rsidRPr="0022111B" w:rsidRDefault="0022111B" w:rsidP="0022111B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46E4B" w:rsidRDefault="00BA26CA" w:rsidP="00684C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duas hipóteses de correção de ilegitimidade passiva. Pode o réu</w:t>
      </w:r>
      <w:r w:rsidR="009811BD">
        <w:rPr>
          <w:rFonts w:ascii="Times New Roman" w:hAnsi="Times New Roman" w:cs="Times New Roman"/>
          <w:sz w:val="24"/>
          <w:szCs w:val="24"/>
        </w:rPr>
        <w:t xml:space="preserve"> primitivo</w:t>
      </w:r>
      <w:r>
        <w:rPr>
          <w:rFonts w:ascii="Times New Roman" w:hAnsi="Times New Roman" w:cs="Times New Roman"/>
          <w:sz w:val="24"/>
          <w:szCs w:val="24"/>
        </w:rPr>
        <w:t xml:space="preserve"> ser o detentor da coisa e de esta lhe ser demandada em nome próprio</w:t>
      </w:r>
      <w:r w:rsidR="009811BD">
        <w:rPr>
          <w:rFonts w:ascii="Times New Roman" w:hAnsi="Times New Roman" w:cs="Times New Roman"/>
          <w:sz w:val="24"/>
          <w:szCs w:val="24"/>
        </w:rPr>
        <w:t>, sendo assim necessária a nomeação do possuidor ou proprietário</w:t>
      </w:r>
      <w:r>
        <w:rPr>
          <w:rFonts w:ascii="Times New Roman" w:hAnsi="Times New Roman" w:cs="Times New Roman"/>
          <w:sz w:val="24"/>
          <w:szCs w:val="24"/>
        </w:rPr>
        <w:t xml:space="preserve">, ou do réu que seja acionado pelo proprietário ou pelo titular do direito da </w:t>
      </w:r>
      <w:r w:rsidR="009811BD">
        <w:rPr>
          <w:rFonts w:ascii="Times New Roman" w:hAnsi="Times New Roman" w:cs="Times New Roman"/>
          <w:sz w:val="24"/>
          <w:szCs w:val="24"/>
        </w:rPr>
        <w:t xml:space="preserve">coisa com pedido de indenização, na qual se nomeia a autoria aquele de quem havia recebido ordem ou instrução para a prática do ato que foi causa do pedido da ação. </w:t>
      </w:r>
    </w:p>
    <w:p w:rsidR="004E7ADC" w:rsidRPr="002220DE" w:rsidRDefault="004E7ADC" w:rsidP="002220DE">
      <w:pPr>
        <w:pStyle w:val="Default"/>
        <w:spacing w:after="240"/>
        <w:ind w:left="2268" w:firstLine="1400"/>
        <w:jc w:val="both"/>
        <w:rPr>
          <w:rFonts w:ascii="Times New Roman" w:hAnsi="Times New Roman" w:cs="Times New Roman"/>
          <w:sz w:val="20"/>
          <w:szCs w:val="20"/>
        </w:rPr>
      </w:pPr>
      <w:r w:rsidRPr="002220DE">
        <w:rPr>
          <w:rFonts w:ascii="Times New Roman" w:hAnsi="Times New Roman" w:cs="Times New Roman"/>
          <w:sz w:val="20"/>
          <w:szCs w:val="20"/>
        </w:rPr>
        <w:t xml:space="preserve">“Tendo em vista a obrigatoriedade </w:t>
      </w:r>
      <w:proofErr w:type="gramStart"/>
      <w:r w:rsidRPr="002220DE">
        <w:rPr>
          <w:rFonts w:ascii="Times New Roman" w:hAnsi="Times New Roman" w:cs="Times New Roman"/>
          <w:sz w:val="20"/>
          <w:szCs w:val="20"/>
        </w:rPr>
        <w:t>da parte autora obedecer</w:t>
      </w:r>
      <w:proofErr w:type="gramEnd"/>
      <w:r w:rsidRPr="002220DE">
        <w:rPr>
          <w:rFonts w:ascii="Times New Roman" w:hAnsi="Times New Roman" w:cs="Times New Roman"/>
          <w:sz w:val="20"/>
          <w:szCs w:val="20"/>
        </w:rPr>
        <w:t xml:space="preserve"> à condição da ação consistente na </w:t>
      </w:r>
      <w:proofErr w:type="spellStart"/>
      <w:r w:rsidRPr="002220DE">
        <w:rPr>
          <w:rFonts w:ascii="Times New Roman" w:hAnsi="Times New Roman" w:cs="Times New Roman"/>
          <w:i/>
          <w:iCs/>
          <w:sz w:val="20"/>
          <w:szCs w:val="20"/>
        </w:rPr>
        <w:t>legitimatio</w:t>
      </w:r>
      <w:proofErr w:type="spellEnd"/>
      <w:r w:rsidRPr="002220DE">
        <w:rPr>
          <w:rFonts w:ascii="Times New Roman" w:hAnsi="Times New Roman" w:cs="Times New Roman"/>
          <w:i/>
          <w:iCs/>
          <w:sz w:val="20"/>
          <w:szCs w:val="20"/>
        </w:rPr>
        <w:t xml:space="preserve"> ad causam</w:t>
      </w:r>
      <w:r w:rsidRPr="002220DE">
        <w:rPr>
          <w:rFonts w:ascii="Times New Roman" w:hAnsi="Times New Roman" w:cs="Times New Roman"/>
          <w:sz w:val="20"/>
          <w:szCs w:val="20"/>
        </w:rPr>
        <w:t xml:space="preserve">, e a sanção única das perdas danos para o nomeante que não fizer a nomeação, ou convocar a pessoa errada, o desenrolar da nomeação à autoria pode resultar tão somente na convocação não aceita pelo nomeado. Pode, ainda, ocorrer que o próprio autor se convença da correta </w:t>
      </w:r>
      <w:proofErr w:type="spellStart"/>
      <w:r w:rsidRPr="002220DE">
        <w:rPr>
          <w:rFonts w:ascii="Times New Roman" w:hAnsi="Times New Roman" w:cs="Times New Roman"/>
          <w:sz w:val="20"/>
          <w:szCs w:val="20"/>
        </w:rPr>
        <w:t>opositura</w:t>
      </w:r>
      <w:proofErr w:type="spellEnd"/>
      <w:r w:rsidRPr="002220DE">
        <w:rPr>
          <w:rFonts w:ascii="Times New Roman" w:hAnsi="Times New Roman" w:cs="Times New Roman"/>
          <w:sz w:val="20"/>
          <w:szCs w:val="20"/>
        </w:rPr>
        <w:t xml:space="preserve"> da ação, hipótese em que não admitirá qualquer nomeação, persistindo contra a parte ré originária.”</w:t>
      </w:r>
      <w:r w:rsidR="00B00309" w:rsidRPr="002220DE">
        <w:rPr>
          <w:rFonts w:ascii="Times New Roman" w:hAnsi="Times New Roman" w:cs="Times New Roman"/>
          <w:sz w:val="20"/>
          <w:szCs w:val="20"/>
        </w:rPr>
        <w:t xml:space="preserve"> (LUIZ FUX, p.4)</w:t>
      </w:r>
    </w:p>
    <w:p w:rsidR="009863ED" w:rsidRPr="004E7ADC" w:rsidRDefault="009863ED" w:rsidP="004E7ADC">
      <w:pPr>
        <w:pStyle w:val="Default"/>
        <w:spacing w:after="240"/>
        <w:ind w:left="2268" w:firstLine="1400"/>
        <w:jc w:val="both"/>
        <w:rPr>
          <w:rFonts w:ascii="Times New Roman" w:hAnsi="Times New Roman" w:cs="Times New Roman"/>
        </w:rPr>
      </w:pPr>
    </w:p>
    <w:p w:rsidR="00B00309" w:rsidRDefault="00CB761D" w:rsidP="00B0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prazo para a nomeação a autoria é o mesmo da defesa, art. 64,</w:t>
      </w:r>
      <w:r w:rsidR="004E7ADC">
        <w:rPr>
          <w:rFonts w:ascii="Times New Roman" w:hAnsi="Times New Roman" w:cs="Times New Roman"/>
          <w:sz w:val="24"/>
          <w:szCs w:val="24"/>
        </w:rPr>
        <w:t xml:space="preserve"> estando </w:t>
      </w:r>
      <w:proofErr w:type="gramStart"/>
      <w:r w:rsidR="004E7ADC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4E7ADC">
        <w:rPr>
          <w:rFonts w:ascii="Times New Roman" w:hAnsi="Times New Roman" w:cs="Times New Roman"/>
          <w:sz w:val="24"/>
          <w:szCs w:val="24"/>
        </w:rPr>
        <w:t xml:space="preserve"> de preclusão, sendo, este instituto, cabível apenas no processo de conhecimento, seja ordinário ou sumário.</w:t>
      </w:r>
      <w:r w:rsidR="00B00309">
        <w:rPr>
          <w:rFonts w:ascii="Times New Roman" w:hAnsi="Times New Roman" w:cs="Times New Roman"/>
          <w:sz w:val="24"/>
          <w:szCs w:val="24"/>
        </w:rPr>
        <w:t xml:space="preserve"> Caso o autor insista na legitimidade do nomeante, abrirá novo prazo para sua contestação. </w:t>
      </w:r>
      <w:r w:rsidR="00B00309" w:rsidRPr="00B00309">
        <w:rPr>
          <w:rFonts w:ascii="Times New Roman" w:hAnsi="Times New Roman" w:cs="Times New Roman"/>
          <w:sz w:val="24"/>
          <w:szCs w:val="24"/>
        </w:rPr>
        <w:t>“Como evidente, não pode o réu forçar o autor a aceitar a nomeação. Cumprir-lhe-á, no curso do processo, demonstrar a sua ilegitimidade passiva, com o que conseguirá, em prejuízo do autor, a extinção do processo sem julgamento do mérito”</w:t>
      </w:r>
      <w:r w:rsidR="00B00309">
        <w:rPr>
          <w:rFonts w:ascii="Times New Roman" w:hAnsi="Times New Roman" w:cs="Times New Roman"/>
          <w:sz w:val="24"/>
          <w:szCs w:val="24"/>
        </w:rPr>
        <w:t xml:space="preserve"> (</w:t>
      </w:r>
      <w:r w:rsidR="00B00309" w:rsidRPr="00B00309">
        <w:rPr>
          <w:rFonts w:ascii="Times New Roman" w:hAnsi="Times New Roman" w:cs="Times New Roman"/>
          <w:sz w:val="24"/>
          <w:szCs w:val="24"/>
        </w:rPr>
        <w:t>LUIZ FUX, p.6</w:t>
      </w:r>
      <w:r w:rsidR="002220DE">
        <w:rPr>
          <w:sz w:val="23"/>
          <w:szCs w:val="23"/>
        </w:rPr>
        <w:t>).</w:t>
      </w:r>
    </w:p>
    <w:p w:rsidR="00CB761D" w:rsidRPr="000F5FE3" w:rsidRDefault="00B00309" w:rsidP="00B0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o juiz pode deferir ou indeferir o pedido da nomeação, justificado este último ou pelo réu ter deixado transcorrer o prazo ou pelo réu não se enquadrar nas hipóteses de nomeação a autoria dos art. 62 e 63, Código de Processo Civil.</w:t>
      </w:r>
      <w:r w:rsidR="00E37E3F">
        <w:rPr>
          <w:rFonts w:ascii="Times New Roman" w:hAnsi="Times New Roman" w:cs="Times New Roman"/>
          <w:sz w:val="24"/>
          <w:szCs w:val="24"/>
        </w:rPr>
        <w:t xml:space="preserve"> </w:t>
      </w:r>
      <w:r w:rsidR="00E37E3F" w:rsidRPr="000F5FE3">
        <w:rPr>
          <w:rFonts w:ascii="Times New Roman" w:hAnsi="Times New Roman" w:cs="Times New Roman"/>
          <w:sz w:val="24"/>
          <w:szCs w:val="24"/>
        </w:rPr>
        <w:t xml:space="preserve">Ao indeferir, o juiz devolve o prazo para contestação </w:t>
      </w:r>
      <w:r w:rsidR="000F5FE3" w:rsidRPr="000F5FE3">
        <w:rPr>
          <w:rFonts w:ascii="Times New Roman" w:hAnsi="Times New Roman" w:cs="Times New Roman"/>
          <w:sz w:val="24"/>
          <w:szCs w:val="24"/>
        </w:rPr>
        <w:t>ao</w:t>
      </w:r>
      <w:r w:rsidR="00E37E3F" w:rsidRPr="000F5FE3">
        <w:rPr>
          <w:rFonts w:ascii="Times New Roman" w:hAnsi="Times New Roman" w:cs="Times New Roman"/>
          <w:sz w:val="24"/>
          <w:szCs w:val="24"/>
        </w:rPr>
        <w:t xml:space="preserve"> réu nomeante.</w:t>
      </w:r>
      <w:r w:rsidRPr="000F5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3ED" w:rsidRDefault="009863ED" w:rsidP="00B0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A08">
        <w:rPr>
          <w:rFonts w:ascii="Times New Roman" w:hAnsi="Times New Roman" w:cs="Times New Roman"/>
          <w:sz w:val="24"/>
          <w:szCs w:val="24"/>
        </w:rPr>
        <w:t>Pode ocor</w:t>
      </w:r>
      <w:r w:rsidR="00F90A08" w:rsidRPr="00F90A08">
        <w:rPr>
          <w:rFonts w:ascii="Times New Roman" w:hAnsi="Times New Roman" w:cs="Times New Roman"/>
          <w:sz w:val="24"/>
          <w:szCs w:val="24"/>
        </w:rPr>
        <w:t>rer também a recusa do nomeado, pois com a nomeação, ele irá tomar a posição de réu, sendo assim, poderá ele recusar essa qualidade. Essa recusa pode ser de forma tácita, quando não compar</w:t>
      </w:r>
      <w:r w:rsidR="00F86274">
        <w:rPr>
          <w:rFonts w:ascii="Times New Roman" w:hAnsi="Times New Roman" w:cs="Times New Roman"/>
          <w:sz w:val="24"/>
          <w:szCs w:val="24"/>
        </w:rPr>
        <w:t xml:space="preserve">ecer ou nada alegar, e expressa. </w:t>
      </w:r>
      <w:r w:rsidR="00F90A08" w:rsidRPr="00F90A08">
        <w:rPr>
          <w:rFonts w:ascii="Times New Roman" w:hAnsi="Times New Roman" w:cs="Times New Roman"/>
          <w:sz w:val="24"/>
          <w:szCs w:val="24"/>
        </w:rPr>
        <w:t xml:space="preserve">“Conforme o art. 67, quando o nomeado negar a qualidade que lhe é atribuída, assina-se novo prazo para o réu-nomeante </w:t>
      </w:r>
      <w:r w:rsidR="00F90A08" w:rsidRPr="00F90A08">
        <w:rPr>
          <w:rFonts w:ascii="Times New Roman" w:hAnsi="Times New Roman" w:cs="Times New Roman"/>
          <w:sz w:val="24"/>
          <w:szCs w:val="24"/>
        </w:rPr>
        <w:lastRenderedPageBreak/>
        <w:t>contestar. Isto é, fica sem efeito a nomeação, prosseguindo-se o processo como antes”</w:t>
      </w:r>
      <w:r w:rsidR="00F90A08">
        <w:rPr>
          <w:rFonts w:ascii="Times New Roman" w:hAnsi="Times New Roman" w:cs="Times New Roman"/>
          <w:sz w:val="24"/>
          <w:szCs w:val="24"/>
        </w:rPr>
        <w:t xml:space="preserve"> (</w:t>
      </w:r>
      <w:r w:rsidR="00F90A08" w:rsidRPr="00F90A08">
        <w:rPr>
          <w:rFonts w:ascii="Times New Roman" w:hAnsi="Times New Roman" w:cs="Times New Roman"/>
          <w:sz w:val="24"/>
          <w:szCs w:val="24"/>
        </w:rPr>
        <w:t>FUX, p. 7</w:t>
      </w:r>
      <w:r w:rsidR="002220DE" w:rsidRPr="00F90A08">
        <w:rPr>
          <w:rFonts w:ascii="Times New Roman" w:hAnsi="Times New Roman" w:cs="Times New Roman"/>
          <w:sz w:val="24"/>
          <w:szCs w:val="24"/>
        </w:rPr>
        <w:t>).</w:t>
      </w:r>
    </w:p>
    <w:p w:rsidR="00F90A08" w:rsidRDefault="00F90A08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com a recusa do nomeante, o nomeado poderá propor uma ação distinta contra ele, pois os efeitos da coisa julgada não se estendem ao outro nesse instituto. </w:t>
      </w:r>
    </w:p>
    <w:p w:rsidR="00F90A08" w:rsidRDefault="00F90A08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nomeação feita dentro do prazo, </w:t>
      </w:r>
      <w:r w:rsidR="002220DE">
        <w:rPr>
          <w:rFonts w:ascii="Times New Roman" w:hAnsi="Times New Roman" w:cs="Times New Roman"/>
          <w:sz w:val="24"/>
          <w:szCs w:val="24"/>
        </w:rPr>
        <w:t>e havendo</w:t>
      </w:r>
      <w:r>
        <w:rPr>
          <w:rFonts w:ascii="Times New Roman" w:hAnsi="Times New Roman" w:cs="Times New Roman"/>
          <w:sz w:val="24"/>
          <w:szCs w:val="24"/>
        </w:rPr>
        <w:t xml:space="preserve"> aceitação pelo autor e nomeado, substitui-se o polo passivo da relação processual pelo réu legitimo, </w:t>
      </w:r>
      <w:r w:rsidR="00E37E3F">
        <w:rPr>
          <w:rFonts w:ascii="Times New Roman" w:hAnsi="Times New Roman" w:cs="Times New Roman"/>
          <w:sz w:val="24"/>
          <w:szCs w:val="24"/>
        </w:rPr>
        <w:t>sendo expurgado</w:t>
      </w:r>
      <w:r>
        <w:rPr>
          <w:rFonts w:ascii="Times New Roman" w:hAnsi="Times New Roman" w:cs="Times New Roman"/>
          <w:sz w:val="24"/>
          <w:szCs w:val="24"/>
        </w:rPr>
        <w:t xml:space="preserve"> da relação o réu primitivo. </w:t>
      </w:r>
      <w:r w:rsidR="00F86274">
        <w:rPr>
          <w:rFonts w:ascii="Times New Roman" w:hAnsi="Times New Roman" w:cs="Times New Roman"/>
          <w:sz w:val="24"/>
          <w:szCs w:val="24"/>
        </w:rPr>
        <w:t xml:space="preserve">Mas isso não inviabiliza </w:t>
      </w:r>
      <w:r w:rsidR="002220DE">
        <w:rPr>
          <w:rFonts w:ascii="Times New Roman" w:hAnsi="Times New Roman" w:cs="Times New Roman"/>
          <w:sz w:val="24"/>
          <w:szCs w:val="24"/>
        </w:rPr>
        <w:t xml:space="preserve">que o detentor </w:t>
      </w:r>
      <w:r w:rsidR="00F86274">
        <w:rPr>
          <w:rFonts w:ascii="Times New Roman" w:hAnsi="Times New Roman" w:cs="Times New Roman"/>
          <w:sz w:val="24"/>
          <w:szCs w:val="24"/>
        </w:rPr>
        <w:t>possa assumir a posição de assistente de nomeado</w:t>
      </w:r>
      <w:r w:rsidR="00F8627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F86274">
        <w:rPr>
          <w:rFonts w:ascii="Times New Roman" w:hAnsi="Times New Roman" w:cs="Times New Roman"/>
          <w:sz w:val="24"/>
          <w:szCs w:val="24"/>
        </w:rPr>
        <w:t>.</w:t>
      </w:r>
    </w:p>
    <w:p w:rsidR="00DD4EAD" w:rsidRPr="00DE4065" w:rsidRDefault="00DE4065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065">
        <w:rPr>
          <w:rFonts w:ascii="Times New Roman" w:hAnsi="Times New Roman" w:cs="Times New Roman"/>
          <w:bCs/>
          <w:sz w:val="24"/>
          <w:szCs w:val="24"/>
        </w:rPr>
        <w:t xml:space="preserve">Destarte, conclui </w:t>
      </w:r>
      <w:r w:rsidR="002220DE">
        <w:rPr>
          <w:rFonts w:ascii="Times New Roman" w:hAnsi="Times New Roman" w:cs="Times New Roman"/>
          <w:bCs/>
          <w:sz w:val="24"/>
          <w:szCs w:val="24"/>
        </w:rPr>
        <w:t xml:space="preserve">Alexandre Freitas Câmara (2007) </w:t>
      </w:r>
      <w:r w:rsidRPr="00DE4065">
        <w:rPr>
          <w:rFonts w:ascii="Times New Roman" w:hAnsi="Times New Roman" w:cs="Times New Roman"/>
          <w:bCs/>
          <w:sz w:val="24"/>
          <w:szCs w:val="24"/>
        </w:rPr>
        <w:t>que “a</w:t>
      </w:r>
      <w:r w:rsidR="00DD4EAD" w:rsidRPr="00DE4065">
        <w:rPr>
          <w:rFonts w:ascii="Times New Roman" w:hAnsi="Times New Roman" w:cs="Times New Roman"/>
          <w:bCs/>
          <w:sz w:val="24"/>
          <w:szCs w:val="24"/>
        </w:rPr>
        <w:t xml:space="preserve">través da nomeação à autoria, o que se busca é ampliar a efetividade do processo, tornando possível a obtenção de resultados úteis que, certamente, não poderiam ser obtidos sem a modificação do </w:t>
      </w:r>
      <w:proofErr w:type="spellStart"/>
      <w:r w:rsidR="00DD4EAD" w:rsidRPr="00DE4065">
        <w:rPr>
          <w:rFonts w:ascii="Times New Roman" w:hAnsi="Times New Roman" w:cs="Times New Roman"/>
          <w:bCs/>
          <w:sz w:val="24"/>
          <w:szCs w:val="24"/>
        </w:rPr>
        <w:t>pólo</w:t>
      </w:r>
      <w:proofErr w:type="spellEnd"/>
      <w:r w:rsidR="00DD4EAD" w:rsidRPr="00DE4065">
        <w:rPr>
          <w:rFonts w:ascii="Times New Roman" w:hAnsi="Times New Roman" w:cs="Times New Roman"/>
          <w:bCs/>
          <w:sz w:val="24"/>
          <w:szCs w:val="24"/>
        </w:rPr>
        <w:t xml:space="preserve"> passivo da demanda</w:t>
      </w:r>
      <w:r w:rsidRPr="00DE4065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7C64D5" w:rsidRDefault="007C64D5" w:rsidP="00261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3D" w:rsidRPr="00684CC8" w:rsidRDefault="002611EE" w:rsidP="004C09F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CC8">
        <w:rPr>
          <w:rFonts w:ascii="Times New Roman" w:hAnsi="Times New Roman" w:cs="Times New Roman"/>
          <w:b/>
          <w:sz w:val="24"/>
          <w:szCs w:val="24"/>
        </w:rPr>
        <w:t xml:space="preserve">NOMEAÇÃO A AUTORIA NA AÇÃO REIVINDICATÓRIA CONTRA DETENDOR </w:t>
      </w:r>
    </w:p>
    <w:p w:rsidR="00DF331B" w:rsidRDefault="00DF331B" w:rsidP="00C737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31B" w:rsidRDefault="005A346D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abordado, a nomeação a autoria é a correção do polo passivo da demanda em circunstâncias especiais. Dentre elas</w:t>
      </w:r>
      <w:r w:rsidR="00E37E3F">
        <w:rPr>
          <w:rFonts w:ascii="Times New Roman" w:hAnsi="Times New Roman" w:cs="Times New Roman"/>
          <w:sz w:val="24"/>
          <w:szCs w:val="24"/>
        </w:rPr>
        <w:t>, a de mero executor e mero detentor.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46D">
        <w:rPr>
          <w:rFonts w:ascii="Times New Roman" w:hAnsi="Times New Roman" w:cs="Times New Roman"/>
          <w:sz w:val="24"/>
          <w:szCs w:val="24"/>
        </w:rPr>
        <w:t>O Código Civil de 1916, instituiu poderes ao proprietário de reaver bens de quem quer que injustamente os possu</w:t>
      </w:r>
      <w:r w:rsidR="00DF331B">
        <w:rPr>
          <w:rFonts w:ascii="Times New Roman" w:hAnsi="Times New Roman" w:cs="Times New Roman"/>
          <w:sz w:val="24"/>
          <w:szCs w:val="24"/>
        </w:rPr>
        <w:t>a, cabendo ação reivindicatória, na qual pode ocorrer erro do demandante em citar um réu ilegítimo, no caso, o detentor e não o possuidor.</w:t>
      </w:r>
      <w:r w:rsidR="0056546D">
        <w:rPr>
          <w:rFonts w:ascii="Times New Roman" w:hAnsi="Times New Roman" w:cs="Times New Roman"/>
          <w:sz w:val="24"/>
          <w:szCs w:val="24"/>
        </w:rPr>
        <w:t xml:space="preserve"> </w:t>
      </w:r>
      <w:r w:rsidR="00DF331B" w:rsidRPr="00BB1ACE">
        <w:rPr>
          <w:rFonts w:ascii="Times New Roman" w:hAnsi="Times New Roman" w:cs="Times New Roman"/>
          <w:sz w:val="24"/>
          <w:szCs w:val="24"/>
        </w:rPr>
        <w:t xml:space="preserve">Diante disso, de acordo com o que dispõe </w:t>
      </w:r>
      <w:r w:rsidR="00DF331B">
        <w:rPr>
          <w:rFonts w:ascii="Times New Roman" w:hAnsi="Times New Roman" w:cs="Times New Roman"/>
          <w:sz w:val="24"/>
          <w:szCs w:val="24"/>
        </w:rPr>
        <w:t xml:space="preserve">o art. 62, aquele que detiver a coisa em nome alheio e sendo ele demandado em nome próprio, deverá este nomear </w:t>
      </w:r>
      <w:r w:rsidR="001262B4">
        <w:rPr>
          <w:rFonts w:ascii="Times New Roman" w:hAnsi="Times New Roman" w:cs="Times New Roman"/>
          <w:sz w:val="24"/>
          <w:szCs w:val="24"/>
        </w:rPr>
        <w:t>a</w:t>
      </w:r>
      <w:r w:rsidR="00DF331B">
        <w:rPr>
          <w:rFonts w:ascii="Times New Roman" w:hAnsi="Times New Roman" w:cs="Times New Roman"/>
          <w:sz w:val="24"/>
          <w:szCs w:val="24"/>
        </w:rPr>
        <w:t xml:space="preserve"> autoria o proprietário ou o possuidor. </w:t>
      </w:r>
    </w:p>
    <w:p w:rsidR="00C7373D" w:rsidRDefault="00C7373D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detenção “diz respeito a uma situação fática muito semelhante à da posse, devido o contato físico com a coisa, porém está, fica descaracterizada enquanto posse, pois em relação ao verdadeiro possuidor ou proprietário, exista relação de subordinação” (WAMBIER, p.263</w:t>
      </w:r>
      <w:r w:rsidR="001262B4">
        <w:rPr>
          <w:rFonts w:ascii="Times New Roman" w:hAnsi="Times New Roman" w:cs="Times New Roman"/>
          <w:sz w:val="24"/>
          <w:szCs w:val="24"/>
        </w:rPr>
        <w:t>).</w:t>
      </w:r>
      <w:r w:rsidR="004B5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CB6" w:rsidRDefault="00A83CB6" w:rsidP="00A83CB6">
      <w:pPr>
        <w:pStyle w:val="Default"/>
      </w:pPr>
    </w:p>
    <w:p w:rsidR="00A83CB6" w:rsidRDefault="00A83CB6" w:rsidP="00BB1ACE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BB1ACE">
        <w:t>“</w:t>
      </w:r>
      <w:r w:rsidRPr="00BB1ACE">
        <w:rPr>
          <w:rFonts w:ascii="Times New Roman" w:hAnsi="Times New Roman" w:cs="Times New Roman"/>
          <w:sz w:val="20"/>
          <w:szCs w:val="20"/>
        </w:rPr>
        <w:t xml:space="preserve">A essência do instituto da nomeação à autoria, ou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laudatio</w:t>
      </w:r>
      <w:proofErr w:type="spellEnd"/>
      <w:r w:rsidRPr="00BB1A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actoris</w:t>
      </w:r>
      <w:proofErr w:type="spellEnd"/>
      <w:r w:rsidRPr="00BB1ACE">
        <w:rPr>
          <w:rFonts w:ascii="Times New Roman" w:hAnsi="Times New Roman" w:cs="Times New Roman"/>
          <w:sz w:val="20"/>
          <w:szCs w:val="20"/>
        </w:rPr>
        <w:t xml:space="preserve">, sempre foi essa, historicamente. Em Roma, a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nominato</w:t>
      </w:r>
      <w:proofErr w:type="spellEnd"/>
      <w:r w:rsidRPr="00BB1A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actoris</w:t>
      </w:r>
      <w:proofErr w:type="spellEnd"/>
      <w:r w:rsidRPr="00BB1A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B1ACE">
        <w:rPr>
          <w:rFonts w:ascii="Times New Roman" w:hAnsi="Times New Roman" w:cs="Times New Roman"/>
          <w:sz w:val="20"/>
          <w:szCs w:val="20"/>
        </w:rPr>
        <w:t xml:space="preserve">nasceu em função da oponibilidade </w:t>
      </w:r>
      <w:r w:rsidRPr="00BB1ACE">
        <w:rPr>
          <w:rFonts w:ascii="Times New Roman" w:hAnsi="Times New Roman" w:cs="Times New Roman"/>
          <w:iCs/>
          <w:sz w:val="20"/>
          <w:szCs w:val="20"/>
        </w:rPr>
        <w:t xml:space="preserve">erga omnes </w:t>
      </w:r>
      <w:r w:rsidRPr="00BB1ACE">
        <w:rPr>
          <w:rFonts w:ascii="Times New Roman" w:hAnsi="Times New Roman" w:cs="Times New Roman"/>
          <w:sz w:val="20"/>
          <w:szCs w:val="20"/>
        </w:rPr>
        <w:t xml:space="preserve">do direito do proprietário de reivindicar o imóvel de </w:t>
      </w:r>
      <w:proofErr w:type="gramStart"/>
      <w:r w:rsidRPr="00BB1ACE">
        <w:rPr>
          <w:rFonts w:ascii="Times New Roman" w:hAnsi="Times New Roman" w:cs="Times New Roman"/>
          <w:sz w:val="20"/>
          <w:szCs w:val="20"/>
        </w:rPr>
        <w:t>quem,</w:t>
      </w:r>
      <w:proofErr w:type="gramEnd"/>
      <w:r w:rsidRPr="00BB1ACE">
        <w:rPr>
          <w:rFonts w:ascii="Times New Roman" w:hAnsi="Times New Roman" w:cs="Times New Roman"/>
          <w:sz w:val="20"/>
          <w:szCs w:val="20"/>
        </w:rPr>
        <w:t xml:space="preserve">de fato, impedia o exercício do domínio. Em razão do seu direito real,poderia ele propor a ação contra quem obstasse ao seu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ius</w:t>
      </w:r>
      <w:proofErr w:type="spellEnd"/>
      <w:r w:rsidRPr="00BB1A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1ACE">
        <w:rPr>
          <w:rFonts w:ascii="Times New Roman" w:hAnsi="Times New Roman" w:cs="Times New Roman"/>
          <w:iCs/>
          <w:sz w:val="20"/>
          <w:szCs w:val="20"/>
        </w:rPr>
        <w:t>domini</w:t>
      </w:r>
      <w:proofErr w:type="spellEnd"/>
      <w:r w:rsidRPr="00BB1ACE">
        <w:rPr>
          <w:rFonts w:ascii="Times New Roman" w:hAnsi="Times New Roman" w:cs="Times New Roman"/>
          <w:sz w:val="20"/>
          <w:szCs w:val="20"/>
        </w:rPr>
        <w:t>, não necessitando indagar se o injusto apossamento tinha, como autor, o detentor ou possuidor. Após a propositura da ação e citado o detentor, cabia a este,e não ao reivindicante, trazer ao processo o verdadeiro possuidor. O servidor da posse convocava ao processo o real titular, obviando, assim, que a decisão solicitada ao Judiciário recaísse sobre a pessoa errada. Assim também ocorre hodiernamente.</w:t>
      </w:r>
      <w:r w:rsidR="00BB1ACE">
        <w:rPr>
          <w:rFonts w:ascii="Times New Roman" w:hAnsi="Times New Roman" w:cs="Times New Roman"/>
          <w:sz w:val="20"/>
          <w:szCs w:val="20"/>
        </w:rPr>
        <w:t>” ( FUX, Luiz)</w:t>
      </w:r>
    </w:p>
    <w:p w:rsidR="00BB1ACE" w:rsidRDefault="00BB1ACE" w:rsidP="00BB1ACE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1ACE" w:rsidRDefault="00BB1ACE" w:rsidP="00BB1A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1EE" w:rsidRDefault="00BB1ACE" w:rsidP="00DF33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220DE">
        <w:rPr>
          <w:rFonts w:ascii="Times New Roman" w:hAnsi="Times New Roman" w:cs="Times New Roman"/>
          <w:sz w:val="24"/>
          <w:szCs w:val="24"/>
        </w:rPr>
        <w:t>Entende assim que</w:t>
      </w:r>
      <w:r>
        <w:rPr>
          <w:rFonts w:ascii="Times New Roman" w:hAnsi="Times New Roman" w:cs="Times New Roman"/>
          <w:sz w:val="24"/>
          <w:szCs w:val="24"/>
        </w:rPr>
        <w:t xml:space="preserve"> como o detentor </w:t>
      </w:r>
      <w:r w:rsidR="00604108">
        <w:rPr>
          <w:rFonts w:ascii="Times New Roman" w:hAnsi="Times New Roman" w:cs="Times New Roman"/>
          <w:sz w:val="24"/>
          <w:szCs w:val="24"/>
        </w:rPr>
        <w:t>não tem posse</w:t>
      </w:r>
      <w:r w:rsidR="002867B5">
        <w:rPr>
          <w:rFonts w:ascii="Times New Roman" w:hAnsi="Times New Roman" w:cs="Times New Roman"/>
          <w:sz w:val="24"/>
          <w:szCs w:val="24"/>
        </w:rPr>
        <w:t>, apenas conservando a</w:t>
      </w:r>
      <w:r w:rsidR="001262B4">
        <w:rPr>
          <w:rFonts w:ascii="Times New Roman" w:hAnsi="Times New Roman" w:cs="Times New Roman"/>
          <w:sz w:val="24"/>
          <w:szCs w:val="24"/>
        </w:rPr>
        <w:t xml:space="preserve"> coisa</w:t>
      </w:r>
      <w:r w:rsidR="002867B5">
        <w:rPr>
          <w:rFonts w:ascii="Times New Roman" w:hAnsi="Times New Roman" w:cs="Times New Roman"/>
          <w:sz w:val="24"/>
          <w:szCs w:val="24"/>
        </w:rPr>
        <w:t xml:space="preserve"> alheia devido à relação de dependência</w:t>
      </w:r>
      <w:r w:rsidR="0056546D">
        <w:rPr>
          <w:rFonts w:ascii="Times New Roman" w:hAnsi="Times New Roman" w:cs="Times New Roman"/>
          <w:sz w:val="24"/>
          <w:szCs w:val="24"/>
        </w:rPr>
        <w:t xml:space="preserve"> ou subordinação</w:t>
      </w:r>
      <w:r w:rsidR="002867B5">
        <w:rPr>
          <w:rFonts w:ascii="Times New Roman" w:hAnsi="Times New Roman" w:cs="Times New Roman"/>
          <w:sz w:val="24"/>
          <w:szCs w:val="24"/>
        </w:rPr>
        <w:t xml:space="preserve">, </w:t>
      </w:r>
      <w:r w:rsidR="002220DE">
        <w:rPr>
          <w:rFonts w:ascii="Times New Roman" w:hAnsi="Times New Roman" w:cs="Times New Roman"/>
          <w:sz w:val="24"/>
          <w:szCs w:val="24"/>
        </w:rPr>
        <w:t xml:space="preserve">ele </w:t>
      </w:r>
      <w:r w:rsidR="002867B5">
        <w:rPr>
          <w:rFonts w:ascii="Times New Roman" w:hAnsi="Times New Roman" w:cs="Times New Roman"/>
          <w:sz w:val="24"/>
          <w:szCs w:val="24"/>
        </w:rPr>
        <w:t xml:space="preserve">não possui legitimidade para figurar o polo passivo da ação real. </w:t>
      </w:r>
      <w:r w:rsidR="001262B4">
        <w:rPr>
          <w:rFonts w:ascii="Times New Roman" w:hAnsi="Times New Roman" w:cs="Times New Roman"/>
          <w:sz w:val="24"/>
          <w:szCs w:val="24"/>
        </w:rPr>
        <w:t xml:space="preserve">O detentor tem a </w:t>
      </w:r>
      <w:r w:rsidR="0056546D">
        <w:rPr>
          <w:rFonts w:ascii="Times New Roman" w:hAnsi="Times New Roman" w:cs="Times New Roman"/>
          <w:sz w:val="24"/>
          <w:szCs w:val="24"/>
        </w:rPr>
        <w:t xml:space="preserve">obrigação de corrigir a ilegitimidade, visto que </w:t>
      </w:r>
      <w:r w:rsidR="004B5644">
        <w:rPr>
          <w:rFonts w:ascii="Times New Roman" w:hAnsi="Times New Roman" w:cs="Times New Roman"/>
          <w:sz w:val="24"/>
          <w:szCs w:val="24"/>
        </w:rPr>
        <w:t xml:space="preserve">é dispensável ao reivindicante </w:t>
      </w:r>
      <w:r w:rsidR="001262B4">
        <w:rPr>
          <w:rFonts w:ascii="Times New Roman" w:hAnsi="Times New Roman" w:cs="Times New Roman"/>
          <w:sz w:val="24"/>
          <w:szCs w:val="24"/>
        </w:rPr>
        <w:t>a investigação a fundo de quem</w:t>
      </w:r>
      <w:r w:rsidR="004B5644">
        <w:rPr>
          <w:rFonts w:ascii="Times New Roman" w:hAnsi="Times New Roman" w:cs="Times New Roman"/>
          <w:sz w:val="24"/>
          <w:szCs w:val="24"/>
        </w:rPr>
        <w:t xml:space="preserve"> de fato está exercendo a</w:t>
      </w:r>
      <w:r w:rsidR="004E7ADC">
        <w:rPr>
          <w:rFonts w:ascii="Times New Roman" w:hAnsi="Times New Roman" w:cs="Times New Roman"/>
          <w:sz w:val="24"/>
          <w:szCs w:val="24"/>
        </w:rPr>
        <w:t xml:space="preserve"> posição de possuidor da coisa.</w:t>
      </w:r>
    </w:p>
    <w:p w:rsidR="001262B4" w:rsidRPr="00DF331B" w:rsidRDefault="001262B4" w:rsidP="00DF33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11B" w:rsidRDefault="002611EE" w:rsidP="002211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CC8">
        <w:rPr>
          <w:rFonts w:ascii="Times New Roman" w:hAnsi="Times New Roman" w:cs="Times New Roman"/>
          <w:b/>
          <w:sz w:val="24"/>
          <w:szCs w:val="24"/>
        </w:rPr>
        <w:t xml:space="preserve">LEGITIMIDADE PASSIVA AO DETENDOR, DE ACORDO COM O NOVO CÓDIGICO CIVIL ART. 1.228 </w:t>
      </w:r>
      <w:r w:rsidR="00F86274" w:rsidRPr="00684CC8">
        <w:rPr>
          <w:rFonts w:ascii="Times New Roman" w:hAnsi="Times New Roman" w:cs="Times New Roman"/>
          <w:b/>
          <w:sz w:val="24"/>
          <w:szCs w:val="24"/>
        </w:rPr>
        <w:t xml:space="preserve">E O CONFLITO COM O ART. 62 DO CPC </w:t>
      </w:r>
      <w:r w:rsidRPr="00684CC8">
        <w:rPr>
          <w:rFonts w:ascii="Times New Roman" w:hAnsi="Times New Roman" w:cs="Times New Roman"/>
          <w:b/>
          <w:sz w:val="24"/>
          <w:szCs w:val="24"/>
        </w:rPr>
        <w:t xml:space="preserve">– PROPOSTAS DE INTERPRETAÇÃO. </w:t>
      </w:r>
    </w:p>
    <w:p w:rsidR="0022111B" w:rsidRDefault="0022111B" w:rsidP="00221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11B" w:rsidRDefault="00362105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0EE6" w:rsidRPr="0022111B">
        <w:rPr>
          <w:rFonts w:ascii="Times New Roman" w:hAnsi="Times New Roman" w:cs="Times New Roman"/>
          <w:sz w:val="24"/>
          <w:szCs w:val="24"/>
        </w:rPr>
        <w:t>O atual código Civil alterou o caput do art. 1.228, do direito de reivindicação pertencente ao proprietário, trazendo uma nova leitura: “o direito de reavê-la do poder de quem quer que injustamente a possua ou detenha.</w:t>
      </w:r>
      <w:r w:rsidR="002220DE" w:rsidRPr="0022111B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032D54" w:rsidRPr="0022111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C50EE6" w:rsidRPr="0022111B" w:rsidRDefault="00362105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0DE"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C50EE6">
        <w:rPr>
          <w:rFonts w:ascii="Times New Roman" w:hAnsi="Times New Roman" w:cs="Times New Roman"/>
          <w:sz w:val="24"/>
          <w:szCs w:val="24"/>
        </w:rPr>
        <w:t xml:space="preserve">a literalidade da atual norma de direito material, chegou-se a conclusão de que o art. 62 do Código de Processo Civil teria sido revogado, já que teria conferido ao detentor, além do possuidor, a legitimidade passiva para ação reivindicatória. (THEODORO JR, p.137) </w:t>
      </w:r>
      <w:r w:rsidR="002220DE">
        <w:rPr>
          <w:rFonts w:ascii="Times New Roman" w:hAnsi="Times New Roman" w:cs="Times New Roman"/>
          <w:sz w:val="24"/>
          <w:szCs w:val="24"/>
        </w:rPr>
        <w:t>Nessa proposição</w:t>
      </w:r>
      <w:r w:rsidR="00C50EE6">
        <w:rPr>
          <w:rFonts w:ascii="Times New Roman" w:hAnsi="Times New Roman" w:cs="Times New Roman"/>
          <w:sz w:val="24"/>
          <w:szCs w:val="24"/>
        </w:rPr>
        <w:t>, não haveria mais o caso de nomeação a autoria na hipótese de detentor</w:t>
      </w:r>
      <w:r w:rsidR="009A64F9">
        <w:rPr>
          <w:rFonts w:ascii="Times New Roman" w:hAnsi="Times New Roman" w:cs="Times New Roman"/>
          <w:sz w:val="24"/>
          <w:szCs w:val="24"/>
        </w:rPr>
        <w:t xml:space="preserve"> (art. 62 CPC)</w:t>
      </w:r>
      <w:r w:rsidR="00C50EE6">
        <w:rPr>
          <w:rFonts w:ascii="Times New Roman" w:hAnsi="Times New Roman" w:cs="Times New Roman"/>
          <w:sz w:val="24"/>
          <w:szCs w:val="24"/>
        </w:rPr>
        <w:t xml:space="preserve">, pois este não figuraria como ilegítimo, não sendo necessária a correção do polo passivo com a indicação do possuidor ou proprietário, já que este teria adquirido legitimidade </w:t>
      </w:r>
      <w:r w:rsidR="00C50EE6" w:rsidRPr="00C50EE6">
        <w:rPr>
          <w:rFonts w:ascii="Times New Roman" w:hAnsi="Times New Roman" w:cs="Times New Roman"/>
          <w:i/>
          <w:sz w:val="24"/>
          <w:szCs w:val="24"/>
        </w:rPr>
        <w:t>ad causam.</w:t>
      </w:r>
    </w:p>
    <w:p w:rsidR="00C10D39" w:rsidRPr="00C10D39" w:rsidRDefault="00362105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0DE">
        <w:rPr>
          <w:rFonts w:ascii="Times New Roman" w:hAnsi="Times New Roman" w:cs="Times New Roman"/>
          <w:sz w:val="24"/>
          <w:szCs w:val="24"/>
        </w:rPr>
        <w:t>Assim, de acordo com Theodoro (2007)</w:t>
      </w:r>
      <w:r w:rsidR="00C10D39">
        <w:rPr>
          <w:rFonts w:ascii="Times New Roman" w:hAnsi="Times New Roman" w:cs="Times New Roman"/>
          <w:sz w:val="24"/>
          <w:szCs w:val="24"/>
        </w:rPr>
        <w:t xml:space="preserve">, </w:t>
      </w:r>
      <w:r w:rsidR="00EC6C11">
        <w:rPr>
          <w:rFonts w:ascii="Times New Roman" w:hAnsi="Times New Roman" w:cs="Times New Roman"/>
          <w:sz w:val="24"/>
          <w:szCs w:val="24"/>
        </w:rPr>
        <w:t>“</w:t>
      </w:r>
      <w:r w:rsidR="00C10D39">
        <w:rPr>
          <w:rFonts w:ascii="Times New Roman" w:hAnsi="Times New Roman" w:cs="Times New Roman"/>
          <w:sz w:val="24"/>
          <w:szCs w:val="24"/>
        </w:rPr>
        <w:t>para que houvesse o reconhecimento do detentor, que não é o titular do direito em disputa, pudesse defendê-lo em nome próprio</w:t>
      </w:r>
      <w:r w:rsidR="00EC6C11">
        <w:rPr>
          <w:rFonts w:ascii="Times New Roman" w:hAnsi="Times New Roman" w:cs="Times New Roman"/>
          <w:sz w:val="24"/>
          <w:szCs w:val="24"/>
        </w:rPr>
        <w:t>, ter-se-ia que lhe conferir os poderes de substituto processual, entretanto, esta é excepcionalissima e somente pode ocorrer em hipóteses expressas autorizadas por lei.</w:t>
      </w:r>
      <w:proofErr w:type="gramStart"/>
      <w:r w:rsidR="00EC6C11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9A64F9" w:rsidRPr="006D2FAA" w:rsidRDefault="00362105" w:rsidP="0022111B">
      <w:pPr>
        <w:pStyle w:val="NormalWeb"/>
        <w:spacing w:before="0" w:beforeAutospacing="0" w:after="0" w:afterAutospacing="0" w:line="360" w:lineRule="auto"/>
        <w:ind w:firstLine="360"/>
        <w:jc w:val="both"/>
      </w:pPr>
      <w:r>
        <w:tab/>
      </w:r>
      <w:r w:rsidR="009A64F9" w:rsidRPr="006D2FAA">
        <w:t xml:space="preserve">De acordo com a Lei de Introdução do Código Civil, art. 2º, parágrafo segundo, </w:t>
      </w:r>
      <w:r w:rsidR="006D2FAA" w:rsidRPr="006D2FAA">
        <w:t>“</w:t>
      </w:r>
      <w:r w:rsidR="009A64F9" w:rsidRPr="006D2FAA">
        <w:rPr>
          <w:bCs/>
        </w:rPr>
        <w:t>a lei nova que estabeleça disposições gerais ou especiais a par das já existentes, não revoga nem modifica a lei anterior</w:t>
      </w:r>
      <w:r w:rsidR="006D2FAA" w:rsidRPr="006D2FAA">
        <w:rPr>
          <w:bCs/>
        </w:rPr>
        <w:t xml:space="preserve">”. </w:t>
      </w:r>
      <w:r w:rsidR="002220DE">
        <w:rPr>
          <w:bCs/>
        </w:rPr>
        <w:t>Logo</w:t>
      </w:r>
      <w:r w:rsidR="006D2FAA" w:rsidRPr="006D2FAA">
        <w:rPr>
          <w:bCs/>
        </w:rPr>
        <w:t>, a</w:t>
      </w:r>
      <w:r w:rsidR="009A64F9" w:rsidRPr="006D2FAA">
        <w:t xml:space="preserve"> norma geral não revoga a especial assim como a especial não revoga a geral, podendo ambas </w:t>
      </w:r>
      <w:r w:rsidR="002220DE" w:rsidRPr="006D2FAA">
        <w:t>reger</w:t>
      </w:r>
      <w:r w:rsidR="009A64F9" w:rsidRPr="006D2FAA">
        <w:t xml:space="preserve"> a mesma matéria contanto que não haja choque entre elas</w:t>
      </w:r>
      <w:r w:rsidR="006D2FAA">
        <w:t>.</w:t>
      </w:r>
      <w:r w:rsidR="006D2FAA" w:rsidRPr="006D2FAA">
        <w:t xml:space="preserve"> Havendo choque, irá se resolver o conflito de acordo com as resoluções de antinomias. </w:t>
      </w:r>
    </w:p>
    <w:p w:rsidR="006D2FAA" w:rsidRDefault="00362105" w:rsidP="00221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FAA">
        <w:rPr>
          <w:rFonts w:ascii="Times New Roman" w:hAnsi="Times New Roman" w:cs="Times New Roman"/>
          <w:sz w:val="24"/>
          <w:szCs w:val="24"/>
        </w:rPr>
        <w:t xml:space="preserve">Sendo assim, o seguinte conflito trata-se uma antinomia aparente. Visto que não há hierarquia entre o Código Civil e o Código de Processo Civil, já que um trata de direito material e o outro é um instrumento para que se alcance esse dinheiro, não há que se falar em </w:t>
      </w:r>
      <w:r w:rsidR="006D2FAA">
        <w:rPr>
          <w:rFonts w:ascii="Times New Roman" w:hAnsi="Times New Roman" w:cs="Times New Roman"/>
          <w:sz w:val="24"/>
          <w:szCs w:val="24"/>
        </w:rPr>
        <w:lastRenderedPageBreak/>
        <w:t xml:space="preserve">resolução pelo critério de hierarquia. Quanto a temporalidade da norma, a LICC já estabeleceu que a lei nova não </w:t>
      </w:r>
      <w:proofErr w:type="gramStart"/>
      <w:r w:rsidR="006D2FAA">
        <w:rPr>
          <w:rFonts w:ascii="Times New Roman" w:hAnsi="Times New Roman" w:cs="Times New Roman"/>
          <w:sz w:val="24"/>
          <w:szCs w:val="24"/>
        </w:rPr>
        <w:t>revoga</w:t>
      </w:r>
      <w:proofErr w:type="gramEnd"/>
      <w:r w:rsidR="006D2FAA">
        <w:rPr>
          <w:rFonts w:ascii="Times New Roman" w:hAnsi="Times New Roman" w:cs="Times New Roman"/>
          <w:sz w:val="24"/>
          <w:szCs w:val="24"/>
        </w:rPr>
        <w:t xml:space="preserve"> a lei anterior</w:t>
      </w:r>
      <w:r w:rsidR="00B26F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483A" w:rsidRDefault="006D2FAA" w:rsidP="00C10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Logo, no que toca a legitimação para agir, o art. 62 do CPC tem cunho eminentemente especial em relação ao art. 1228 do Código Civil, sendo resolvida, então, pelo critério de especialidade. </w:t>
      </w:r>
      <w:r w:rsidR="00B26F3C">
        <w:rPr>
          <w:rFonts w:ascii="Times New Roman" w:hAnsi="Times New Roman" w:cs="Times New Roman"/>
          <w:sz w:val="24"/>
          <w:szCs w:val="24"/>
        </w:rPr>
        <w:t xml:space="preserve">Dessa maneira, enfatiza-se </w:t>
      </w:r>
      <w:r w:rsidR="00040019">
        <w:rPr>
          <w:rFonts w:ascii="Times New Roman" w:hAnsi="Times New Roman" w:cs="Times New Roman"/>
          <w:sz w:val="24"/>
          <w:szCs w:val="24"/>
        </w:rPr>
        <w:t>“</w:t>
      </w:r>
      <w:r w:rsidR="00B26F3C">
        <w:rPr>
          <w:rFonts w:ascii="Times New Roman" w:hAnsi="Times New Roman" w:cs="Times New Roman"/>
          <w:sz w:val="24"/>
          <w:szCs w:val="24"/>
        </w:rPr>
        <w:t xml:space="preserve">que </w:t>
      </w:r>
      <w:r w:rsidR="0004001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‘</w:t>
      </w:r>
      <w:proofErr w:type="spellStart"/>
      <w:proofErr w:type="gramStart"/>
      <w:r w:rsid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</w:t>
      </w:r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</w:t>
      </w:r>
      <w:proofErr w:type="spellEnd"/>
      <w:proofErr w:type="gram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posterior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generalis</w:t>
      </w:r>
      <w:proofErr w:type="spell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non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derogat</w:t>
      </w:r>
      <w:proofErr w:type="spell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speciali</w:t>
      </w:r>
      <w:proofErr w:type="spellEnd"/>
      <w:r w:rsidR="0004001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’</w:t>
      </w:r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="0004001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‘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legi</w:t>
      </w:r>
      <w:proofErr w:type="spell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speciali</w:t>
      </w:r>
      <w:proofErr w:type="spell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per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generalem</w:t>
      </w:r>
      <w:proofErr w:type="spellEnd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non </w:t>
      </w:r>
      <w:proofErr w:type="spellStart"/>
      <w:r w:rsidR="00B26F3C" w:rsidRPr="00B26F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abrogatur</w:t>
      </w:r>
      <w:proofErr w:type="spellEnd"/>
      <w:r w:rsidR="000400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’</w:t>
      </w:r>
      <w:r w:rsidR="00B26F3C" w:rsidRPr="00B26F3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a norma geral não revoga a especial, nem a nova especial revoga a geral, podendo c</w:t>
      </w:r>
      <w:r w:rsidR="00C10D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om ela coexistir.</w:t>
      </w:r>
      <w:r w:rsidR="000400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” (DINIZ, 1994)</w:t>
      </w:r>
      <w:r w:rsidR="00C10D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1483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Há necessidade, então, de uma interpretação que coloque em </w:t>
      </w:r>
      <w:r w:rsidR="00BE765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harmonização</w:t>
      </w:r>
      <w:r w:rsidR="0061483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10D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ambas as</w:t>
      </w:r>
      <w:r w:rsidR="0061483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regras, material e instrumental. </w:t>
      </w:r>
    </w:p>
    <w:p w:rsidR="00DD4EAD" w:rsidRDefault="00EC6C11" w:rsidP="002211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acordo com a interpretação doutrinária de Theodoro Jr, a autorização da presença do detentor na reivindicação não irá dispensar a nomeação à autoria ao respectivo possuidor. Não há lei que confere ao mero detentor o poder de ser titular dos direitos de propriedade ou posse, nem de forma representada.</w:t>
      </w:r>
    </w:p>
    <w:p w:rsidR="00EC6C11" w:rsidRDefault="00DD4EAD" w:rsidP="002211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F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Para Alexandre Freitas Câmara (apud DIDIER</w:t>
      </w:r>
      <w:r w:rsidR="002220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2012</w:t>
      </w:r>
      <w:r w:rsidRPr="00A85F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), a cláusula “ou detenha”, deve ser considerada como </w:t>
      </w:r>
      <w:r w:rsidR="00BE7651" w:rsidRPr="00A85F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não escrita</w:t>
      </w:r>
      <w:r w:rsidRPr="00A85F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por ferir o devido processo legal, pois a sentença contra </w:t>
      </w:r>
      <w:r w:rsidR="00A85F91" w:rsidRPr="00A85F91">
        <w:rPr>
          <w:rFonts w:ascii="Times New Roman" w:hAnsi="Times New Roman" w:cs="Times New Roman"/>
          <w:sz w:val="24"/>
          <w:szCs w:val="24"/>
        </w:rPr>
        <w:t xml:space="preserve">o detentor seria inútil, porque não atingiria o dono ou possuidor, já que não participou do processo e certamente poderia vir a ajuizar embargos de terceiros para se </w:t>
      </w:r>
      <w:r w:rsidR="00DE4065" w:rsidRPr="00A85F91">
        <w:rPr>
          <w:rFonts w:ascii="Times New Roman" w:hAnsi="Times New Roman" w:cs="Times New Roman"/>
          <w:sz w:val="24"/>
          <w:szCs w:val="24"/>
        </w:rPr>
        <w:t>contrapuser</w:t>
      </w:r>
      <w:r w:rsidR="00A85F91" w:rsidRPr="00A85F91">
        <w:rPr>
          <w:rFonts w:ascii="Times New Roman" w:hAnsi="Times New Roman" w:cs="Times New Roman"/>
          <w:sz w:val="24"/>
          <w:szCs w:val="24"/>
        </w:rPr>
        <w:t xml:space="preserve"> a qualquer tentativa judicial de efetivação de sentença.</w:t>
      </w:r>
    </w:p>
    <w:p w:rsidR="00A85F91" w:rsidRDefault="00A85F91" w:rsidP="00C10D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Afirma </w:t>
      </w:r>
      <w:proofErr w:type="spellStart"/>
      <w:r w:rsidR="002220DE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="002220DE">
        <w:rPr>
          <w:rFonts w:ascii="Times New Roman" w:hAnsi="Times New Roman" w:cs="Times New Roman"/>
          <w:sz w:val="24"/>
          <w:szCs w:val="24"/>
        </w:rPr>
        <w:t xml:space="preserve"> Didier (2012)</w:t>
      </w:r>
      <w:r>
        <w:rPr>
          <w:rFonts w:ascii="Times New Roman" w:hAnsi="Times New Roman" w:cs="Times New Roman"/>
          <w:sz w:val="24"/>
          <w:szCs w:val="24"/>
        </w:rPr>
        <w:t xml:space="preserve">, que seria irrazoável permitir ao subordinado defender em juízo os interesses de seu patrão, que, a princípio, dispões de melhores condições para isso. Além do mais, não se trata de uma legitimação extraordinária, pois esta só é admitida quando se tratar de mecanismo destinado à tutela do interesse deste, ante a inércia do substituto, o que não é o caso. </w:t>
      </w:r>
      <w:r w:rsidR="00BE7651">
        <w:rPr>
          <w:rFonts w:ascii="Times New Roman" w:hAnsi="Times New Roman" w:cs="Times New Roman"/>
          <w:sz w:val="24"/>
          <w:szCs w:val="24"/>
        </w:rPr>
        <w:t xml:space="preserve">Sendo ainda dever </w:t>
      </w:r>
      <w:r w:rsidR="00DE4065">
        <w:rPr>
          <w:rFonts w:ascii="Times New Roman" w:hAnsi="Times New Roman" w:cs="Times New Roman"/>
          <w:sz w:val="24"/>
          <w:szCs w:val="24"/>
        </w:rPr>
        <w:t>de o detentor nomear</w:t>
      </w:r>
      <w:r w:rsidR="00BE7651">
        <w:rPr>
          <w:rFonts w:ascii="Times New Roman" w:hAnsi="Times New Roman" w:cs="Times New Roman"/>
          <w:sz w:val="24"/>
          <w:szCs w:val="24"/>
        </w:rPr>
        <w:t xml:space="preserve"> a autoria do verdadeiro possuidor. </w:t>
      </w:r>
    </w:p>
    <w:p w:rsidR="00BE7651" w:rsidRDefault="00440593" w:rsidP="00A567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Por fim, Humberto Theodoro</w:t>
      </w:r>
      <w:r w:rsidR="002220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(2007)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propõe uma saída conciliatória para o problema. </w:t>
      </w:r>
      <w:r w:rsidR="00B3379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Inicialmente, 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alienta-se que somente com a presença </w:t>
      </w:r>
      <w:r w:rsidR="00B3379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do real possuidor ou dono é que se configura 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devido processo legal assegurado pela ordem constitucional</w:t>
      </w:r>
      <w:r w:rsidR="00B3379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. Por conseguinte, quando a nova leitura do art. 1228 do CC, trás a cláusula o termo “ou detenha”, não está autorizando a possibilidade legitima de ocupação do detentor no polo passivo, mas prevendo que o demandante 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reivindique</w:t>
      </w:r>
      <w:r w:rsidR="00B3379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contra a quem quer obste o seu direito a ter consigo a coisa própria. Ou seja, 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“pouco importa saber a que título alguém coserve em seu poder a coisa do reidivincante, se não dispõe de título a este oponível”.</w:t>
      </w:r>
      <w:r w:rsidR="00B3379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EE708C" w:rsidRDefault="00111207" w:rsidP="002211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utro caso é quando, não sendo nomeado o real titular, o detentor continua no processo, chegando até a sentença.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Theodoro expõe que, o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artigo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diante dessa situação,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elimina qualquer possibilidade do detentor de fugir de sua responsabilidade, após coisa julgada, a pretexto de ser </w:t>
      </w:r>
      <w:r w:rsidR="002220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estranha a relação processual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porém, não significa ser possível a </w:t>
      </w:r>
      <w:r w:rsidR="00EE70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legitimidade do polo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apenas em face do detentor,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“ 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salvo se este detiver a coisa em virtude de relação estabelecida diretamente entre o dono ( reivindicante) e o réu (detentor)”</w:t>
      </w:r>
    </w:p>
    <w:p w:rsidR="00111207" w:rsidRDefault="00111207" w:rsidP="00C10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Assim, compreende Theodoro, que o art. 1228 do atual Código Civil não revogou o art. 62 do CPC. Pois se a demanda for in</w:t>
      </w:r>
      <w:r w:rsidR="002220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tentada contra ambos (de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ten</w:t>
      </w:r>
      <w:r w:rsidR="002220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or e possuidor), haverá a citação de ambos na posição de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co-ocupantes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da coisa litigiosa. </w:t>
      </w:r>
      <w:r w:rsidR="00DE40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Se toda vida, a demanda for proposta apenas contra o detentor, continuará ele com o dever de nomear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à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autoria o terceiro proprietário ou possuidor, em cumprimento de cujas ordenas ou instruções detém a coisa litigiosa”.(p.138) </w:t>
      </w:r>
    </w:p>
    <w:p w:rsidR="00111207" w:rsidRDefault="00A5679E" w:rsidP="00A567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Destarte, se a demanda for intentada contra detentor e possuidor, ambos podem ser citados em legitima co-ocupação. Todavia, se for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proposta for apenas contra o detentor, ele tem o dever de nomear a autoria o real titular da coisa litigiosa. Sendo assim, propõe-se um prestigio da nova norma civil com o intuito de complementar a norma de especialidade do CPC, logo, promovendo uma harmonia entre o processo e o direito material. </w:t>
      </w:r>
    </w:p>
    <w:p w:rsidR="00A5679E" w:rsidRDefault="00A5679E" w:rsidP="00A567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A5DE2" w:rsidRDefault="008879E0" w:rsidP="002220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684CC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CONSIDERAÇÕES FINAIS</w:t>
      </w:r>
    </w:p>
    <w:p w:rsidR="002220DE" w:rsidRPr="002220DE" w:rsidRDefault="002220DE" w:rsidP="002220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3A5DE2" w:rsidRDefault="00EF51A5" w:rsidP="003A5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Como abordado,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76CA">
        <w:rPr>
          <w:rFonts w:ascii="Times New Roman" w:hAnsi="Times New Roman" w:cs="Times New Roman"/>
          <w:sz w:val="24"/>
          <w:szCs w:val="24"/>
        </w:rPr>
        <w:t xml:space="preserve"> nomeação a autoria trata-se de um instituto processual de intervenção de terceiros </w:t>
      </w:r>
      <w:r>
        <w:rPr>
          <w:rFonts w:ascii="Times New Roman" w:hAnsi="Times New Roman" w:cs="Times New Roman"/>
          <w:sz w:val="24"/>
          <w:szCs w:val="24"/>
        </w:rPr>
        <w:t xml:space="preserve">que introduz ao processo aquele que deveria ser originalmente demandado, passando a assumir a condição de réu. No caso da ação </w:t>
      </w:r>
      <w:r w:rsidR="00985693">
        <w:rPr>
          <w:rFonts w:ascii="Times New Roman" w:hAnsi="Times New Roman" w:cs="Times New Roman"/>
          <w:sz w:val="24"/>
          <w:szCs w:val="24"/>
        </w:rPr>
        <w:t>reivindicatória</w:t>
      </w:r>
      <w:r>
        <w:rPr>
          <w:rFonts w:ascii="Times New Roman" w:hAnsi="Times New Roman" w:cs="Times New Roman"/>
          <w:sz w:val="24"/>
          <w:szCs w:val="24"/>
        </w:rPr>
        <w:t xml:space="preserve">, e de acordo com o art. 62 do CPC, é dever do detentor, caso tenha sido demandado em nome próprio, nomear o verdadeiro titular da coisa. Ocorre que com o Código Civil de 2002, se introduziu a legitimação do detentor pra ocupar o polo passivo. </w:t>
      </w:r>
    </w:p>
    <w:p w:rsidR="00EF51A5" w:rsidRDefault="00EF51A5" w:rsidP="003A5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das assertivas expostas no decorrer do artigo, nota-se que esse conflito aparente de normas é resolvido pela questão da especialidade, visto que o CPC tem cunho eminentemente especial em relação ao Código Civil, além de que, segundo a LICC, norma posterior geral não revoga especial, nem especial revoga geral. </w:t>
      </w:r>
    </w:p>
    <w:p w:rsidR="00040019" w:rsidRDefault="00EF51A5" w:rsidP="009856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se fez necessária uma interpretação harmônica das duas normas, na qual </w:t>
      </w:r>
      <w:r w:rsidR="00985693">
        <w:rPr>
          <w:rFonts w:ascii="Times New Roman" w:hAnsi="Times New Roman" w:cs="Times New Roman"/>
          <w:sz w:val="24"/>
          <w:szCs w:val="24"/>
        </w:rPr>
        <w:t>se conclui</w:t>
      </w:r>
      <w:r>
        <w:rPr>
          <w:rFonts w:ascii="Times New Roman" w:hAnsi="Times New Roman" w:cs="Times New Roman"/>
          <w:sz w:val="24"/>
          <w:szCs w:val="24"/>
        </w:rPr>
        <w:t xml:space="preserve"> que a norma civil acaba por complementar a norma da especialidade do CPC. No caso, não há como dizer que o detentor possui legitimidade na situação do art. 62, entretanto, há casos em que essa legitimidade se faz presente, como </w:t>
      </w:r>
      <w:r w:rsidR="00985693">
        <w:rPr>
          <w:rFonts w:ascii="Times New Roman" w:hAnsi="Times New Roman" w:cs="Times New Roman"/>
          <w:sz w:val="24"/>
          <w:szCs w:val="24"/>
        </w:rPr>
        <w:t xml:space="preserve">quando for intentada demanda contra detentor e possuidor, ou seja, sendo plausível uma </w:t>
      </w:r>
      <w:proofErr w:type="gramStart"/>
      <w:r w:rsidR="00985693">
        <w:rPr>
          <w:rFonts w:ascii="Times New Roman" w:hAnsi="Times New Roman" w:cs="Times New Roman"/>
          <w:sz w:val="24"/>
          <w:szCs w:val="24"/>
        </w:rPr>
        <w:t>co-ocupação</w:t>
      </w:r>
      <w:proofErr w:type="gramEnd"/>
      <w:r w:rsidR="00985693">
        <w:rPr>
          <w:rFonts w:ascii="Times New Roman" w:hAnsi="Times New Roman" w:cs="Times New Roman"/>
          <w:sz w:val="24"/>
          <w:szCs w:val="24"/>
        </w:rPr>
        <w:t xml:space="preserve"> do polo passivo. </w:t>
      </w:r>
      <w:r w:rsidR="00B26F3C" w:rsidRPr="00B26F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22111B" w:rsidRDefault="0022111B" w:rsidP="0022111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8879E0" w:rsidRPr="00040019" w:rsidRDefault="008879E0" w:rsidP="00221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19">
        <w:rPr>
          <w:rFonts w:ascii="Times New Roman" w:hAnsi="Times New Roman" w:cs="Times New Roman"/>
          <w:b/>
          <w:sz w:val="24"/>
          <w:szCs w:val="24"/>
        </w:rPr>
        <w:lastRenderedPageBreak/>
        <w:t>REFER</w:t>
      </w:r>
      <w:r w:rsidR="002220DE">
        <w:rPr>
          <w:rFonts w:ascii="Times New Roman" w:hAnsi="Times New Roman" w:cs="Times New Roman"/>
          <w:b/>
          <w:sz w:val="24"/>
          <w:szCs w:val="24"/>
        </w:rPr>
        <w:t>Ê</w:t>
      </w:r>
      <w:r w:rsidRPr="00040019">
        <w:rPr>
          <w:rFonts w:ascii="Times New Roman" w:hAnsi="Times New Roman" w:cs="Times New Roman"/>
          <w:b/>
          <w:sz w:val="24"/>
          <w:szCs w:val="24"/>
        </w:rPr>
        <w:t>NCIAS BIBLIOGR</w:t>
      </w:r>
      <w:r w:rsidR="002220DE">
        <w:rPr>
          <w:rFonts w:ascii="Times New Roman" w:hAnsi="Times New Roman" w:cs="Times New Roman"/>
          <w:b/>
          <w:sz w:val="24"/>
          <w:szCs w:val="24"/>
        </w:rPr>
        <w:t>Á</w:t>
      </w:r>
      <w:r w:rsidRPr="00040019">
        <w:rPr>
          <w:rFonts w:ascii="Times New Roman" w:hAnsi="Times New Roman" w:cs="Times New Roman"/>
          <w:b/>
          <w:sz w:val="24"/>
          <w:szCs w:val="24"/>
        </w:rPr>
        <w:t>FICAS</w:t>
      </w:r>
    </w:p>
    <w:p w:rsidR="008879E0" w:rsidRDefault="008879E0" w:rsidP="008879E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40019" w:rsidRPr="00C52E93" w:rsidRDefault="00040019" w:rsidP="00040019">
      <w:pPr>
        <w:pStyle w:val="ecxmsonormal"/>
        <w:spacing w:before="0" w:beforeAutospacing="0" w:after="0" w:afterAutospacing="0"/>
        <w:rPr>
          <w:rStyle w:val="commentbody"/>
        </w:rPr>
      </w:pPr>
      <w:r w:rsidRPr="00C52E93">
        <w:rPr>
          <w:rStyle w:val="commentbody"/>
        </w:rPr>
        <w:t xml:space="preserve">CÂMARA, Alexandre Freitas. Lições de direito processual civil. </w:t>
      </w:r>
      <w:proofErr w:type="gramStart"/>
      <w:r w:rsidRPr="00C52E93">
        <w:rPr>
          <w:rStyle w:val="commentbody"/>
        </w:rPr>
        <w:t>v.</w:t>
      </w:r>
      <w:proofErr w:type="gramEnd"/>
      <w:r w:rsidRPr="00C52E93">
        <w:rPr>
          <w:rStyle w:val="commentbody"/>
        </w:rPr>
        <w:t xml:space="preserve">1. Rio de Janeiro: </w:t>
      </w:r>
      <w:proofErr w:type="spellStart"/>
      <w:r w:rsidRPr="00C52E93">
        <w:rPr>
          <w:rStyle w:val="commentbody"/>
        </w:rPr>
        <w:t>Lumen</w:t>
      </w:r>
      <w:proofErr w:type="spellEnd"/>
      <w:r w:rsidRPr="00C52E93">
        <w:rPr>
          <w:rStyle w:val="commentbody"/>
        </w:rPr>
        <w:t xml:space="preserve"> Juris, 2007. </w:t>
      </w:r>
    </w:p>
    <w:p w:rsidR="00C52E93" w:rsidRDefault="00C52E93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19" w:rsidRPr="00C52E93" w:rsidRDefault="00040019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9E0" w:rsidRPr="00C52E93" w:rsidRDefault="008879E0" w:rsidP="00040019">
      <w:pPr>
        <w:spacing w:after="0" w:line="240" w:lineRule="auto"/>
        <w:rPr>
          <w:rStyle w:val="commentbody"/>
          <w:rFonts w:ascii="Times New Roman" w:hAnsi="Times New Roman" w:cs="Times New Roman"/>
          <w:sz w:val="24"/>
          <w:szCs w:val="24"/>
        </w:rPr>
      </w:pPr>
      <w:r w:rsidRPr="00C52E93">
        <w:rPr>
          <w:rStyle w:val="commentbody"/>
          <w:rFonts w:ascii="Times New Roman" w:hAnsi="Times New Roman" w:cs="Times New Roman"/>
          <w:sz w:val="24"/>
          <w:szCs w:val="24"/>
        </w:rPr>
        <w:t xml:space="preserve">DINAMARCO, Cândido Rangel. </w:t>
      </w:r>
      <w:r w:rsidRPr="00C52E93">
        <w:rPr>
          <w:rStyle w:val="commentbody"/>
          <w:rFonts w:ascii="Times New Roman" w:hAnsi="Times New Roman" w:cs="Times New Roman"/>
          <w:b/>
          <w:sz w:val="24"/>
          <w:szCs w:val="24"/>
        </w:rPr>
        <w:t>Instituições de Direito Processual Civil</w:t>
      </w:r>
      <w:r w:rsidRPr="00C52E93">
        <w:rPr>
          <w:rStyle w:val="commentbody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2E93">
        <w:rPr>
          <w:rStyle w:val="commentbody"/>
          <w:rFonts w:ascii="Times New Roman" w:hAnsi="Times New Roman" w:cs="Times New Roman"/>
          <w:sz w:val="24"/>
          <w:szCs w:val="24"/>
        </w:rPr>
        <w:t>v.</w:t>
      </w:r>
      <w:proofErr w:type="gramEnd"/>
      <w:r w:rsidRPr="00C52E93">
        <w:rPr>
          <w:rStyle w:val="commentbody"/>
          <w:rFonts w:ascii="Times New Roman" w:hAnsi="Times New Roman" w:cs="Times New Roman"/>
          <w:sz w:val="24"/>
          <w:szCs w:val="24"/>
        </w:rPr>
        <w:t xml:space="preserve"> II. São Paulo, Malheiros Editores Ltda. 4ª edição, 2004.</w:t>
      </w:r>
    </w:p>
    <w:p w:rsidR="00040019" w:rsidRDefault="00040019" w:rsidP="00040019">
      <w:pPr>
        <w:pStyle w:val="ecxmsonormal"/>
        <w:spacing w:before="0" w:beforeAutospacing="0" w:after="0" w:afterAutospacing="0"/>
        <w:rPr>
          <w:rStyle w:val="commentbody"/>
        </w:rPr>
      </w:pPr>
    </w:p>
    <w:p w:rsidR="00040019" w:rsidRPr="00040019" w:rsidRDefault="00040019" w:rsidP="00040019">
      <w:pPr>
        <w:pStyle w:val="Ttulo6"/>
        <w:rPr>
          <w:b w:val="0"/>
          <w:sz w:val="24"/>
          <w:szCs w:val="24"/>
        </w:rPr>
      </w:pPr>
      <w:r w:rsidRPr="00040019">
        <w:rPr>
          <w:rStyle w:val="textexposedshow"/>
          <w:b w:val="0"/>
          <w:sz w:val="24"/>
          <w:szCs w:val="24"/>
        </w:rPr>
        <w:t xml:space="preserve">DIDIER JÚNIOR, </w:t>
      </w:r>
      <w:proofErr w:type="spellStart"/>
      <w:r w:rsidRPr="00040019">
        <w:rPr>
          <w:rStyle w:val="textexposedshow"/>
          <w:b w:val="0"/>
          <w:sz w:val="24"/>
          <w:szCs w:val="24"/>
        </w:rPr>
        <w:t>Fredie</w:t>
      </w:r>
      <w:proofErr w:type="spellEnd"/>
      <w:r w:rsidRPr="00040019">
        <w:rPr>
          <w:rStyle w:val="textexposedshow"/>
          <w:b w:val="0"/>
          <w:sz w:val="24"/>
          <w:szCs w:val="24"/>
        </w:rPr>
        <w:t xml:space="preserve">. </w:t>
      </w:r>
      <w:r w:rsidRPr="00040019">
        <w:rPr>
          <w:rStyle w:val="textexposedshow"/>
          <w:sz w:val="24"/>
          <w:szCs w:val="24"/>
        </w:rPr>
        <w:t>Curso de Direito Processual Civil</w:t>
      </w:r>
      <w:r w:rsidRPr="00040019">
        <w:rPr>
          <w:rStyle w:val="textexposedshow"/>
          <w:b w:val="0"/>
          <w:sz w:val="24"/>
          <w:szCs w:val="24"/>
        </w:rPr>
        <w:t xml:space="preserve">. 14. </w:t>
      </w:r>
      <w:proofErr w:type="gramStart"/>
      <w:r w:rsidRPr="00040019">
        <w:rPr>
          <w:rStyle w:val="textexposedshow"/>
          <w:b w:val="0"/>
          <w:sz w:val="24"/>
          <w:szCs w:val="24"/>
        </w:rPr>
        <w:t>ed.</w:t>
      </w:r>
      <w:proofErr w:type="gramEnd"/>
      <w:r w:rsidRPr="00040019">
        <w:rPr>
          <w:rStyle w:val="textexposedshow"/>
          <w:b w:val="0"/>
          <w:sz w:val="24"/>
          <w:szCs w:val="24"/>
        </w:rPr>
        <w:t xml:space="preserve"> v. 1. Salvador: Jus </w:t>
      </w:r>
      <w:proofErr w:type="spellStart"/>
      <w:r w:rsidRPr="00040019">
        <w:rPr>
          <w:rStyle w:val="textexposedshow"/>
          <w:b w:val="0"/>
          <w:sz w:val="24"/>
          <w:szCs w:val="24"/>
        </w:rPr>
        <w:t>Podium</w:t>
      </w:r>
      <w:proofErr w:type="spellEnd"/>
      <w:r w:rsidRPr="00040019">
        <w:rPr>
          <w:rStyle w:val="textexposedshow"/>
          <w:b w:val="0"/>
          <w:sz w:val="24"/>
          <w:szCs w:val="24"/>
        </w:rPr>
        <w:t xml:space="preserve">, 2012. </w:t>
      </w:r>
    </w:p>
    <w:p w:rsidR="00040019" w:rsidRDefault="00040019" w:rsidP="000400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2E93" w:rsidRPr="00C52E93" w:rsidRDefault="00C52E93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93">
        <w:rPr>
          <w:rFonts w:ascii="Times New Roman" w:hAnsi="Times New Roman" w:cs="Times New Roman"/>
          <w:bCs/>
          <w:sz w:val="24"/>
          <w:szCs w:val="24"/>
        </w:rPr>
        <w:t>DINIZ,</w:t>
      </w:r>
      <w:proofErr w:type="gramStart"/>
      <w:r w:rsidRPr="00C52E9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C52E93">
        <w:rPr>
          <w:rFonts w:ascii="Times New Roman" w:hAnsi="Times New Roman" w:cs="Times New Roman"/>
          <w:bCs/>
          <w:sz w:val="24"/>
          <w:szCs w:val="24"/>
        </w:rPr>
        <w:t xml:space="preserve">MARIA HELENA. </w:t>
      </w:r>
      <w:r w:rsidRPr="00040019">
        <w:rPr>
          <w:rFonts w:ascii="Times New Roman" w:hAnsi="Times New Roman" w:cs="Times New Roman"/>
          <w:b/>
          <w:bCs/>
          <w:sz w:val="24"/>
          <w:szCs w:val="24"/>
        </w:rPr>
        <w:t>Lei de introdução ao Código civil brasileiro interpretada</w:t>
      </w:r>
      <w:r w:rsidRPr="00C52E93">
        <w:rPr>
          <w:rFonts w:ascii="Times New Roman" w:hAnsi="Times New Roman" w:cs="Times New Roman"/>
          <w:bCs/>
          <w:sz w:val="24"/>
          <w:szCs w:val="24"/>
        </w:rPr>
        <w:t>.</w:t>
      </w:r>
      <w:r w:rsidRPr="00C52E93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gramStart"/>
      <w:r w:rsidRPr="00C52E93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52E93">
        <w:rPr>
          <w:rFonts w:ascii="Times New Roman" w:hAnsi="Times New Roman" w:cs="Times New Roman"/>
          <w:sz w:val="24"/>
          <w:szCs w:val="24"/>
        </w:rPr>
        <w:t xml:space="preserve"> 1994.</w:t>
      </w: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  <w:r w:rsidRPr="00040019">
        <w:rPr>
          <w:rStyle w:val="textexposedshow"/>
          <w:b w:val="0"/>
          <w:sz w:val="24"/>
          <w:szCs w:val="24"/>
        </w:rPr>
        <w:t xml:space="preserve">FIUZA, Ricardo. Novo Código Civil Comentado. 5. </w:t>
      </w:r>
      <w:proofErr w:type="gramStart"/>
      <w:r w:rsidRPr="00040019">
        <w:rPr>
          <w:rStyle w:val="textexposedshow"/>
          <w:b w:val="0"/>
          <w:sz w:val="24"/>
          <w:szCs w:val="24"/>
        </w:rPr>
        <w:t>ed.</w:t>
      </w:r>
      <w:proofErr w:type="gramEnd"/>
      <w:r w:rsidRPr="00040019">
        <w:rPr>
          <w:rStyle w:val="textexposedshow"/>
          <w:b w:val="0"/>
          <w:sz w:val="24"/>
          <w:szCs w:val="24"/>
        </w:rPr>
        <w:t xml:space="preserve"> São Paulo: Saraiva, 2006.</w:t>
      </w: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</w:p>
    <w:p w:rsidR="00040019" w:rsidRDefault="00040019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  <w:r>
        <w:rPr>
          <w:rStyle w:val="textexposedshow"/>
          <w:b w:val="0"/>
          <w:sz w:val="24"/>
          <w:szCs w:val="24"/>
        </w:rPr>
        <w:t xml:space="preserve">FUX, Luiz. Nomeação a autoria. Revista </w:t>
      </w:r>
      <w:proofErr w:type="spellStart"/>
      <w:proofErr w:type="gramStart"/>
      <w:r>
        <w:rPr>
          <w:rStyle w:val="textexposedshow"/>
          <w:b w:val="0"/>
          <w:sz w:val="24"/>
          <w:szCs w:val="24"/>
        </w:rPr>
        <w:t>BDjur</w:t>
      </w:r>
      <w:proofErr w:type="spellEnd"/>
      <w:proofErr w:type="gramEnd"/>
      <w:r>
        <w:rPr>
          <w:rStyle w:val="textexposedshow"/>
          <w:b w:val="0"/>
          <w:sz w:val="24"/>
          <w:szCs w:val="24"/>
        </w:rPr>
        <w:t>. Disponível em &lt;</w:t>
      </w:r>
      <w:r w:rsidRPr="00040019">
        <w:rPr>
          <w:rStyle w:val="textexposedshow"/>
          <w:b w:val="0"/>
          <w:sz w:val="24"/>
          <w:szCs w:val="24"/>
        </w:rPr>
        <w:t>http://bdjur.stj.gov.br/xmlui/bitstream/handle/2011/8615/A_Nomea%C3%A7%C3%A3o_%C3%A0_Autoria.pdf?</w:t>
      </w:r>
      <w:proofErr w:type="gramStart"/>
      <w:r w:rsidRPr="00040019">
        <w:rPr>
          <w:rStyle w:val="textexposedshow"/>
          <w:b w:val="0"/>
          <w:sz w:val="24"/>
          <w:szCs w:val="24"/>
        </w:rPr>
        <w:t>sequence</w:t>
      </w:r>
      <w:proofErr w:type="gramEnd"/>
      <w:r w:rsidRPr="00040019">
        <w:rPr>
          <w:rStyle w:val="textexposedshow"/>
          <w:b w:val="0"/>
          <w:sz w:val="24"/>
          <w:szCs w:val="24"/>
        </w:rPr>
        <w:t>=3</w:t>
      </w:r>
      <w:r>
        <w:rPr>
          <w:rStyle w:val="textexposedshow"/>
          <w:b w:val="0"/>
          <w:sz w:val="24"/>
          <w:szCs w:val="24"/>
        </w:rPr>
        <w:t xml:space="preserve">&gt; Acesso em 16 de maio de 2012 </w:t>
      </w:r>
    </w:p>
    <w:p w:rsidR="0022111B" w:rsidRDefault="0022111B" w:rsidP="00040019">
      <w:pPr>
        <w:pStyle w:val="Ttulo6"/>
        <w:spacing w:before="0" w:beforeAutospacing="0" w:after="0" w:afterAutospacing="0"/>
        <w:rPr>
          <w:rStyle w:val="textexposedshow"/>
          <w:b w:val="0"/>
          <w:sz w:val="24"/>
          <w:szCs w:val="24"/>
        </w:rPr>
      </w:pPr>
    </w:p>
    <w:p w:rsidR="00040019" w:rsidRPr="0022111B" w:rsidRDefault="0022111B" w:rsidP="0022111B">
      <w:pPr>
        <w:pStyle w:val="Ttulo6"/>
      </w:pPr>
      <w:r w:rsidRPr="0022111B">
        <w:rPr>
          <w:rStyle w:val="textexposedshow"/>
          <w:b w:val="0"/>
          <w:sz w:val="24"/>
          <w:szCs w:val="24"/>
        </w:rPr>
        <w:t xml:space="preserve">CARNEIRO, </w:t>
      </w:r>
      <w:proofErr w:type="spellStart"/>
      <w:r w:rsidRPr="0022111B">
        <w:rPr>
          <w:rStyle w:val="textexposedshow"/>
          <w:b w:val="0"/>
          <w:sz w:val="24"/>
          <w:szCs w:val="24"/>
        </w:rPr>
        <w:t>Athos</w:t>
      </w:r>
      <w:proofErr w:type="spellEnd"/>
      <w:r w:rsidRPr="0022111B">
        <w:rPr>
          <w:rStyle w:val="textexposedshow"/>
          <w:b w:val="0"/>
          <w:sz w:val="24"/>
          <w:szCs w:val="24"/>
        </w:rPr>
        <w:t xml:space="preserve"> Gusmão. </w:t>
      </w:r>
      <w:r w:rsidRPr="0022111B">
        <w:rPr>
          <w:rStyle w:val="textexposedshow"/>
          <w:sz w:val="24"/>
          <w:szCs w:val="24"/>
        </w:rPr>
        <w:t>Intervenção de Terceiros</w:t>
      </w:r>
      <w:r w:rsidRPr="0022111B">
        <w:rPr>
          <w:rStyle w:val="textexposedshow"/>
          <w:b w:val="0"/>
          <w:sz w:val="24"/>
          <w:szCs w:val="24"/>
        </w:rPr>
        <w:t xml:space="preserve">. 13. </w:t>
      </w:r>
      <w:proofErr w:type="gramStart"/>
      <w:r w:rsidRPr="0022111B">
        <w:rPr>
          <w:rStyle w:val="textexposedshow"/>
          <w:b w:val="0"/>
          <w:sz w:val="24"/>
          <w:szCs w:val="24"/>
        </w:rPr>
        <w:t>ed.</w:t>
      </w:r>
      <w:proofErr w:type="gramEnd"/>
      <w:r w:rsidRPr="0022111B">
        <w:rPr>
          <w:rStyle w:val="textexposedshow"/>
          <w:b w:val="0"/>
          <w:sz w:val="24"/>
          <w:szCs w:val="24"/>
        </w:rPr>
        <w:t xml:space="preserve"> São Paulo: Saraiva, 2001</w:t>
      </w:r>
      <w:r>
        <w:rPr>
          <w:rStyle w:val="textexposedshow"/>
        </w:rPr>
        <w:t>.</w:t>
      </w:r>
    </w:p>
    <w:p w:rsidR="00040019" w:rsidRDefault="00040019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19" w:rsidRDefault="00040019" w:rsidP="000400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52E93">
        <w:rPr>
          <w:rFonts w:ascii="Times New Roman" w:hAnsi="Times New Roman" w:cs="Times New Roman"/>
          <w:sz w:val="24"/>
          <w:szCs w:val="24"/>
        </w:rPr>
        <w:t xml:space="preserve">TARTUCE, Fernanda. </w:t>
      </w:r>
      <w:r w:rsidRPr="00C52E93">
        <w:rPr>
          <w:rFonts w:ascii="Times New Roman" w:hAnsi="Times New Roman" w:cs="Times New Roman"/>
          <w:bCs/>
          <w:sz w:val="24"/>
          <w:szCs w:val="24"/>
        </w:rPr>
        <w:t>A legitimidade passiva do detentor na ação reivindicatória. Disponível em &lt;</w:t>
      </w:r>
      <w:hyperlink r:id="rId9" w:history="1">
        <w:r w:rsidRPr="00C52E9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www.fernandatartuce.com.br</w:t>
        </w:r>
      </w:hyperlink>
      <w:r w:rsidRPr="00C52E93">
        <w:rPr>
          <w:rFonts w:ascii="Times New Roman" w:hAnsi="Times New Roman" w:cs="Times New Roman"/>
          <w:bCs/>
          <w:sz w:val="24"/>
          <w:szCs w:val="24"/>
        </w:rPr>
        <w:t>&gt;. Acesso em 16 de maio de 2012</w:t>
      </w:r>
    </w:p>
    <w:p w:rsidR="00040019" w:rsidRDefault="00040019" w:rsidP="00040019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019" w:rsidRDefault="00040019" w:rsidP="00040019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019" w:rsidRPr="00C52E93" w:rsidRDefault="00040019" w:rsidP="00040019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THEODORO JR, Humberto. </w:t>
      </w:r>
      <w:r w:rsidRPr="00C52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novo código civil e as regras heterotópicas de natureza processual</w:t>
      </w:r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In: DIDIER JR, </w:t>
      </w:r>
      <w:proofErr w:type="spellStart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Fredie</w:t>
      </w:r>
      <w:proofErr w:type="spellEnd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et</w:t>
      </w:r>
      <w:proofErr w:type="gramEnd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MAZZEI, Rodrigo. Reflexos do Novo Código Civil no Direito Processual. 2ª ed. Salvador: </w:t>
      </w:r>
      <w:proofErr w:type="spellStart"/>
      <w:proofErr w:type="gramStart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JusPODIVM</w:t>
      </w:r>
      <w:proofErr w:type="spellEnd"/>
      <w:proofErr w:type="gramEnd"/>
      <w:r w:rsidRPr="00C52E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2007</w:t>
      </w:r>
    </w:p>
    <w:p w:rsidR="00040019" w:rsidRDefault="00040019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19" w:rsidRDefault="00040019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19" w:rsidRPr="00C52E93" w:rsidRDefault="00040019" w:rsidP="00040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93">
        <w:rPr>
          <w:rFonts w:ascii="Times New Roman" w:hAnsi="Times New Roman" w:cs="Times New Roman"/>
          <w:sz w:val="24"/>
          <w:szCs w:val="24"/>
        </w:rPr>
        <w:t xml:space="preserve">WAMBIER, Luis Rodrigues. </w:t>
      </w:r>
      <w:r w:rsidRPr="00C52E93">
        <w:rPr>
          <w:rFonts w:ascii="Times New Roman" w:hAnsi="Times New Roman" w:cs="Times New Roman"/>
          <w:b/>
          <w:sz w:val="24"/>
          <w:szCs w:val="24"/>
        </w:rPr>
        <w:t>Curso Avançado de Processo Civil</w:t>
      </w:r>
      <w:r w:rsidRPr="00C52E93">
        <w:rPr>
          <w:rFonts w:ascii="Times New Roman" w:hAnsi="Times New Roman" w:cs="Times New Roman"/>
          <w:sz w:val="24"/>
          <w:szCs w:val="24"/>
        </w:rPr>
        <w:t xml:space="preserve">: Teoria Geral do Processo e processo de Conhecimento. </w:t>
      </w:r>
      <w:proofErr w:type="gramStart"/>
      <w:r w:rsidRPr="00C52E93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C52E9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2E9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52E93">
        <w:rPr>
          <w:rFonts w:ascii="Times New Roman" w:hAnsi="Times New Roman" w:cs="Times New Roman"/>
          <w:sz w:val="24"/>
          <w:szCs w:val="24"/>
        </w:rPr>
        <w:t xml:space="preserve"> Revista dos Tribunais. 9ª edição, 2006/2007. </w:t>
      </w:r>
    </w:p>
    <w:p w:rsidR="00040019" w:rsidRPr="00C52E93" w:rsidRDefault="00040019" w:rsidP="008879E0">
      <w:pPr>
        <w:rPr>
          <w:rFonts w:ascii="Times New Roman" w:hAnsi="Times New Roman" w:cs="Times New Roman"/>
          <w:bCs/>
          <w:sz w:val="24"/>
          <w:szCs w:val="24"/>
        </w:rPr>
      </w:pPr>
    </w:p>
    <w:p w:rsidR="00C52E93" w:rsidRDefault="00C52E93" w:rsidP="008879E0"/>
    <w:sectPr w:rsidR="00C52E93" w:rsidSect="00A87DE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38" w:rsidRDefault="007E5B38" w:rsidP="00F86274">
      <w:pPr>
        <w:spacing w:after="0" w:line="240" w:lineRule="auto"/>
      </w:pPr>
      <w:r>
        <w:separator/>
      </w:r>
    </w:p>
  </w:endnote>
  <w:endnote w:type="continuationSeparator" w:id="0">
    <w:p w:rsidR="007E5B38" w:rsidRDefault="007E5B38" w:rsidP="00F8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38" w:rsidRDefault="007E5B38" w:rsidP="00F86274">
      <w:pPr>
        <w:spacing w:after="0" w:line="240" w:lineRule="auto"/>
      </w:pPr>
      <w:r>
        <w:separator/>
      </w:r>
    </w:p>
  </w:footnote>
  <w:footnote w:type="continuationSeparator" w:id="0">
    <w:p w:rsidR="007E5B38" w:rsidRDefault="007E5B38" w:rsidP="00F86274">
      <w:pPr>
        <w:spacing w:after="0" w:line="240" w:lineRule="auto"/>
      </w:pPr>
      <w:r>
        <w:continuationSeparator/>
      </w:r>
    </w:p>
  </w:footnote>
  <w:footnote w:id="1">
    <w:p w:rsidR="00040019" w:rsidRPr="00040019" w:rsidRDefault="00040019">
      <w:pPr>
        <w:pStyle w:val="Textodenotaderodap"/>
        <w:rPr>
          <w:rFonts w:ascii="Times New Roman" w:hAnsi="Times New Roman" w:cs="Times New Roman"/>
        </w:rPr>
      </w:pPr>
      <w:r w:rsidRPr="00040019">
        <w:rPr>
          <w:rStyle w:val="Refdenotaderodap"/>
          <w:rFonts w:ascii="Times New Roman" w:hAnsi="Times New Roman" w:cs="Times New Roman"/>
        </w:rPr>
        <w:footnoteRef/>
      </w:r>
      <w:r w:rsidRPr="00040019">
        <w:rPr>
          <w:rFonts w:ascii="Times New Roman" w:hAnsi="Times New Roman" w:cs="Times New Roman"/>
        </w:rPr>
        <w:t xml:space="preserve"> Paper apresentado para a obtenção de nota na disciplina de Processo de Conhecimento I, ministrada pelo mestre Christian Barros.</w:t>
      </w:r>
    </w:p>
  </w:footnote>
  <w:footnote w:id="2">
    <w:p w:rsidR="00040019" w:rsidRDefault="00040019">
      <w:pPr>
        <w:pStyle w:val="Textodenotaderodap"/>
      </w:pPr>
      <w:r w:rsidRPr="00040019">
        <w:rPr>
          <w:rStyle w:val="Refdenotaderodap"/>
          <w:rFonts w:ascii="Times New Roman" w:hAnsi="Times New Roman" w:cs="Times New Roman"/>
        </w:rPr>
        <w:footnoteRef/>
      </w:r>
      <w:r w:rsidRPr="00040019">
        <w:rPr>
          <w:rFonts w:ascii="Times New Roman" w:hAnsi="Times New Roman" w:cs="Times New Roman"/>
        </w:rPr>
        <w:t xml:space="preserve"> Aluna do 4º período do curso de Direito da Unidade de Ensino Superior Dom Bosco, UNDB.</w:t>
      </w:r>
    </w:p>
  </w:footnote>
  <w:footnote w:id="3">
    <w:p w:rsidR="00F86274" w:rsidRDefault="00F86274">
      <w:pPr>
        <w:pStyle w:val="Textodenotaderodap"/>
      </w:pPr>
      <w:r>
        <w:rPr>
          <w:rStyle w:val="Refdenotaderodap"/>
        </w:rPr>
        <w:footnoteRef/>
      </w:r>
      <w:r>
        <w:t xml:space="preserve"> Luiz </w:t>
      </w:r>
      <w:proofErr w:type="spellStart"/>
      <w:r>
        <w:t>Fux</w:t>
      </w:r>
      <w:proofErr w:type="spellEnd"/>
      <w:r>
        <w:t xml:space="preserve"> apud Pontes de Miranda, Comentários ao Código de Processo Civil de 1939, cit., p. 383.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5035"/>
    <w:multiLevelType w:val="hybridMultilevel"/>
    <w:tmpl w:val="415CC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BC9"/>
    <w:rsid w:val="00032D54"/>
    <w:rsid w:val="00040019"/>
    <w:rsid w:val="000548A3"/>
    <w:rsid w:val="000F5FE3"/>
    <w:rsid w:val="00111207"/>
    <w:rsid w:val="001262B4"/>
    <w:rsid w:val="00182259"/>
    <w:rsid w:val="001B6F3B"/>
    <w:rsid w:val="0022111B"/>
    <w:rsid w:val="002220DE"/>
    <w:rsid w:val="002349A2"/>
    <w:rsid w:val="002611EE"/>
    <w:rsid w:val="002867B5"/>
    <w:rsid w:val="0032403D"/>
    <w:rsid w:val="00362105"/>
    <w:rsid w:val="003676CA"/>
    <w:rsid w:val="003A5DE2"/>
    <w:rsid w:val="00413919"/>
    <w:rsid w:val="00440593"/>
    <w:rsid w:val="004B5644"/>
    <w:rsid w:val="004C09FF"/>
    <w:rsid w:val="004E7ADC"/>
    <w:rsid w:val="0056546D"/>
    <w:rsid w:val="005A346D"/>
    <w:rsid w:val="00604108"/>
    <w:rsid w:val="0061483A"/>
    <w:rsid w:val="0066366A"/>
    <w:rsid w:val="00684CC8"/>
    <w:rsid w:val="006B7F08"/>
    <w:rsid w:val="006D2FAA"/>
    <w:rsid w:val="0071768B"/>
    <w:rsid w:val="00746709"/>
    <w:rsid w:val="00780368"/>
    <w:rsid w:val="00793753"/>
    <w:rsid w:val="007C64D5"/>
    <w:rsid w:val="007D5690"/>
    <w:rsid w:val="007E05B8"/>
    <w:rsid w:val="007E5B38"/>
    <w:rsid w:val="00846E4B"/>
    <w:rsid w:val="008879E0"/>
    <w:rsid w:val="00890D07"/>
    <w:rsid w:val="008D1BEE"/>
    <w:rsid w:val="009811BD"/>
    <w:rsid w:val="00985693"/>
    <w:rsid w:val="009863ED"/>
    <w:rsid w:val="00993E0D"/>
    <w:rsid w:val="009A64F9"/>
    <w:rsid w:val="00A5679E"/>
    <w:rsid w:val="00A83CB6"/>
    <w:rsid w:val="00A85F91"/>
    <w:rsid w:val="00A87DEE"/>
    <w:rsid w:val="00B00309"/>
    <w:rsid w:val="00B26F3C"/>
    <w:rsid w:val="00B3273A"/>
    <w:rsid w:val="00B3379D"/>
    <w:rsid w:val="00BA26CA"/>
    <w:rsid w:val="00BB1ACE"/>
    <w:rsid w:val="00BE7651"/>
    <w:rsid w:val="00C10D39"/>
    <w:rsid w:val="00C33A7B"/>
    <w:rsid w:val="00C50EE6"/>
    <w:rsid w:val="00C52E93"/>
    <w:rsid w:val="00C7373D"/>
    <w:rsid w:val="00CB761D"/>
    <w:rsid w:val="00CF2BC9"/>
    <w:rsid w:val="00DD4EAD"/>
    <w:rsid w:val="00DE4065"/>
    <w:rsid w:val="00DF331B"/>
    <w:rsid w:val="00DF77CE"/>
    <w:rsid w:val="00E37E3F"/>
    <w:rsid w:val="00E76069"/>
    <w:rsid w:val="00EC6C11"/>
    <w:rsid w:val="00EE708C"/>
    <w:rsid w:val="00EF51A5"/>
    <w:rsid w:val="00F029C2"/>
    <w:rsid w:val="00F25E16"/>
    <w:rsid w:val="00F27EEC"/>
    <w:rsid w:val="00F50140"/>
    <w:rsid w:val="00F86274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90"/>
  </w:style>
  <w:style w:type="paragraph" w:styleId="Ttulo6">
    <w:name w:val="heading 6"/>
    <w:basedOn w:val="Normal"/>
    <w:link w:val="Ttulo6Char"/>
    <w:uiPriority w:val="9"/>
    <w:qFormat/>
    <w:rsid w:val="00C52E9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2BC9"/>
    <w:pPr>
      <w:ind w:left="720"/>
      <w:contextualSpacing/>
    </w:pPr>
  </w:style>
  <w:style w:type="paragraph" w:customStyle="1" w:styleId="Default">
    <w:name w:val="Default"/>
    <w:rsid w:val="00A83C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F862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6274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86274"/>
    <w:rPr>
      <w:vertAlign w:val="superscript"/>
    </w:rPr>
  </w:style>
  <w:style w:type="character" w:styleId="Forte">
    <w:name w:val="Strong"/>
    <w:basedOn w:val="Fontepargpadro"/>
    <w:uiPriority w:val="22"/>
    <w:qFormat/>
    <w:rsid w:val="00E37E3F"/>
    <w:rPr>
      <w:b/>
      <w:bCs/>
    </w:rPr>
  </w:style>
  <w:style w:type="character" w:styleId="nfase">
    <w:name w:val="Emphasis"/>
    <w:basedOn w:val="Fontepargpadro"/>
    <w:uiPriority w:val="20"/>
    <w:qFormat/>
    <w:rsid w:val="00E37E3F"/>
    <w:rPr>
      <w:i/>
      <w:iCs/>
    </w:rPr>
  </w:style>
  <w:style w:type="character" w:customStyle="1" w:styleId="qterm">
    <w:name w:val="qterm"/>
    <w:basedOn w:val="Fontepargpadro"/>
    <w:rsid w:val="00E37E3F"/>
  </w:style>
  <w:style w:type="character" w:styleId="Hyperlink">
    <w:name w:val="Hyperlink"/>
    <w:basedOn w:val="Fontepargpadro"/>
    <w:unhideWhenUsed/>
    <w:rsid w:val="00E37E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body">
    <w:name w:val="commentbody"/>
    <w:basedOn w:val="Fontepargpadro"/>
    <w:rsid w:val="008879E0"/>
  </w:style>
  <w:style w:type="character" w:customStyle="1" w:styleId="Ttulo6Char">
    <w:name w:val="Título 6 Char"/>
    <w:basedOn w:val="Fontepargpadro"/>
    <w:link w:val="Ttulo6"/>
    <w:uiPriority w:val="9"/>
    <w:rsid w:val="00C52E93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textexposedshow">
    <w:name w:val="text_exposed_show"/>
    <w:basedOn w:val="Fontepargpadro"/>
    <w:rsid w:val="00C52E93"/>
  </w:style>
  <w:style w:type="paragraph" w:customStyle="1" w:styleId="ecxmsonormal">
    <w:name w:val="ecxmsonormal"/>
    <w:basedOn w:val="Normal"/>
    <w:rsid w:val="00C5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ernandatartuc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EDFFB-040B-4A7E-8F5C-566D7920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8</Pages>
  <Words>2910</Words>
  <Characters>15716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ESTAGIARIO</cp:lastModifiedBy>
  <cp:revision>10</cp:revision>
  <dcterms:created xsi:type="dcterms:W3CDTF">2012-05-17T02:52:00Z</dcterms:created>
  <dcterms:modified xsi:type="dcterms:W3CDTF">2014-12-04T14:00:00Z</dcterms:modified>
</cp:coreProperties>
</file>