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D84" w:rsidRPr="00F31154" w:rsidRDefault="00382D84" w:rsidP="00382D84">
      <w:pPr>
        <w:spacing w:after="120" w:line="360" w:lineRule="auto"/>
        <w:jc w:val="center"/>
        <w:rPr>
          <w:rFonts w:ascii="Arial" w:hAnsi="Arial" w:cs="Arial"/>
          <w:b/>
          <w:bCs/>
          <w:szCs w:val="28"/>
        </w:rPr>
      </w:pPr>
      <w:r w:rsidRPr="00F31154">
        <w:rPr>
          <w:rFonts w:ascii="Arial" w:hAnsi="Arial" w:cs="Arial"/>
          <w:b/>
          <w:bCs/>
          <w:szCs w:val="28"/>
        </w:rPr>
        <w:t>ANÁLISE DE ÍNDICES FINANCEIROS NA TOMADA DE DECISÃO GERENCIAL DE UMA EMPRESA DE COSMÉTICOS E PERFUMÁRIA</w:t>
      </w:r>
    </w:p>
    <w:p w:rsidR="00382D84" w:rsidRPr="00F31154" w:rsidRDefault="00382D84" w:rsidP="00382D84">
      <w:pPr>
        <w:spacing w:after="120" w:line="360" w:lineRule="auto"/>
        <w:jc w:val="right"/>
        <w:rPr>
          <w:rFonts w:ascii="Arial" w:hAnsi="Arial" w:cs="Arial"/>
          <w:b/>
          <w:bCs/>
          <w:szCs w:val="28"/>
        </w:rPr>
      </w:pPr>
    </w:p>
    <w:p w:rsidR="00382D84" w:rsidRPr="00F31154" w:rsidRDefault="00B15313" w:rsidP="00382D84">
      <w:pPr>
        <w:jc w:val="right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AUTORES</w:t>
      </w:r>
    </w:p>
    <w:p w:rsidR="00382D84" w:rsidRDefault="00382D84" w:rsidP="00382D84">
      <w:pPr>
        <w:jc w:val="right"/>
        <w:rPr>
          <w:rFonts w:ascii="Arial" w:hAnsi="Arial" w:cs="Arial"/>
          <w:bCs/>
          <w:szCs w:val="28"/>
        </w:rPr>
      </w:pPr>
      <w:r w:rsidRPr="00F31154">
        <w:rPr>
          <w:rFonts w:ascii="Arial" w:hAnsi="Arial" w:cs="Arial"/>
          <w:bCs/>
          <w:szCs w:val="28"/>
        </w:rPr>
        <w:t>Maria Alissandra da Silva Souza de Oliveira¹</w:t>
      </w:r>
    </w:p>
    <w:p w:rsidR="00B15313" w:rsidRPr="00F31154" w:rsidRDefault="00B15313" w:rsidP="00382D84">
      <w:pPr>
        <w:jc w:val="right"/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>Jhonas da Silva Faustino²</w:t>
      </w:r>
    </w:p>
    <w:p w:rsidR="00382D84" w:rsidRPr="00F31154" w:rsidRDefault="00382D84" w:rsidP="00382D84">
      <w:pPr>
        <w:jc w:val="right"/>
        <w:rPr>
          <w:rFonts w:ascii="Arial" w:hAnsi="Arial" w:cs="Arial"/>
          <w:bCs/>
          <w:szCs w:val="28"/>
        </w:rPr>
      </w:pPr>
    </w:p>
    <w:p w:rsidR="00382D84" w:rsidRPr="00F31154" w:rsidRDefault="00382D84" w:rsidP="00382D84">
      <w:pPr>
        <w:jc w:val="right"/>
        <w:rPr>
          <w:rFonts w:ascii="Arial" w:hAnsi="Arial" w:cs="Arial"/>
          <w:b/>
          <w:bCs/>
          <w:szCs w:val="28"/>
        </w:rPr>
      </w:pPr>
      <w:r w:rsidRPr="00F31154">
        <w:rPr>
          <w:rFonts w:ascii="Arial" w:hAnsi="Arial" w:cs="Arial"/>
          <w:b/>
          <w:bCs/>
          <w:szCs w:val="28"/>
        </w:rPr>
        <w:t>ORIENTADOR</w:t>
      </w:r>
    </w:p>
    <w:p w:rsidR="00382D84" w:rsidRPr="00F31154" w:rsidRDefault="00382D84" w:rsidP="00382D84">
      <w:pPr>
        <w:spacing w:after="120" w:line="360" w:lineRule="auto"/>
        <w:jc w:val="right"/>
        <w:rPr>
          <w:rFonts w:ascii="Arial" w:hAnsi="Arial" w:cs="Arial"/>
          <w:bCs/>
          <w:szCs w:val="28"/>
        </w:rPr>
      </w:pPr>
      <w:r w:rsidRPr="00F31154">
        <w:rPr>
          <w:rFonts w:ascii="Arial" w:hAnsi="Arial" w:cs="Arial"/>
          <w:bCs/>
          <w:szCs w:val="28"/>
        </w:rPr>
        <w:t xml:space="preserve">José Eduardo de </w:t>
      </w:r>
      <w:r w:rsidR="00B15313">
        <w:rPr>
          <w:rFonts w:ascii="Arial" w:hAnsi="Arial" w:cs="Arial"/>
          <w:bCs/>
          <w:szCs w:val="28"/>
        </w:rPr>
        <w:t>Carvalho Lima³</w:t>
      </w:r>
    </w:p>
    <w:p w:rsidR="00382D84" w:rsidRPr="00F31154" w:rsidRDefault="00B15313" w:rsidP="00B15313">
      <w:pPr>
        <w:tabs>
          <w:tab w:val="left" w:pos="585"/>
        </w:tabs>
        <w:spacing w:after="120" w:line="360" w:lineRule="auto"/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ab/>
      </w:r>
    </w:p>
    <w:p w:rsidR="00283BB6" w:rsidRDefault="00283BB6" w:rsidP="008B7A57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RESUMO</w:t>
      </w:r>
    </w:p>
    <w:p w:rsidR="00283BB6" w:rsidRDefault="00283BB6" w:rsidP="00C372C6">
      <w:pPr>
        <w:spacing w:line="480" w:lineRule="auto"/>
        <w:jc w:val="both"/>
        <w:rPr>
          <w:rFonts w:ascii="Arial" w:hAnsi="Arial" w:cs="Arial"/>
          <w:b/>
        </w:rPr>
      </w:pPr>
    </w:p>
    <w:p w:rsidR="00382D84" w:rsidRPr="00F31154" w:rsidRDefault="00EA0B2F" w:rsidP="007415C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853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verificação</w:t>
      </w:r>
      <w:r w:rsidR="004853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prévia</w:t>
      </w:r>
      <w:r w:rsidR="004853DA">
        <w:rPr>
          <w:rFonts w:ascii="Arial" w:hAnsi="Arial" w:cs="Arial"/>
        </w:rPr>
        <w:t xml:space="preserve"> das necessidades</w:t>
      </w:r>
      <w:r>
        <w:rPr>
          <w:rFonts w:ascii="Arial" w:hAnsi="Arial" w:cs="Arial"/>
        </w:rPr>
        <w:t xml:space="preserve"> de uma organização</w:t>
      </w:r>
      <w:r w:rsidR="004853DA">
        <w:rPr>
          <w:rFonts w:ascii="Arial" w:hAnsi="Arial" w:cs="Arial"/>
        </w:rPr>
        <w:t xml:space="preserve"> </w:t>
      </w:r>
      <w:r w:rsidR="00DC70D0">
        <w:rPr>
          <w:rFonts w:ascii="Arial" w:hAnsi="Arial" w:cs="Arial"/>
        </w:rPr>
        <w:t>tornou</w:t>
      </w:r>
      <w:r w:rsidR="004853DA">
        <w:rPr>
          <w:rFonts w:ascii="Arial" w:hAnsi="Arial" w:cs="Arial"/>
        </w:rPr>
        <w:t xml:space="preserve"> </w:t>
      </w:r>
      <w:r w:rsidR="0043714F">
        <w:rPr>
          <w:rFonts w:ascii="Arial" w:hAnsi="Arial" w:cs="Arial"/>
        </w:rPr>
        <w:t>par</w:t>
      </w:r>
      <w:r w:rsidR="004853DA">
        <w:rPr>
          <w:rFonts w:ascii="Arial" w:hAnsi="Arial" w:cs="Arial"/>
        </w:rPr>
        <w:t xml:space="preserve">a </w:t>
      </w:r>
      <w:r w:rsidR="0043714F">
        <w:rPr>
          <w:rFonts w:ascii="Arial" w:hAnsi="Arial" w:cs="Arial"/>
        </w:rPr>
        <w:t xml:space="preserve">uma </w:t>
      </w:r>
      <w:r w:rsidR="004853DA">
        <w:rPr>
          <w:rFonts w:ascii="Arial" w:hAnsi="Arial" w:cs="Arial"/>
        </w:rPr>
        <w:t>análise do</w:t>
      </w:r>
      <w:r w:rsidR="00325AE3">
        <w:rPr>
          <w:rFonts w:ascii="Arial" w:hAnsi="Arial" w:cs="Arial"/>
        </w:rPr>
        <w:t xml:space="preserve">s demonstrativos financeiros </w:t>
      </w:r>
      <w:r w:rsidR="004853DA">
        <w:rPr>
          <w:rFonts w:ascii="Arial" w:hAnsi="Arial" w:cs="Arial"/>
        </w:rPr>
        <w:t xml:space="preserve">um instrumento indispensável </w:t>
      </w:r>
      <w:r w:rsidR="0043714F">
        <w:rPr>
          <w:rFonts w:ascii="Arial" w:hAnsi="Arial" w:cs="Arial"/>
        </w:rPr>
        <w:t>à</w:t>
      </w:r>
      <w:r w:rsidR="004853DA">
        <w:rPr>
          <w:rFonts w:ascii="Arial" w:hAnsi="Arial" w:cs="Arial"/>
        </w:rPr>
        <w:t xml:space="preserve"> administração gerencial da empresa.</w:t>
      </w:r>
      <w:r w:rsidR="00382D84" w:rsidRPr="00F31154">
        <w:rPr>
          <w:rFonts w:ascii="Arial" w:hAnsi="Arial" w:cs="Arial"/>
        </w:rPr>
        <w:t xml:space="preserve"> </w:t>
      </w:r>
      <w:r w:rsidR="001F1DB5">
        <w:rPr>
          <w:rFonts w:ascii="Arial" w:hAnsi="Arial" w:cs="Arial"/>
        </w:rPr>
        <w:t>Dessa forma</w:t>
      </w:r>
      <w:r w:rsidR="001F1DB5" w:rsidRPr="00F31154">
        <w:rPr>
          <w:rFonts w:ascii="Arial" w:hAnsi="Arial" w:cs="Arial"/>
        </w:rPr>
        <w:t xml:space="preserve">, </w:t>
      </w:r>
      <w:r w:rsidR="001F1DB5">
        <w:rPr>
          <w:rFonts w:ascii="Arial" w:hAnsi="Arial" w:cs="Arial"/>
        </w:rPr>
        <w:t>este</w:t>
      </w:r>
      <w:r w:rsidR="001F1DB5" w:rsidRPr="00F31154">
        <w:rPr>
          <w:rFonts w:ascii="Arial" w:hAnsi="Arial" w:cs="Arial"/>
        </w:rPr>
        <w:t xml:space="preserve"> estudo tem como objetivo </w:t>
      </w:r>
      <w:r w:rsidR="001F1DB5">
        <w:rPr>
          <w:rFonts w:ascii="Arial" w:hAnsi="Arial" w:cs="Arial"/>
        </w:rPr>
        <w:t>fazer uma</w:t>
      </w:r>
      <w:r w:rsidR="001F1DB5" w:rsidRPr="00F31154">
        <w:rPr>
          <w:rFonts w:ascii="Arial" w:hAnsi="Arial" w:cs="Arial"/>
        </w:rPr>
        <w:t xml:space="preserve"> análise das demonstrações contábeis no ramo de cosméticos, considerando uma análise temporal de 2010 a 2013</w:t>
      </w:r>
      <w:r w:rsidR="001F1DB5">
        <w:rPr>
          <w:rFonts w:ascii="Arial" w:hAnsi="Arial" w:cs="Arial"/>
        </w:rPr>
        <w:t xml:space="preserve">, e como objetivos específicos </w:t>
      </w:r>
      <w:r w:rsidR="001F1DB5" w:rsidRPr="00F31154">
        <w:rPr>
          <w:rFonts w:ascii="Arial" w:hAnsi="Arial" w:cs="Arial"/>
        </w:rPr>
        <w:t>identificar através de relatórios a situação e variação dos índices financeiros para uma análise entre rentabilidade, liquidez e endividamento.</w:t>
      </w:r>
      <w:r w:rsidR="001F1DB5">
        <w:rPr>
          <w:rFonts w:ascii="Arial" w:hAnsi="Arial" w:cs="Arial"/>
        </w:rPr>
        <w:t xml:space="preserve"> </w:t>
      </w:r>
      <w:r w:rsidR="00382D84" w:rsidRPr="00F31154">
        <w:rPr>
          <w:rFonts w:ascii="Arial" w:hAnsi="Arial" w:cs="Arial"/>
        </w:rPr>
        <w:t>Uma análise desenvolvida de relatórios contáb</w:t>
      </w:r>
      <w:r w:rsidR="009737B5">
        <w:rPr>
          <w:rFonts w:ascii="Arial" w:hAnsi="Arial" w:cs="Arial"/>
        </w:rPr>
        <w:t xml:space="preserve">eis possibilita os gestores </w:t>
      </w:r>
      <w:r w:rsidR="004853DA">
        <w:rPr>
          <w:rFonts w:ascii="Arial" w:hAnsi="Arial" w:cs="Arial"/>
        </w:rPr>
        <w:t xml:space="preserve">a </w:t>
      </w:r>
      <w:r w:rsidR="009737B5">
        <w:rPr>
          <w:rFonts w:ascii="Arial" w:hAnsi="Arial" w:cs="Arial"/>
        </w:rPr>
        <w:t>utilizarem</w:t>
      </w:r>
      <w:r w:rsidR="00382D84" w:rsidRPr="00F31154">
        <w:rPr>
          <w:rFonts w:ascii="Arial" w:hAnsi="Arial" w:cs="Arial"/>
        </w:rPr>
        <w:t xml:space="preserve"> esses dados e </w:t>
      </w:r>
      <w:r w:rsidR="009737B5" w:rsidRPr="00F31154">
        <w:rPr>
          <w:rFonts w:ascii="Arial" w:hAnsi="Arial" w:cs="Arial"/>
        </w:rPr>
        <w:t>aplicar</w:t>
      </w:r>
      <w:r w:rsidR="00382D84" w:rsidRPr="00F31154">
        <w:rPr>
          <w:rFonts w:ascii="Arial" w:hAnsi="Arial" w:cs="Arial"/>
        </w:rPr>
        <w:t xml:space="preserve"> técnicas para a interpretação das análises, </w:t>
      </w:r>
      <w:r w:rsidR="00325B92">
        <w:rPr>
          <w:rFonts w:ascii="Arial" w:hAnsi="Arial" w:cs="Arial"/>
        </w:rPr>
        <w:t>a</w:t>
      </w:r>
      <w:r w:rsidR="00325B92" w:rsidRPr="00F31154">
        <w:rPr>
          <w:rFonts w:ascii="Arial" w:hAnsi="Arial" w:cs="Arial"/>
        </w:rPr>
        <w:t xml:space="preserve"> fim de</w:t>
      </w:r>
      <w:r w:rsidR="00382D84" w:rsidRPr="00F31154">
        <w:rPr>
          <w:rFonts w:ascii="Arial" w:hAnsi="Arial" w:cs="Arial"/>
        </w:rPr>
        <w:t xml:space="preserve"> nortear aos gestores a </w:t>
      </w:r>
      <w:r w:rsidR="0043714F">
        <w:rPr>
          <w:rFonts w:ascii="Arial" w:hAnsi="Arial" w:cs="Arial"/>
        </w:rPr>
        <w:t>empregar os</w:t>
      </w:r>
      <w:r w:rsidR="00382D84" w:rsidRPr="00F31154">
        <w:rPr>
          <w:rFonts w:ascii="Arial" w:hAnsi="Arial" w:cs="Arial"/>
        </w:rPr>
        <w:t xml:space="preserve"> recursos financeiros. Existem várias formas de analisar </w:t>
      </w:r>
      <w:r w:rsidR="00DB20D0">
        <w:rPr>
          <w:rFonts w:ascii="Arial" w:hAnsi="Arial" w:cs="Arial"/>
        </w:rPr>
        <w:t>os relatórios demonstrativos financeiros</w:t>
      </w:r>
      <w:r w:rsidR="00382D84" w:rsidRPr="00F31154">
        <w:rPr>
          <w:rFonts w:ascii="Arial" w:hAnsi="Arial" w:cs="Arial"/>
        </w:rPr>
        <w:t>, dentre</w:t>
      </w:r>
      <w:r w:rsidR="00DB20D0">
        <w:rPr>
          <w:rFonts w:ascii="Arial" w:hAnsi="Arial" w:cs="Arial"/>
        </w:rPr>
        <w:t xml:space="preserve"> el</w:t>
      </w:r>
      <w:r w:rsidR="00325AE3">
        <w:rPr>
          <w:rFonts w:ascii="Arial" w:hAnsi="Arial" w:cs="Arial"/>
        </w:rPr>
        <w:t>e</w:t>
      </w:r>
      <w:r w:rsidR="00DB20D0">
        <w:rPr>
          <w:rFonts w:ascii="Arial" w:hAnsi="Arial" w:cs="Arial"/>
        </w:rPr>
        <w:t>s estão à análise vertical, análise horizontal</w:t>
      </w:r>
      <w:r w:rsidR="00382D84" w:rsidRPr="00F31154">
        <w:rPr>
          <w:rFonts w:ascii="Arial" w:hAnsi="Arial" w:cs="Arial"/>
        </w:rPr>
        <w:t xml:space="preserve">, e a análise por índices. </w:t>
      </w:r>
      <w:r w:rsidR="00747262">
        <w:rPr>
          <w:rFonts w:ascii="Arial" w:hAnsi="Arial" w:cs="Arial"/>
        </w:rPr>
        <w:t>Esse estudo</w:t>
      </w:r>
      <w:r w:rsidR="009A69EA" w:rsidRPr="00F31154">
        <w:rPr>
          <w:rFonts w:ascii="Arial" w:hAnsi="Arial" w:cs="Arial"/>
        </w:rPr>
        <w:t xml:space="preserve"> tem</w:t>
      </w:r>
      <w:r w:rsidR="00747262">
        <w:rPr>
          <w:rFonts w:ascii="Arial" w:hAnsi="Arial" w:cs="Arial"/>
        </w:rPr>
        <w:t xml:space="preserve"> como natureza descritiva, </w:t>
      </w:r>
      <w:r w:rsidR="009A69EA">
        <w:rPr>
          <w:rFonts w:ascii="Arial" w:hAnsi="Arial" w:cs="Arial"/>
        </w:rPr>
        <w:t>uma</w:t>
      </w:r>
      <w:r w:rsidR="00382D84" w:rsidRPr="00F31154">
        <w:rPr>
          <w:rFonts w:ascii="Arial" w:hAnsi="Arial" w:cs="Arial"/>
        </w:rPr>
        <w:t xml:space="preserve"> </w:t>
      </w:r>
      <w:r w:rsidR="00747262">
        <w:rPr>
          <w:rFonts w:ascii="Arial" w:hAnsi="Arial" w:cs="Arial"/>
        </w:rPr>
        <w:t xml:space="preserve">abordagem </w:t>
      </w:r>
      <w:proofErr w:type="spellStart"/>
      <w:r w:rsidR="00747262">
        <w:rPr>
          <w:rFonts w:ascii="Arial" w:hAnsi="Arial" w:cs="Arial"/>
        </w:rPr>
        <w:t>quali</w:t>
      </w:r>
      <w:proofErr w:type="spellEnd"/>
      <w:r w:rsidR="00747262">
        <w:rPr>
          <w:rFonts w:ascii="Arial" w:hAnsi="Arial" w:cs="Arial"/>
        </w:rPr>
        <w:t>-quantitativa,</w:t>
      </w:r>
      <w:r w:rsidR="00382D84" w:rsidRPr="00F31154">
        <w:rPr>
          <w:rFonts w:ascii="Arial" w:hAnsi="Arial" w:cs="Arial"/>
        </w:rPr>
        <w:t xml:space="preserve"> uma pesquisa </w:t>
      </w:r>
      <w:r w:rsidR="00CF7563">
        <w:rPr>
          <w:rFonts w:ascii="Arial" w:hAnsi="Arial" w:cs="Arial"/>
        </w:rPr>
        <w:t>documental,</w:t>
      </w:r>
      <w:r w:rsidR="00BF00E1">
        <w:rPr>
          <w:rFonts w:ascii="Arial" w:hAnsi="Arial" w:cs="Arial"/>
        </w:rPr>
        <w:t xml:space="preserve"> tendo como base de relatórios obtidos pelo site da BOVESPA de </w:t>
      </w:r>
      <w:r w:rsidR="00A63614">
        <w:rPr>
          <w:rFonts w:ascii="Arial" w:hAnsi="Arial" w:cs="Arial"/>
        </w:rPr>
        <w:t xml:space="preserve">uma </w:t>
      </w:r>
      <w:r w:rsidR="00BF00E1">
        <w:rPr>
          <w:rFonts w:ascii="Arial" w:hAnsi="Arial" w:cs="Arial"/>
        </w:rPr>
        <w:t>empresa de cosméticos e per</w:t>
      </w:r>
      <w:r w:rsidR="0045616B">
        <w:rPr>
          <w:rFonts w:ascii="Arial" w:hAnsi="Arial" w:cs="Arial"/>
        </w:rPr>
        <w:t xml:space="preserve">fumaria, </w:t>
      </w:r>
      <w:r w:rsidR="00747262">
        <w:rPr>
          <w:rFonts w:ascii="Arial" w:hAnsi="Arial" w:cs="Arial"/>
        </w:rPr>
        <w:t>em uma série temporal e técnica de análise horizontal</w:t>
      </w:r>
      <w:r w:rsidR="00CF7563">
        <w:rPr>
          <w:rFonts w:ascii="Arial" w:hAnsi="Arial" w:cs="Arial"/>
        </w:rPr>
        <w:t>,</w:t>
      </w:r>
      <w:r w:rsidR="00382D84" w:rsidRPr="00F31154">
        <w:rPr>
          <w:rFonts w:ascii="Arial" w:hAnsi="Arial" w:cs="Arial"/>
        </w:rPr>
        <w:t xml:space="preserve"> </w:t>
      </w:r>
      <w:r w:rsidR="00DB20D0">
        <w:rPr>
          <w:rFonts w:ascii="Arial" w:hAnsi="Arial" w:cs="Arial"/>
        </w:rPr>
        <w:t>onde</w:t>
      </w:r>
      <w:r w:rsidR="00382D84" w:rsidRPr="00F31154">
        <w:rPr>
          <w:rFonts w:ascii="Arial" w:hAnsi="Arial" w:cs="Arial"/>
        </w:rPr>
        <w:t xml:space="preserve"> se </w:t>
      </w:r>
      <w:r w:rsidR="00F91120">
        <w:rPr>
          <w:rFonts w:ascii="Arial" w:hAnsi="Arial" w:cs="Arial"/>
        </w:rPr>
        <w:t>procurou</w:t>
      </w:r>
      <w:r w:rsidR="00382D84" w:rsidRPr="00F31154">
        <w:rPr>
          <w:rFonts w:ascii="Arial" w:hAnsi="Arial" w:cs="Arial"/>
        </w:rPr>
        <w:t xml:space="preserve"> </w:t>
      </w:r>
      <w:r w:rsidR="00F91120">
        <w:rPr>
          <w:rFonts w:ascii="Arial" w:hAnsi="Arial" w:cs="Arial"/>
        </w:rPr>
        <w:t>colher</w:t>
      </w:r>
      <w:r w:rsidR="00382D84" w:rsidRPr="00F31154">
        <w:rPr>
          <w:rFonts w:ascii="Arial" w:hAnsi="Arial" w:cs="Arial"/>
        </w:rPr>
        <w:t xml:space="preserve"> dados </w:t>
      </w:r>
      <w:r w:rsidR="00F91120">
        <w:rPr>
          <w:rFonts w:ascii="Arial" w:hAnsi="Arial" w:cs="Arial"/>
        </w:rPr>
        <w:t>precisos</w:t>
      </w:r>
      <w:r w:rsidR="00382D84" w:rsidRPr="00F31154">
        <w:rPr>
          <w:rFonts w:ascii="Arial" w:hAnsi="Arial" w:cs="Arial"/>
        </w:rPr>
        <w:t xml:space="preserve"> </w:t>
      </w:r>
      <w:r w:rsidR="00F91120">
        <w:rPr>
          <w:rFonts w:ascii="Arial" w:hAnsi="Arial" w:cs="Arial"/>
        </w:rPr>
        <w:t>através</w:t>
      </w:r>
      <w:r w:rsidR="00382D84" w:rsidRPr="00F31154">
        <w:rPr>
          <w:rFonts w:ascii="Arial" w:hAnsi="Arial" w:cs="Arial"/>
        </w:rPr>
        <w:t xml:space="preserve"> de textos em livros</w:t>
      </w:r>
      <w:r w:rsidR="00BF00E1">
        <w:rPr>
          <w:rFonts w:ascii="Arial" w:hAnsi="Arial" w:cs="Arial"/>
        </w:rPr>
        <w:t>, artigo</w:t>
      </w:r>
      <w:r w:rsidR="00F91120">
        <w:rPr>
          <w:rFonts w:ascii="Arial" w:hAnsi="Arial" w:cs="Arial"/>
        </w:rPr>
        <w:t xml:space="preserve"> científic</w:t>
      </w:r>
      <w:r w:rsidR="00550253">
        <w:rPr>
          <w:rFonts w:ascii="Arial" w:hAnsi="Arial" w:cs="Arial"/>
        </w:rPr>
        <w:t>o</w:t>
      </w:r>
      <w:r w:rsidR="00382D84" w:rsidRPr="00F31154">
        <w:rPr>
          <w:rFonts w:ascii="Arial" w:hAnsi="Arial" w:cs="Arial"/>
        </w:rPr>
        <w:t xml:space="preserve"> e revistas. </w:t>
      </w:r>
      <w:r w:rsidR="00382D84" w:rsidRPr="00D52EC2">
        <w:rPr>
          <w:rFonts w:ascii="Arial" w:hAnsi="Arial" w:cs="Arial"/>
        </w:rPr>
        <w:t>Em vista disso</w:t>
      </w:r>
      <w:r w:rsidR="00382D84" w:rsidRPr="00F31154">
        <w:rPr>
          <w:rFonts w:ascii="Arial" w:hAnsi="Arial" w:cs="Arial"/>
        </w:rPr>
        <w:t xml:space="preserve">, os resultados da pesquisa consegue </w:t>
      </w:r>
      <w:r w:rsidR="00D52EC2">
        <w:rPr>
          <w:rFonts w:ascii="Arial" w:hAnsi="Arial" w:cs="Arial"/>
        </w:rPr>
        <w:t>um crescimento</w:t>
      </w:r>
      <w:r w:rsidR="00382D84" w:rsidRPr="00F31154">
        <w:rPr>
          <w:rFonts w:ascii="Arial" w:hAnsi="Arial" w:cs="Arial"/>
        </w:rPr>
        <w:t xml:space="preserve"> em seus indicadores em estudo. Assim, conclui-se que a análise financeira </w:t>
      </w:r>
      <w:r w:rsidR="00F26330">
        <w:rPr>
          <w:rFonts w:ascii="Arial" w:hAnsi="Arial" w:cs="Arial"/>
        </w:rPr>
        <w:t>permite</w:t>
      </w:r>
      <w:r w:rsidR="00382D84" w:rsidRPr="00F31154">
        <w:rPr>
          <w:rFonts w:ascii="Arial" w:hAnsi="Arial" w:cs="Arial"/>
        </w:rPr>
        <w:t xml:space="preserve"> a </w:t>
      </w:r>
      <w:r w:rsidR="00F26330" w:rsidRPr="00F31154">
        <w:rPr>
          <w:rFonts w:ascii="Arial" w:hAnsi="Arial" w:cs="Arial"/>
        </w:rPr>
        <w:t>precaução</w:t>
      </w:r>
      <w:r w:rsidR="00382D84" w:rsidRPr="00F31154">
        <w:rPr>
          <w:rFonts w:ascii="Arial" w:hAnsi="Arial" w:cs="Arial"/>
        </w:rPr>
        <w:t xml:space="preserve"> de </w:t>
      </w:r>
      <w:r w:rsidR="00F26330">
        <w:rPr>
          <w:rFonts w:ascii="Arial" w:hAnsi="Arial" w:cs="Arial"/>
        </w:rPr>
        <w:t>avaliar</w:t>
      </w:r>
      <w:r w:rsidR="00382D84" w:rsidRPr="00F31154">
        <w:rPr>
          <w:rFonts w:ascii="Arial" w:hAnsi="Arial" w:cs="Arial"/>
        </w:rPr>
        <w:t xml:space="preserve"> e orienta</w:t>
      </w:r>
      <w:r w:rsidR="00F26330">
        <w:rPr>
          <w:rFonts w:ascii="Arial" w:hAnsi="Arial" w:cs="Arial"/>
        </w:rPr>
        <w:t>r</w:t>
      </w:r>
      <w:r w:rsidR="00382D84" w:rsidRPr="00F31154">
        <w:rPr>
          <w:rFonts w:ascii="Arial" w:hAnsi="Arial" w:cs="Arial"/>
        </w:rPr>
        <w:t xml:space="preserve"> aos gestores </w:t>
      </w:r>
      <w:r w:rsidR="00FB0BB0">
        <w:rPr>
          <w:rFonts w:ascii="Arial" w:hAnsi="Arial" w:cs="Arial"/>
        </w:rPr>
        <w:t xml:space="preserve">para </w:t>
      </w:r>
      <w:r w:rsidR="00382D84" w:rsidRPr="00F31154">
        <w:rPr>
          <w:rFonts w:ascii="Arial" w:hAnsi="Arial" w:cs="Arial"/>
        </w:rPr>
        <w:t>uma tomada de decisão mais eficaz.</w:t>
      </w:r>
    </w:p>
    <w:p w:rsidR="007415CC" w:rsidRPr="00F31154" w:rsidRDefault="007415CC" w:rsidP="00B25D66">
      <w:pPr>
        <w:spacing w:line="480" w:lineRule="auto"/>
        <w:jc w:val="both"/>
        <w:rPr>
          <w:rFonts w:ascii="Arial" w:hAnsi="Arial" w:cs="Arial"/>
        </w:rPr>
      </w:pPr>
    </w:p>
    <w:p w:rsidR="00382D84" w:rsidRDefault="00382D84" w:rsidP="007415CC">
      <w:pPr>
        <w:spacing w:line="276" w:lineRule="auto"/>
        <w:jc w:val="both"/>
        <w:rPr>
          <w:rFonts w:ascii="Arial" w:hAnsi="Arial" w:cs="Arial"/>
        </w:rPr>
      </w:pPr>
      <w:r w:rsidRPr="00F31154">
        <w:rPr>
          <w:rFonts w:ascii="Arial" w:hAnsi="Arial" w:cs="Arial"/>
          <w:b/>
        </w:rPr>
        <w:t xml:space="preserve">Palavras-chave: </w:t>
      </w:r>
      <w:r w:rsidR="00567824">
        <w:rPr>
          <w:rFonts w:ascii="Arial" w:hAnsi="Arial" w:cs="Arial"/>
        </w:rPr>
        <w:t>Relatórios Contábeis</w:t>
      </w:r>
      <w:r w:rsidRPr="00F31154">
        <w:rPr>
          <w:rFonts w:ascii="Arial" w:hAnsi="Arial" w:cs="Arial"/>
        </w:rPr>
        <w:t xml:space="preserve">. </w:t>
      </w:r>
      <w:r w:rsidR="00567824">
        <w:rPr>
          <w:rFonts w:ascii="Arial" w:hAnsi="Arial" w:cs="Arial"/>
        </w:rPr>
        <w:t xml:space="preserve">Interpretação </w:t>
      </w:r>
      <w:r w:rsidRPr="00F31154">
        <w:rPr>
          <w:rFonts w:ascii="Arial" w:hAnsi="Arial" w:cs="Arial"/>
        </w:rPr>
        <w:t>Financeira. Índices Eco</w:t>
      </w:r>
      <w:bookmarkStart w:id="0" w:name="_GoBack"/>
      <w:bookmarkEnd w:id="0"/>
      <w:r w:rsidRPr="00F31154">
        <w:rPr>
          <w:rFonts w:ascii="Arial" w:hAnsi="Arial" w:cs="Arial"/>
        </w:rPr>
        <w:t>nômico-Financeiros.</w:t>
      </w:r>
    </w:p>
    <w:p w:rsidR="00D81F40" w:rsidRPr="00F31154" w:rsidRDefault="00D81F40" w:rsidP="004536CC">
      <w:pPr>
        <w:pStyle w:val="PargrafodaLista"/>
        <w:numPr>
          <w:ilvl w:val="0"/>
          <w:numId w:val="36"/>
        </w:numPr>
        <w:tabs>
          <w:tab w:val="left" w:pos="2393"/>
          <w:tab w:val="left" w:pos="3600"/>
        </w:tabs>
        <w:spacing w:line="360" w:lineRule="auto"/>
        <w:ind w:left="426" w:hanging="426"/>
        <w:jc w:val="both"/>
        <w:rPr>
          <w:rFonts w:ascii="Arial" w:hAnsi="Arial" w:cs="Arial"/>
          <w:b/>
          <w:color w:val="000000"/>
        </w:rPr>
      </w:pPr>
      <w:r w:rsidRPr="00F31154">
        <w:rPr>
          <w:rFonts w:ascii="Arial" w:hAnsi="Arial" w:cs="Arial"/>
          <w:b/>
          <w:color w:val="000000"/>
        </w:rPr>
        <w:lastRenderedPageBreak/>
        <w:t>INTRODUÇÃO</w:t>
      </w:r>
    </w:p>
    <w:p w:rsidR="004E2310" w:rsidRPr="00F31154" w:rsidRDefault="004E2310" w:rsidP="00C372C6">
      <w:pPr>
        <w:tabs>
          <w:tab w:val="left" w:pos="2393"/>
          <w:tab w:val="left" w:pos="3600"/>
        </w:tabs>
        <w:spacing w:line="480" w:lineRule="auto"/>
        <w:jc w:val="both"/>
        <w:rPr>
          <w:rFonts w:ascii="Arial" w:hAnsi="Arial" w:cs="Arial"/>
          <w:b/>
          <w:color w:val="000000"/>
        </w:rPr>
      </w:pPr>
    </w:p>
    <w:p w:rsidR="008F2060" w:rsidRPr="00F31154" w:rsidRDefault="005659F3" w:rsidP="0013310F">
      <w:pPr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A contabilidade em si para as empresas é a linguagem dos negócios através das demonstrações contábeis, </w:t>
      </w:r>
      <w:r w:rsidR="00F31154">
        <w:rPr>
          <w:rFonts w:ascii="Arial" w:hAnsi="Arial" w:cs="Arial"/>
        </w:rPr>
        <w:t xml:space="preserve">onde fornece informações para obter </w:t>
      </w:r>
      <w:r w:rsidR="009737B5">
        <w:rPr>
          <w:rFonts w:ascii="Arial" w:hAnsi="Arial" w:cs="Arial"/>
        </w:rPr>
        <w:t>análise</w:t>
      </w:r>
      <w:r w:rsidR="0013310F">
        <w:rPr>
          <w:rFonts w:ascii="Arial" w:hAnsi="Arial" w:cs="Arial"/>
        </w:rPr>
        <w:t xml:space="preserve"> </w:t>
      </w:r>
      <w:r w:rsidR="00215E3D">
        <w:rPr>
          <w:rFonts w:ascii="Arial" w:hAnsi="Arial" w:cs="Arial"/>
        </w:rPr>
        <w:t>dos resultados de</w:t>
      </w:r>
      <w:r w:rsidR="009737B5">
        <w:rPr>
          <w:rFonts w:ascii="Arial" w:hAnsi="Arial" w:cs="Arial"/>
        </w:rPr>
        <w:t xml:space="preserve"> desempenho e a </w:t>
      </w:r>
      <w:r w:rsidR="00F31154" w:rsidRPr="00F31154">
        <w:rPr>
          <w:rFonts w:ascii="Arial" w:hAnsi="Arial" w:cs="Arial"/>
        </w:rPr>
        <w:t>saúde da empresa, através de identificar e m</w:t>
      </w:r>
      <w:r w:rsidR="003B4DE3">
        <w:rPr>
          <w:rFonts w:ascii="Arial" w:hAnsi="Arial" w:cs="Arial"/>
        </w:rPr>
        <w:t xml:space="preserve">ensurar os índices financeiros. </w:t>
      </w:r>
      <w:r w:rsidRPr="00F31154">
        <w:rPr>
          <w:rFonts w:ascii="Arial" w:hAnsi="Arial" w:cs="Arial"/>
        </w:rPr>
        <w:t>Em face, uma análise desenvolvida através de dados contábeis confiáveis fornece ao gestor interpretar de maneira mais eficiente</w:t>
      </w:r>
      <w:r w:rsidR="006364E4">
        <w:rPr>
          <w:rFonts w:ascii="Arial" w:hAnsi="Arial" w:cs="Arial"/>
        </w:rPr>
        <w:t xml:space="preserve"> seus resultados</w:t>
      </w:r>
      <w:r w:rsidRPr="00F31154">
        <w:rPr>
          <w:rFonts w:ascii="Arial" w:hAnsi="Arial" w:cs="Arial"/>
        </w:rPr>
        <w:t xml:space="preserve">, a fim de que esses dados sejam utilizados por técnicas destacando-se os índices financeiros baseados nas demonstrações contábeis, onde são utilizados e divulgados na organização. </w:t>
      </w:r>
    </w:p>
    <w:p w:rsidR="005659F3" w:rsidRPr="00F31154" w:rsidRDefault="008F2060" w:rsidP="005659F3">
      <w:pPr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>Tem como problemática a</w:t>
      </w:r>
      <w:r w:rsidR="005659F3" w:rsidRPr="00F31154">
        <w:rPr>
          <w:rFonts w:ascii="Arial" w:hAnsi="Arial" w:cs="Arial"/>
        </w:rPr>
        <w:t xml:space="preserve"> análise de índices </w:t>
      </w:r>
      <w:r w:rsidR="00951B1E" w:rsidRPr="00F31154">
        <w:rPr>
          <w:rFonts w:ascii="Arial" w:hAnsi="Arial" w:cs="Arial"/>
        </w:rPr>
        <w:t xml:space="preserve">econômico-financeiros </w:t>
      </w:r>
      <w:r w:rsidRPr="00F31154">
        <w:rPr>
          <w:rFonts w:ascii="Arial" w:hAnsi="Arial" w:cs="Arial"/>
        </w:rPr>
        <w:t xml:space="preserve">que </w:t>
      </w:r>
      <w:r w:rsidR="005659F3" w:rsidRPr="00F31154">
        <w:rPr>
          <w:rFonts w:ascii="Arial" w:hAnsi="Arial" w:cs="Arial"/>
        </w:rPr>
        <w:t>se constitui como uma</w:t>
      </w:r>
      <w:r w:rsidR="00796FD7" w:rsidRPr="00F31154">
        <w:rPr>
          <w:rFonts w:ascii="Arial" w:hAnsi="Arial" w:cs="Arial"/>
        </w:rPr>
        <w:t xml:space="preserve"> ferramenta </w:t>
      </w:r>
      <w:r w:rsidRPr="00F31154">
        <w:rPr>
          <w:rFonts w:ascii="Arial" w:hAnsi="Arial" w:cs="Arial"/>
        </w:rPr>
        <w:t>indispensável</w:t>
      </w:r>
      <w:r w:rsidR="00796FD7" w:rsidRPr="00F31154">
        <w:rPr>
          <w:rFonts w:ascii="Arial" w:hAnsi="Arial" w:cs="Arial"/>
        </w:rPr>
        <w:t>, com fim de nortear</w:t>
      </w:r>
      <w:r w:rsidR="004536CC" w:rsidRPr="00F31154">
        <w:rPr>
          <w:rFonts w:ascii="Arial" w:hAnsi="Arial" w:cs="Arial"/>
        </w:rPr>
        <w:t xml:space="preserve"> os </w:t>
      </w:r>
      <w:r w:rsidR="00796FD7" w:rsidRPr="00F31154">
        <w:rPr>
          <w:rFonts w:ascii="Arial" w:hAnsi="Arial" w:cs="Arial"/>
        </w:rPr>
        <w:t xml:space="preserve">gestores e </w:t>
      </w:r>
      <w:r w:rsidR="00567824">
        <w:rPr>
          <w:rFonts w:ascii="Arial" w:hAnsi="Arial" w:cs="Arial"/>
        </w:rPr>
        <w:t xml:space="preserve">investidores </w:t>
      </w:r>
      <w:r w:rsidR="005659F3" w:rsidRPr="00F31154">
        <w:rPr>
          <w:rFonts w:ascii="Arial" w:hAnsi="Arial" w:cs="Arial"/>
        </w:rPr>
        <w:t xml:space="preserve">a </w:t>
      </w:r>
      <w:r w:rsidR="00567824">
        <w:rPr>
          <w:rFonts w:ascii="Arial" w:hAnsi="Arial" w:cs="Arial"/>
        </w:rPr>
        <w:t>empregar</w:t>
      </w:r>
      <w:r w:rsidR="005659F3" w:rsidRPr="00F31154">
        <w:rPr>
          <w:rFonts w:ascii="Arial" w:hAnsi="Arial" w:cs="Arial"/>
        </w:rPr>
        <w:t xml:space="preserve"> </w:t>
      </w:r>
      <w:r w:rsidR="00567824">
        <w:rPr>
          <w:rFonts w:ascii="Arial" w:hAnsi="Arial" w:cs="Arial"/>
        </w:rPr>
        <w:t>os</w:t>
      </w:r>
      <w:r w:rsidR="005659F3" w:rsidRPr="00F31154">
        <w:rPr>
          <w:rFonts w:ascii="Arial" w:hAnsi="Arial" w:cs="Arial"/>
        </w:rPr>
        <w:t xml:space="preserve"> recursos financeiros.</w:t>
      </w:r>
    </w:p>
    <w:p w:rsidR="006A4ECD" w:rsidRPr="00F31154" w:rsidRDefault="00951B1E" w:rsidP="003A5EE4">
      <w:pPr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>O</w:t>
      </w:r>
      <w:r w:rsidR="008521CA" w:rsidRPr="00F31154">
        <w:rPr>
          <w:rFonts w:ascii="Arial" w:hAnsi="Arial" w:cs="Arial"/>
        </w:rPr>
        <w:t xml:space="preserve"> objetivo geral deste trabalho</w:t>
      </w:r>
      <w:r w:rsidR="006364E4" w:rsidRPr="00F31154">
        <w:rPr>
          <w:rFonts w:ascii="Arial" w:hAnsi="Arial" w:cs="Arial"/>
        </w:rPr>
        <w:t xml:space="preserve"> far-se-á</w:t>
      </w:r>
      <w:r w:rsidR="003A5EE4" w:rsidRPr="00F31154">
        <w:rPr>
          <w:rFonts w:ascii="Arial" w:hAnsi="Arial" w:cs="Arial"/>
        </w:rPr>
        <w:t xml:space="preserve"> </w:t>
      </w:r>
      <w:r w:rsidR="005647B9">
        <w:rPr>
          <w:rFonts w:ascii="Arial" w:hAnsi="Arial" w:cs="Arial"/>
        </w:rPr>
        <w:t>por meio</w:t>
      </w:r>
      <w:r w:rsidR="003A5EE4" w:rsidRPr="00F31154">
        <w:rPr>
          <w:rFonts w:ascii="Arial" w:hAnsi="Arial" w:cs="Arial"/>
        </w:rPr>
        <w:t xml:space="preserve"> da análise das demonstrações contábeis no ramo de cosméticos, considerando uma análise temporal de 2010 a </w:t>
      </w:r>
      <w:r w:rsidR="006364E4" w:rsidRPr="00F31154">
        <w:rPr>
          <w:rFonts w:ascii="Arial" w:hAnsi="Arial" w:cs="Arial"/>
        </w:rPr>
        <w:t xml:space="preserve">2013. </w:t>
      </w:r>
      <w:r w:rsidR="003A5EE4" w:rsidRPr="00F31154">
        <w:rPr>
          <w:rFonts w:ascii="Arial" w:hAnsi="Arial" w:cs="Arial"/>
        </w:rPr>
        <w:t xml:space="preserve"> E como o</w:t>
      </w:r>
      <w:r w:rsidR="002D53A7" w:rsidRPr="00F31154">
        <w:rPr>
          <w:rFonts w:ascii="Arial" w:hAnsi="Arial" w:cs="Arial"/>
        </w:rPr>
        <w:t xml:space="preserve">bjetivos específicos </w:t>
      </w:r>
      <w:r w:rsidR="00655091" w:rsidRPr="00F31154">
        <w:rPr>
          <w:rFonts w:ascii="Arial" w:hAnsi="Arial" w:cs="Arial"/>
        </w:rPr>
        <w:t xml:space="preserve">interpretar o desempenho da organização em relatórios gerenciais </w:t>
      </w:r>
      <w:r w:rsidR="002D53A7" w:rsidRPr="00F31154">
        <w:rPr>
          <w:rFonts w:ascii="Arial" w:hAnsi="Arial" w:cs="Arial"/>
        </w:rPr>
        <w:t>b</w:t>
      </w:r>
      <w:r w:rsidR="005659F3" w:rsidRPr="00F31154">
        <w:rPr>
          <w:rFonts w:ascii="Arial" w:hAnsi="Arial" w:cs="Arial"/>
        </w:rPr>
        <w:t>usca</w:t>
      </w:r>
      <w:r w:rsidR="00655091" w:rsidRPr="00F31154">
        <w:rPr>
          <w:rFonts w:ascii="Arial" w:hAnsi="Arial" w:cs="Arial"/>
        </w:rPr>
        <w:t>ndo</w:t>
      </w:r>
      <w:r w:rsidR="004536CC" w:rsidRPr="00F31154">
        <w:rPr>
          <w:rFonts w:ascii="Arial" w:hAnsi="Arial" w:cs="Arial"/>
        </w:rPr>
        <w:t xml:space="preserve"> </w:t>
      </w:r>
      <w:r w:rsidR="008B4402" w:rsidRPr="00F31154">
        <w:rPr>
          <w:rFonts w:ascii="Arial" w:hAnsi="Arial" w:cs="Arial"/>
        </w:rPr>
        <w:t xml:space="preserve">um entendimento </w:t>
      </w:r>
      <w:r w:rsidR="00655091" w:rsidRPr="00F31154">
        <w:rPr>
          <w:rFonts w:ascii="Arial" w:hAnsi="Arial" w:cs="Arial"/>
        </w:rPr>
        <w:t xml:space="preserve">para uma tomada de decisão; </w:t>
      </w:r>
      <w:r w:rsidR="005659F3" w:rsidRPr="00F31154">
        <w:rPr>
          <w:rFonts w:ascii="Arial" w:hAnsi="Arial" w:cs="Arial"/>
        </w:rPr>
        <w:t xml:space="preserve">identificar </w:t>
      </w:r>
      <w:r w:rsidR="00655091" w:rsidRPr="00F31154">
        <w:rPr>
          <w:rFonts w:ascii="Arial" w:hAnsi="Arial" w:cs="Arial"/>
        </w:rPr>
        <w:t>através dos índices</w:t>
      </w:r>
      <w:r w:rsidR="004536CC" w:rsidRPr="00F31154">
        <w:rPr>
          <w:rFonts w:ascii="Arial" w:hAnsi="Arial" w:cs="Arial"/>
        </w:rPr>
        <w:t xml:space="preserve"> </w:t>
      </w:r>
      <w:r w:rsidR="005659F3" w:rsidRPr="00F31154">
        <w:rPr>
          <w:rFonts w:ascii="Arial" w:hAnsi="Arial" w:cs="Arial"/>
        </w:rPr>
        <w:t xml:space="preserve">os principais motivos que contribuem </w:t>
      </w:r>
      <w:r w:rsidR="006B0DF6" w:rsidRPr="00F31154">
        <w:rPr>
          <w:rFonts w:ascii="Arial" w:hAnsi="Arial" w:cs="Arial"/>
        </w:rPr>
        <w:t xml:space="preserve">para </w:t>
      </w:r>
      <w:r w:rsidR="005659F3" w:rsidRPr="00F31154">
        <w:rPr>
          <w:rFonts w:ascii="Arial" w:hAnsi="Arial" w:cs="Arial"/>
        </w:rPr>
        <w:t xml:space="preserve">o sucesso ou </w:t>
      </w:r>
      <w:r w:rsidR="0068499E" w:rsidRPr="00F31154">
        <w:rPr>
          <w:rFonts w:ascii="Arial" w:hAnsi="Arial" w:cs="Arial"/>
        </w:rPr>
        <w:t>fracasso</w:t>
      </w:r>
      <w:r w:rsidR="005659F3" w:rsidRPr="00F31154">
        <w:rPr>
          <w:rFonts w:ascii="Arial" w:hAnsi="Arial" w:cs="Arial"/>
        </w:rPr>
        <w:t xml:space="preserve"> empresa</w:t>
      </w:r>
      <w:r w:rsidR="0068499E" w:rsidRPr="00F31154">
        <w:rPr>
          <w:rFonts w:ascii="Arial" w:hAnsi="Arial" w:cs="Arial"/>
        </w:rPr>
        <w:t>rial</w:t>
      </w:r>
      <w:r w:rsidR="00655091" w:rsidRPr="00F31154">
        <w:rPr>
          <w:rFonts w:ascii="Arial" w:hAnsi="Arial" w:cs="Arial"/>
        </w:rPr>
        <w:t xml:space="preserve">; </w:t>
      </w:r>
      <w:r w:rsidR="009A32A6" w:rsidRPr="00F31154">
        <w:rPr>
          <w:rFonts w:ascii="Arial" w:hAnsi="Arial" w:cs="Arial"/>
        </w:rPr>
        <w:t>f</w:t>
      </w:r>
      <w:r w:rsidR="00655091" w:rsidRPr="00F31154">
        <w:rPr>
          <w:rFonts w:ascii="Arial" w:hAnsi="Arial" w:cs="Arial"/>
        </w:rPr>
        <w:t>ornecer resultados</w:t>
      </w:r>
      <w:r w:rsidR="009A32A6" w:rsidRPr="00F31154">
        <w:rPr>
          <w:rFonts w:ascii="Arial" w:hAnsi="Arial" w:cs="Arial"/>
        </w:rPr>
        <w:t xml:space="preserve"> para contribuir no desenvolvimento e crescimento econômico da empresa</w:t>
      </w:r>
      <w:r w:rsidR="005659F3" w:rsidRPr="00F31154">
        <w:rPr>
          <w:rFonts w:ascii="Arial" w:hAnsi="Arial" w:cs="Arial"/>
        </w:rPr>
        <w:t>.</w:t>
      </w:r>
    </w:p>
    <w:p w:rsidR="00D52EC2" w:rsidRDefault="005647B9" w:rsidP="005659F3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Em relação</w:t>
      </w:r>
      <w:r w:rsidR="005659F3" w:rsidRPr="00F31154">
        <w:rPr>
          <w:rFonts w:ascii="Arial" w:hAnsi="Arial" w:cs="Arial"/>
        </w:rPr>
        <w:t xml:space="preserve"> ao procedimento</w:t>
      </w:r>
      <w:r w:rsidR="00F350BF" w:rsidRPr="00F31154">
        <w:rPr>
          <w:rFonts w:ascii="Arial" w:hAnsi="Arial" w:cs="Arial"/>
        </w:rPr>
        <w:t xml:space="preserve"> metodológico</w:t>
      </w:r>
      <w:r w:rsidR="005659F3" w:rsidRPr="00F31154">
        <w:rPr>
          <w:rFonts w:ascii="Arial" w:hAnsi="Arial" w:cs="Arial"/>
        </w:rPr>
        <w:t xml:space="preserve">, o estudo caracteriza-se por uma pesquisa </w:t>
      </w:r>
      <w:r w:rsidR="00550253">
        <w:rPr>
          <w:rFonts w:ascii="Arial" w:hAnsi="Arial" w:cs="Arial"/>
        </w:rPr>
        <w:t>documental,</w:t>
      </w:r>
      <w:r w:rsidR="00D52EC2" w:rsidRPr="00D52EC2">
        <w:rPr>
          <w:rFonts w:ascii="Arial" w:hAnsi="Arial" w:cs="Arial"/>
        </w:rPr>
        <w:t xml:space="preserve"> </w:t>
      </w:r>
      <w:r w:rsidR="00D52EC2">
        <w:rPr>
          <w:rFonts w:ascii="Arial" w:hAnsi="Arial" w:cs="Arial"/>
        </w:rPr>
        <w:t xml:space="preserve">tendo como base de relatórios obtidos pelo site da BOVESPA de </w:t>
      </w:r>
      <w:r>
        <w:rPr>
          <w:rFonts w:ascii="Arial" w:hAnsi="Arial" w:cs="Arial"/>
        </w:rPr>
        <w:t xml:space="preserve">uma </w:t>
      </w:r>
      <w:r w:rsidR="00D52EC2">
        <w:rPr>
          <w:rFonts w:ascii="Arial" w:hAnsi="Arial" w:cs="Arial"/>
        </w:rPr>
        <w:t>empresa de cosméticos e perfumaria</w:t>
      </w:r>
      <w:r>
        <w:rPr>
          <w:rFonts w:ascii="Arial" w:hAnsi="Arial" w:cs="Arial"/>
        </w:rPr>
        <w:t xml:space="preserve"> de rede nacional</w:t>
      </w:r>
      <w:r w:rsidR="00D52EC2">
        <w:rPr>
          <w:rFonts w:ascii="Arial" w:hAnsi="Arial" w:cs="Arial"/>
        </w:rPr>
        <w:t xml:space="preserve">, como também se trata de uma pesquisa </w:t>
      </w:r>
      <w:r w:rsidR="00D52EC2" w:rsidRPr="00F31154">
        <w:rPr>
          <w:rFonts w:ascii="Arial" w:hAnsi="Arial" w:cs="Arial"/>
        </w:rPr>
        <w:t>descritiva</w:t>
      </w:r>
      <w:r w:rsidR="00F45A82">
        <w:rPr>
          <w:rFonts w:ascii="Arial" w:hAnsi="Arial" w:cs="Arial"/>
        </w:rPr>
        <w:t xml:space="preserve">, </w:t>
      </w:r>
      <w:proofErr w:type="spellStart"/>
      <w:r w:rsidR="00F45A82">
        <w:rPr>
          <w:rFonts w:ascii="Arial" w:hAnsi="Arial" w:cs="Arial"/>
        </w:rPr>
        <w:t>qual</w:t>
      </w:r>
      <w:r w:rsidR="00D52EC2">
        <w:rPr>
          <w:rFonts w:ascii="Arial" w:hAnsi="Arial" w:cs="Arial"/>
        </w:rPr>
        <w:t>i</w:t>
      </w:r>
      <w:proofErr w:type="spellEnd"/>
      <w:r w:rsidR="00D52EC2">
        <w:rPr>
          <w:rFonts w:ascii="Arial" w:hAnsi="Arial" w:cs="Arial"/>
        </w:rPr>
        <w:t>-quantitativa e estudo de caso,</w:t>
      </w:r>
      <w:r w:rsidR="00D52EC2" w:rsidRPr="00F31154">
        <w:rPr>
          <w:rFonts w:ascii="Arial" w:hAnsi="Arial" w:cs="Arial"/>
        </w:rPr>
        <w:t xml:space="preserve"> </w:t>
      </w:r>
      <w:r w:rsidR="00D52EC2">
        <w:rPr>
          <w:rFonts w:ascii="Arial" w:hAnsi="Arial" w:cs="Arial"/>
        </w:rPr>
        <w:t>onde</w:t>
      </w:r>
      <w:r w:rsidR="00D52EC2" w:rsidRPr="00F31154">
        <w:rPr>
          <w:rFonts w:ascii="Arial" w:hAnsi="Arial" w:cs="Arial"/>
        </w:rPr>
        <w:t xml:space="preserve"> se </w:t>
      </w:r>
      <w:r w:rsidR="00D52EC2">
        <w:rPr>
          <w:rFonts w:ascii="Arial" w:hAnsi="Arial" w:cs="Arial"/>
        </w:rPr>
        <w:t>procurou</w:t>
      </w:r>
      <w:r w:rsidR="00D52EC2" w:rsidRPr="00F31154">
        <w:rPr>
          <w:rFonts w:ascii="Arial" w:hAnsi="Arial" w:cs="Arial"/>
        </w:rPr>
        <w:t xml:space="preserve"> </w:t>
      </w:r>
      <w:r w:rsidR="00D52EC2">
        <w:rPr>
          <w:rFonts w:ascii="Arial" w:hAnsi="Arial" w:cs="Arial"/>
        </w:rPr>
        <w:t>colher</w:t>
      </w:r>
      <w:r w:rsidR="00D52EC2" w:rsidRPr="00F31154">
        <w:rPr>
          <w:rFonts w:ascii="Arial" w:hAnsi="Arial" w:cs="Arial"/>
        </w:rPr>
        <w:t xml:space="preserve"> dados </w:t>
      </w:r>
      <w:r w:rsidR="00D52EC2">
        <w:rPr>
          <w:rFonts w:ascii="Arial" w:hAnsi="Arial" w:cs="Arial"/>
        </w:rPr>
        <w:t>precisos</w:t>
      </w:r>
      <w:r w:rsidR="00D52EC2" w:rsidRPr="00F31154">
        <w:rPr>
          <w:rFonts w:ascii="Arial" w:hAnsi="Arial" w:cs="Arial"/>
        </w:rPr>
        <w:t xml:space="preserve"> </w:t>
      </w:r>
      <w:r w:rsidR="00D52EC2">
        <w:rPr>
          <w:rFonts w:ascii="Arial" w:hAnsi="Arial" w:cs="Arial"/>
        </w:rPr>
        <w:t>através</w:t>
      </w:r>
      <w:r w:rsidR="00D52EC2" w:rsidRPr="00F31154">
        <w:rPr>
          <w:rFonts w:ascii="Arial" w:hAnsi="Arial" w:cs="Arial"/>
        </w:rPr>
        <w:t xml:space="preserve"> de textos em livros</w:t>
      </w:r>
      <w:r w:rsidR="00D52EC2">
        <w:rPr>
          <w:rFonts w:ascii="Arial" w:hAnsi="Arial" w:cs="Arial"/>
        </w:rPr>
        <w:t>, artigo científico</w:t>
      </w:r>
      <w:r w:rsidR="00D52EC2" w:rsidRPr="00F31154">
        <w:rPr>
          <w:rFonts w:ascii="Arial" w:hAnsi="Arial" w:cs="Arial"/>
        </w:rPr>
        <w:t xml:space="preserve"> e revistas</w:t>
      </w:r>
      <w:r w:rsidR="00550253">
        <w:rPr>
          <w:rFonts w:ascii="Arial" w:hAnsi="Arial" w:cs="Arial"/>
        </w:rPr>
        <w:t xml:space="preserve"> </w:t>
      </w:r>
      <w:r w:rsidR="006A4ECD" w:rsidRPr="00F31154">
        <w:rPr>
          <w:rFonts w:ascii="Arial" w:hAnsi="Arial" w:cs="Arial"/>
        </w:rPr>
        <w:t>com o intuito de obter um referencial teórico e poder desenvolver esse material</w:t>
      </w:r>
      <w:r w:rsidR="00D52EC2">
        <w:rPr>
          <w:rFonts w:ascii="Arial" w:hAnsi="Arial" w:cs="Arial"/>
        </w:rPr>
        <w:t>.</w:t>
      </w:r>
    </w:p>
    <w:p w:rsidR="00E8473F" w:rsidRDefault="00E8473F" w:rsidP="005659F3">
      <w:pPr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Dessa forma, acredita-se que este trabalho contribua para o esclarecimento e entendimento </w:t>
      </w:r>
      <w:r w:rsidR="001A2B9A">
        <w:rPr>
          <w:rFonts w:ascii="Arial" w:hAnsi="Arial" w:cs="Arial"/>
        </w:rPr>
        <w:t>da técnica de análise usada</w:t>
      </w:r>
      <w:r w:rsidRPr="00F31154">
        <w:rPr>
          <w:rFonts w:ascii="Arial" w:hAnsi="Arial" w:cs="Arial"/>
        </w:rPr>
        <w:t xml:space="preserve">, sua </w:t>
      </w:r>
      <w:r w:rsidR="001A2B9A">
        <w:rPr>
          <w:rFonts w:ascii="Arial" w:hAnsi="Arial" w:cs="Arial"/>
        </w:rPr>
        <w:t>finalidade</w:t>
      </w:r>
      <w:r w:rsidRPr="00F31154">
        <w:rPr>
          <w:rFonts w:ascii="Arial" w:hAnsi="Arial" w:cs="Arial"/>
        </w:rPr>
        <w:t xml:space="preserve"> </w:t>
      </w:r>
      <w:r w:rsidR="001A2B9A">
        <w:rPr>
          <w:rFonts w:ascii="Arial" w:hAnsi="Arial" w:cs="Arial"/>
        </w:rPr>
        <w:t>n</w:t>
      </w:r>
      <w:r w:rsidRPr="00F31154">
        <w:rPr>
          <w:rFonts w:ascii="Arial" w:hAnsi="Arial" w:cs="Arial"/>
        </w:rPr>
        <w:t>os índices financeiros em estu</w:t>
      </w:r>
      <w:r w:rsidR="00CB4807" w:rsidRPr="00F31154">
        <w:rPr>
          <w:rFonts w:ascii="Arial" w:hAnsi="Arial" w:cs="Arial"/>
        </w:rPr>
        <w:t xml:space="preserve">do, para que possa contribuir no processo de </w:t>
      </w:r>
      <w:r w:rsidR="002464B9">
        <w:rPr>
          <w:rFonts w:ascii="Arial" w:hAnsi="Arial" w:cs="Arial"/>
        </w:rPr>
        <w:t>tomada de decisões com menor</w:t>
      </w:r>
      <w:r w:rsidRPr="00F31154">
        <w:rPr>
          <w:rFonts w:ascii="Arial" w:hAnsi="Arial" w:cs="Arial"/>
        </w:rPr>
        <w:t xml:space="preserve"> risco e </w:t>
      </w:r>
      <w:r w:rsidR="002464B9">
        <w:rPr>
          <w:rFonts w:ascii="Arial" w:hAnsi="Arial" w:cs="Arial"/>
        </w:rPr>
        <w:t xml:space="preserve">maior </w:t>
      </w:r>
      <w:r w:rsidR="002464B9" w:rsidRPr="00F31154">
        <w:rPr>
          <w:rFonts w:ascii="Arial" w:hAnsi="Arial" w:cs="Arial"/>
        </w:rPr>
        <w:t>eficácia</w:t>
      </w:r>
      <w:r w:rsidRPr="00F31154">
        <w:rPr>
          <w:rFonts w:ascii="Arial" w:hAnsi="Arial" w:cs="Arial"/>
        </w:rPr>
        <w:t>. Por fim, são apresentadas as considerações finais, apontando-se as implicações e as principais limitações do estudo.</w:t>
      </w:r>
    </w:p>
    <w:p w:rsidR="009A32A6" w:rsidRPr="00F31154" w:rsidRDefault="004E2310" w:rsidP="00CA4922">
      <w:pPr>
        <w:pStyle w:val="PargrafodaLista"/>
        <w:widowControl w:val="0"/>
        <w:numPr>
          <w:ilvl w:val="0"/>
          <w:numId w:val="36"/>
        </w:numPr>
        <w:spacing w:line="360" w:lineRule="auto"/>
        <w:ind w:left="426" w:hanging="426"/>
        <w:jc w:val="both"/>
        <w:rPr>
          <w:rFonts w:ascii="Arial" w:hAnsi="Arial" w:cs="Arial"/>
          <w:b/>
        </w:rPr>
      </w:pPr>
      <w:r w:rsidRPr="00F31154">
        <w:rPr>
          <w:rFonts w:ascii="Arial" w:hAnsi="Arial" w:cs="Arial"/>
          <w:b/>
        </w:rPr>
        <w:lastRenderedPageBreak/>
        <w:t>REFERENCIAL TEÓRICO</w:t>
      </w:r>
    </w:p>
    <w:p w:rsidR="005B3C07" w:rsidRPr="00F31154" w:rsidRDefault="005B3C07" w:rsidP="00C372C6">
      <w:pPr>
        <w:widowControl w:val="0"/>
        <w:spacing w:line="480" w:lineRule="auto"/>
        <w:jc w:val="both"/>
        <w:rPr>
          <w:rFonts w:ascii="Arial" w:hAnsi="Arial" w:cs="Arial"/>
          <w:b/>
        </w:rPr>
      </w:pPr>
    </w:p>
    <w:p w:rsidR="005B3C07" w:rsidRPr="00F31154" w:rsidRDefault="005B3C07" w:rsidP="005B3C07">
      <w:pPr>
        <w:pStyle w:val="PargrafodaLista"/>
        <w:widowControl w:val="0"/>
        <w:numPr>
          <w:ilvl w:val="0"/>
          <w:numId w:val="21"/>
        </w:numPr>
        <w:spacing w:line="360" w:lineRule="auto"/>
        <w:ind w:left="426" w:hanging="426"/>
        <w:jc w:val="both"/>
        <w:rPr>
          <w:rFonts w:ascii="Arial" w:hAnsi="Arial" w:cs="Arial"/>
          <w:b/>
        </w:rPr>
      </w:pPr>
      <w:r w:rsidRPr="00F31154">
        <w:rPr>
          <w:rFonts w:ascii="Arial" w:hAnsi="Arial" w:cs="Arial"/>
          <w:b/>
        </w:rPr>
        <w:t>Planejamento Financeiro</w:t>
      </w:r>
    </w:p>
    <w:p w:rsidR="009A32A6" w:rsidRPr="00F31154" w:rsidRDefault="009A32A6" w:rsidP="00C372C6">
      <w:pPr>
        <w:widowControl w:val="0"/>
        <w:spacing w:line="480" w:lineRule="auto"/>
        <w:jc w:val="both"/>
        <w:rPr>
          <w:rFonts w:ascii="Arial" w:hAnsi="Arial" w:cs="Arial"/>
          <w:b/>
        </w:rPr>
      </w:pPr>
    </w:p>
    <w:p w:rsidR="00734553" w:rsidRPr="00F31154" w:rsidRDefault="00A52256" w:rsidP="00531603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>Para</w:t>
      </w:r>
      <w:r w:rsidR="005B3C07" w:rsidRPr="00F31154">
        <w:rPr>
          <w:rFonts w:ascii="Arial" w:hAnsi="Arial" w:cs="Arial"/>
        </w:rPr>
        <w:t xml:space="preserve"> </w:t>
      </w:r>
      <w:proofErr w:type="spellStart"/>
      <w:r w:rsidRPr="00F31154">
        <w:rPr>
          <w:rFonts w:ascii="Arial" w:hAnsi="Arial" w:cs="Arial"/>
        </w:rPr>
        <w:t>Gitman</w:t>
      </w:r>
      <w:proofErr w:type="spellEnd"/>
      <w:r w:rsidRPr="00F31154">
        <w:rPr>
          <w:rFonts w:ascii="Arial" w:hAnsi="Arial" w:cs="Arial"/>
        </w:rPr>
        <w:t xml:space="preserve"> (2010, p. 105), </w:t>
      </w:r>
      <w:r w:rsidR="003B4DE3">
        <w:rPr>
          <w:rFonts w:ascii="Arial" w:hAnsi="Arial" w:cs="Arial"/>
        </w:rPr>
        <w:t>“</w:t>
      </w:r>
      <w:r w:rsidRPr="00F31154">
        <w:rPr>
          <w:rFonts w:ascii="Arial" w:hAnsi="Arial" w:cs="Arial"/>
        </w:rPr>
        <w:t>o planejamento financeiro é um aspecto importante das operações das empresas porque fornece um mapa para a orientação, coordenação e o controle dos passos que a empresa dará para atingir seus objetivos.</w:t>
      </w:r>
      <w:r w:rsidR="003B4DE3">
        <w:rPr>
          <w:rFonts w:ascii="Arial" w:hAnsi="Arial" w:cs="Arial"/>
        </w:rPr>
        <w:t xml:space="preserve">” </w:t>
      </w:r>
      <w:r w:rsidR="00734553" w:rsidRPr="00F31154">
        <w:rPr>
          <w:rFonts w:ascii="Arial" w:hAnsi="Arial" w:cs="Arial"/>
        </w:rPr>
        <w:t>As organizações precisa</w:t>
      </w:r>
      <w:r w:rsidR="003B4DE3">
        <w:rPr>
          <w:rFonts w:ascii="Arial" w:hAnsi="Arial" w:cs="Arial"/>
        </w:rPr>
        <w:t>m</w:t>
      </w:r>
      <w:r w:rsidR="00734553" w:rsidRPr="00F31154">
        <w:rPr>
          <w:rFonts w:ascii="Arial" w:hAnsi="Arial" w:cs="Arial"/>
        </w:rPr>
        <w:t xml:space="preserve"> se posicionar no mercado e aplicar em seus objetivos estratégicos, o planejamento e metas financeiras, onde os demais setores estejam integrados as metas, assim dessa forma a empresa caminha para o alcance de seus objetivos.</w:t>
      </w:r>
    </w:p>
    <w:p w:rsidR="00A52256" w:rsidRPr="00F31154" w:rsidRDefault="00A52256" w:rsidP="00C372C6">
      <w:pPr>
        <w:widowControl w:val="0"/>
        <w:spacing w:line="480" w:lineRule="auto"/>
        <w:jc w:val="both"/>
        <w:rPr>
          <w:rFonts w:ascii="Arial" w:hAnsi="Arial" w:cs="Arial"/>
        </w:rPr>
      </w:pPr>
    </w:p>
    <w:p w:rsidR="00A52256" w:rsidRPr="00F31154" w:rsidRDefault="001E35E7" w:rsidP="00A52256">
      <w:pPr>
        <w:pStyle w:val="PargrafodaLista"/>
        <w:widowControl w:val="0"/>
        <w:numPr>
          <w:ilvl w:val="0"/>
          <w:numId w:val="21"/>
        </w:numPr>
        <w:spacing w:line="360" w:lineRule="auto"/>
        <w:ind w:left="426" w:hanging="426"/>
        <w:jc w:val="both"/>
        <w:rPr>
          <w:rFonts w:ascii="Arial" w:hAnsi="Arial" w:cs="Arial"/>
          <w:b/>
        </w:rPr>
      </w:pPr>
      <w:r w:rsidRPr="00F31154">
        <w:rPr>
          <w:rFonts w:ascii="Arial" w:hAnsi="Arial" w:cs="Arial"/>
          <w:b/>
        </w:rPr>
        <w:t>S</w:t>
      </w:r>
      <w:r w:rsidR="00FF5F5B" w:rsidRPr="00F31154">
        <w:rPr>
          <w:rFonts w:ascii="Arial" w:hAnsi="Arial" w:cs="Arial"/>
          <w:b/>
        </w:rPr>
        <w:t>etor de Cosméticos e P</w:t>
      </w:r>
      <w:r w:rsidR="00C157C3" w:rsidRPr="00F31154">
        <w:rPr>
          <w:rFonts w:ascii="Arial" w:hAnsi="Arial" w:cs="Arial"/>
          <w:b/>
        </w:rPr>
        <w:t>erfumaria no Brasil</w:t>
      </w:r>
    </w:p>
    <w:p w:rsidR="00A52256" w:rsidRPr="00F31154" w:rsidRDefault="00A52256" w:rsidP="00C372C6">
      <w:pPr>
        <w:widowControl w:val="0"/>
        <w:spacing w:line="480" w:lineRule="auto"/>
        <w:jc w:val="both"/>
        <w:rPr>
          <w:rFonts w:ascii="Arial" w:hAnsi="Arial" w:cs="Arial"/>
        </w:rPr>
      </w:pPr>
    </w:p>
    <w:p w:rsidR="00913B41" w:rsidRPr="00F31154" w:rsidRDefault="00531603" w:rsidP="00913B41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Segundo, Correio Braziliense, “o Brasil, que acaba de se tornar o segundo maior mercado mundial de cosméticos, virou alvo preferencial das grandes empresas globais do setor”. </w:t>
      </w:r>
    </w:p>
    <w:p w:rsidR="005A001E" w:rsidRPr="00F31154" w:rsidRDefault="005A001E" w:rsidP="00913B41">
      <w:pPr>
        <w:widowControl w:val="0"/>
        <w:spacing w:line="360" w:lineRule="auto"/>
        <w:ind w:firstLine="1134"/>
        <w:jc w:val="both"/>
        <w:rPr>
          <w:rFonts w:ascii="Arial" w:hAnsi="Arial" w:cs="Arial"/>
          <w:color w:val="000000"/>
          <w:szCs w:val="18"/>
          <w:shd w:val="clear" w:color="auto" w:fill="FFFFFF"/>
        </w:rPr>
      </w:pPr>
      <w:r w:rsidRPr="00F31154">
        <w:rPr>
          <w:rFonts w:ascii="Arial" w:hAnsi="Arial" w:cs="Arial"/>
        </w:rPr>
        <w:t xml:space="preserve">A fabricante de cosmético brasileira </w:t>
      </w:r>
      <w:r w:rsidR="00CB3A9E" w:rsidRPr="00F31154">
        <w:rPr>
          <w:rFonts w:ascii="Arial" w:hAnsi="Arial" w:cs="Arial"/>
        </w:rPr>
        <w:t>da empresa em estudo,</w:t>
      </w:r>
      <w:r w:rsidRPr="00F31154">
        <w:rPr>
          <w:rFonts w:ascii="Arial" w:hAnsi="Arial" w:cs="Arial"/>
        </w:rPr>
        <w:t xml:space="preserve"> caiu </w:t>
      </w:r>
      <w:proofErr w:type="gramStart"/>
      <w:r w:rsidRPr="00F31154">
        <w:rPr>
          <w:rFonts w:ascii="Arial" w:hAnsi="Arial" w:cs="Arial"/>
        </w:rPr>
        <w:t>do 5</w:t>
      </w:r>
      <w:proofErr w:type="gramEnd"/>
      <w:r w:rsidR="00687167">
        <w:fldChar w:fldCharType="begin"/>
      </w:r>
      <w:r w:rsidR="00687167">
        <w:instrText xml:space="preserve"> HYPERLINK "http://exame.abril.com.br/negocios/noticias/natura-e-a-quinta-maior-do-mundo-em-venda-direta-veja-lista" \t "_blank" </w:instrText>
      </w:r>
      <w:r w:rsidR="00687167">
        <w:fldChar w:fldCharType="separate"/>
      </w:r>
      <w:r w:rsidRPr="00F31154">
        <w:rPr>
          <w:rFonts w:ascii="Arial" w:hAnsi="Arial" w:cs="Arial"/>
        </w:rPr>
        <w:t>º para o 6º lugar do ranking</w:t>
      </w:r>
      <w:r w:rsidR="00687167">
        <w:rPr>
          <w:rFonts w:ascii="Arial" w:hAnsi="Arial" w:cs="Arial"/>
        </w:rPr>
        <w:fldChar w:fldCharType="end"/>
      </w:r>
      <w:r w:rsidRPr="00F31154">
        <w:rPr>
          <w:rFonts w:ascii="Arial" w:hAnsi="Arial" w:cs="Arial"/>
        </w:rPr>
        <w:t xml:space="preserve"> das maiores empresas de vendas diretas do mundo em 2013, </w:t>
      </w:r>
      <w:r w:rsidRPr="00F31154">
        <w:rPr>
          <w:rFonts w:ascii="Arial" w:hAnsi="Arial" w:cs="Arial"/>
          <w:color w:val="000000"/>
          <w:szCs w:val="18"/>
          <w:shd w:val="clear" w:color="auto" w:fill="FFFFFF"/>
        </w:rPr>
        <w:t>revista EXAME (Abril, 2014)</w:t>
      </w:r>
      <w:r w:rsidR="00C853C1" w:rsidRPr="00F31154">
        <w:rPr>
          <w:rFonts w:ascii="Arial" w:hAnsi="Arial" w:cs="Arial"/>
          <w:color w:val="000000"/>
          <w:szCs w:val="18"/>
          <w:shd w:val="clear" w:color="auto" w:fill="FFFFFF"/>
        </w:rPr>
        <w:t>.</w:t>
      </w:r>
    </w:p>
    <w:p w:rsidR="00C853C1" w:rsidRPr="00F31154" w:rsidRDefault="00C853C1" w:rsidP="00B25D66">
      <w:pPr>
        <w:widowControl w:val="0"/>
        <w:spacing w:line="480" w:lineRule="auto"/>
        <w:ind w:firstLine="1134"/>
        <w:jc w:val="both"/>
        <w:rPr>
          <w:rFonts w:ascii="Arial" w:hAnsi="Arial" w:cs="Arial"/>
        </w:rPr>
      </w:pPr>
    </w:p>
    <w:p w:rsidR="00C853C1" w:rsidRPr="00F31154" w:rsidRDefault="00344EF0" w:rsidP="00591F9E">
      <w:pPr>
        <w:widowControl w:val="0"/>
        <w:tabs>
          <w:tab w:val="num" w:pos="720"/>
        </w:tabs>
        <w:ind w:left="2268"/>
        <w:jc w:val="both"/>
        <w:rPr>
          <w:rFonts w:ascii="Arial" w:hAnsi="Arial" w:cs="Arial"/>
          <w:sz w:val="20"/>
          <w:szCs w:val="20"/>
        </w:rPr>
      </w:pPr>
      <w:r w:rsidRPr="00F31154">
        <w:rPr>
          <w:rFonts w:ascii="Arial" w:hAnsi="Arial" w:cs="Arial"/>
          <w:sz w:val="20"/>
          <w:szCs w:val="20"/>
        </w:rPr>
        <w:t>A empresa em estudo rep</w:t>
      </w:r>
      <w:r w:rsidR="00913B41" w:rsidRPr="00F31154">
        <w:rPr>
          <w:rFonts w:ascii="Arial" w:hAnsi="Arial" w:cs="Arial"/>
          <w:sz w:val="20"/>
          <w:szCs w:val="20"/>
        </w:rPr>
        <w:t>resenta a m</w:t>
      </w:r>
      <w:r w:rsidR="00BE1F7D" w:rsidRPr="00F31154">
        <w:rPr>
          <w:rFonts w:ascii="Arial" w:hAnsi="Arial" w:cs="Arial"/>
          <w:sz w:val="20"/>
          <w:szCs w:val="20"/>
        </w:rPr>
        <w:t xml:space="preserve">aior empresa de produtos de beleza e higiene pessoal operando no país, com receita líquida anual de mais de R$ 7,0 </w:t>
      </w:r>
      <w:r w:rsidR="00BE1F7D" w:rsidRPr="00F31154">
        <w:rPr>
          <w:rFonts w:ascii="Arial" w:eastAsiaTheme="minorEastAsia" w:hAnsi="Arial" w:cs="Arial"/>
          <w:sz w:val="20"/>
          <w:szCs w:val="20"/>
        </w:rPr>
        <w:t>bilhões</w:t>
      </w:r>
      <w:r w:rsidR="00BE1F7D" w:rsidRPr="00F31154">
        <w:rPr>
          <w:rFonts w:ascii="Arial" w:hAnsi="Arial" w:cs="Arial"/>
          <w:sz w:val="20"/>
          <w:szCs w:val="20"/>
        </w:rPr>
        <w:t>.</w:t>
      </w:r>
      <w:r w:rsidR="00913B41" w:rsidRPr="00F31154">
        <w:rPr>
          <w:rFonts w:ascii="Arial" w:hAnsi="Arial" w:cs="Arial"/>
          <w:sz w:val="20"/>
          <w:szCs w:val="20"/>
        </w:rPr>
        <w:t xml:space="preserve"> Tem como m</w:t>
      </w:r>
      <w:r w:rsidR="00BE1F7D" w:rsidRPr="00F31154">
        <w:rPr>
          <w:rFonts w:ascii="Arial" w:hAnsi="Arial" w:cs="Arial"/>
          <w:sz w:val="20"/>
          <w:szCs w:val="20"/>
        </w:rPr>
        <w:t xml:space="preserve">odelo de </w:t>
      </w:r>
      <w:r w:rsidR="00913B41" w:rsidRPr="00F31154">
        <w:rPr>
          <w:rFonts w:ascii="Arial" w:hAnsi="Arial" w:cs="Arial"/>
          <w:sz w:val="20"/>
          <w:szCs w:val="20"/>
        </w:rPr>
        <w:t>d</w:t>
      </w:r>
      <w:r w:rsidR="00BE1F7D" w:rsidRPr="00F31154">
        <w:rPr>
          <w:rFonts w:ascii="Arial" w:hAnsi="Arial" w:cs="Arial"/>
          <w:sz w:val="20"/>
          <w:szCs w:val="20"/>
        </w:rPr>
        <w:t>istribuição por Venda Direta, com quase 40% dos revendedores porta a porta do Brasil (considerand</w:t>
      </w:r>
      <w:r w:rsidR="006E67E4" w:rsidRPr="00F31154">
        <w:rPr>
          <w:rFonts w:ascii="Arial" w:hAnsi="Arial" w:cs="Arial"/>
          <w:sz w:val="20"/>
          <w:szCs w:val="20"/>
        </w:rPr>
        <w:t>o todos os setores da economia).</w:t>
      </w:r>
      <w:r w:rsidR="00C853C1" w:rsidRPr="00F31154">
        <w:rPr>
          <w:rFonts w:ascii="Arial" w:hAnsi="Arial" w:cs="Arial"/>
          <w:sz w:val="20"/>
          <w:szCs w:val="20"/>
        </w:rPr>
        <w:t xml:space="preserve"> BOVESPA, 2014.</w:t>
      </w:r>
    </w:p>
    <w:p w:rsidR="00591F9E" w:rsidRPr="00F31154" w:rsidRDefault="00591F9E" w:rsidP="00185036">
      <w:pPr>
        <w:widowControl w:val="0"/>
        <w:tabs>
          <w:tab w:val="num" w:pos="720"/>
        </w:tabs>
        <w:spacing w:line="480" w:lineRule="auto"/>
        <w:ind w:left="2268"/>
        <w:jc w:val="both"/>
        <w:rPr>
          <w:rFonts w:ascii="Arial" w:hAnsi="Arial" w:cs="Arial"/>
        </w:rPr>
      </w:pPr>
    </w:p>
    <w:p w:rsidR="004E2310" w:rsidRDefault="00D73B33" w:rsidP="00303EA6">
      <w:pPr>
        <w:pStyle w:val="PargrafodaLista"/>
        <w:widowControl w:val="0"/>
        <w:numPr>
          <w:ilvl w:val="0"/>
          <w:numId w:val="21"/>
        </w:numPr>
        <w:spacing w:line="360" w:lineRule="auto"/>
        <w:ind w:left="426" w:hanging="426"/>
        <w:jc w:val="both"/>
        <w:rPr>
          <w:rFonts w:ascii="Arial" w:hAnsi="Arial" w:cs="Arial"/>
          <w:b/>
        </w:rPr>
      </w:pPr>
      <w:r w:rsidRPr="00F31154">
        <w:rPr>
          <w:rFonts w:ascii="Arial" w:hAnsi="Arial" w:cs="Arial"/>
          <w:b/>
        </w:rPr>
        <w:t>Demonstrações Financeiras</w:t>
      </w:r>
    </w:p>
    <w:p w:rsidR="00865A31" w:rsidRPr="00865A31" w:rsidRDefault="00865A31" w:rsidP="00185036">
      <w:pPr>
        <w:widowControl w:val="0"/>
        <w:spacing w:line="480" w:lineRule="auto"/>
        <w:jc w:val="both"/>
        <w:rPr>
          <w:rFonts w:ascii="Arial" w:hAnsi="Arial" w:cs="Arial"/>
          <w:b/>
        </w:rPr>
      </w:pPr>
    </w:p>
    <w:p w:rsidR="006A4ECD" w:rsidRPr="00F31154" w:rsidRDefault="006A4ECD" w:rsidP="00DF7FF0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>Os demonstrativos financeiros auxiliam os administradores a tomar decisões envolvendo o melhor uso do caixa, a realização de operações eficientes, a melhor alocação de fundos entre os ativos e o financiamento eficaz de operações e de investimentos, de acordo com (GROPPELLI; NIKBAKHT, 2010, p.13).</w:t>
      </w:r>
    </w:p>
    <w:p w:rsidR="00CD3850" w:rsidRPr="00F31154" w:rsidRDefault="009A5EDA" w:rsidP="00DF7FF0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lastRenderedPageBreak/>
        <w:t xml:space="preserve">A </w:t>
      </w:r>
      <w:r w:rsidR="00455C65">
        <w:rPr>
          <w:rFonts w:ascii="Arial" w:hAnsi="Arial" w:cs="Arial"/>
        </w:rPr>
        <w:t>análise</w:t>
      </w:r>
      <w:r w:rsidRPr="00F31154">
        <w:rPr>
          <w:rFonts w:ascii="Arial" w:hAnsi="Arial" w:cs="Arial"/>
        </w:rPr>
        <w:t xml:space="preserve"> de uma demonstração financeira tem </w:t>
      </w:r>
      <w:r w:rsidR="00455C65">
        <w:rPr>
          <w:rFonts w:ascii="Arial" w:hAnsi="Arial" w:cs="Arial"/>
        </w:rPr>
        <w:t>como propósito de</w:t>
      </w:r>
      <w:r w:rsidRPr="00F31154">
        <w:rPr>
          <w:rFonts w:ascii="Arial" w:hAnsi="Arial" w:cs="Arial"/>
        </w:rPr>
        <w:t xml:space="preserve"> </w:t>
      </w:r>
      <w:r w:rsidR="00455C65">
        <w:rPr>
          <w:rFonts w:ascii="Arial" w:hAnsi="Arial" w:cs="Arial"/>
        </w:rPr>
        <w:t xml:space="preserve">encontrar seus </w:t>
      </w:r>
      <w:r w:rsidRPr="00F31154">
        <w:rPr>
          <w:rFonts w:ascii="Arial" w:hAnsi="Arial" w:cs="Arial"/>
        </w:rPr>
        <w:t xml:space="preserve">pontos </w:t>
      </w:r>
      <w:r w:rsidR="00643F76">
        <w:rPr>
          <w:rFonts w:ascii="Arial" w:hAnsi="Arial" w:cs="Arial"/>
        </w:rPr>
        <w:t>que agrega valores e os que não agregam valores n</w:t>
      </w:r>
      <w:r w:rsidRPr="00F31154">
        <w:rPr>
          <w:rFonts w:ascii="Arial" w:hAnsi="Arial" w:cs="Arial"/>
        </w:rPr>
        <w:t>o sistema financeiro de uma organização</w:t>
      </w:r>
      <w:r w:rsidR="00CD3850" w:rsidRPr="00F31154">
        <w:rPr>
          <w:rFonts w:ascii="Arial" w:hAnsi="Arial" w:cs="Arial"/>
        </w:rPr>
        <w:t>, propondo ao</w:t>
      </w:r>
      <w:r w:rsidR="00C853C1" w:rsidRPr="00F31154">
        <w:rPr>
          <w:rFonts w:ascii="Arial" w:hAnsi="Arial" w:cs="Arial"/>
        </w:rPr>
        <w:t>s</w:t>
      </w:r>
      <w:r w:rsidR="006E67E4" w:rsidRPr="00F31154">
        <w:rPr>
          <w:rFonts w:ascii="Arial" w:hAnsi="Arial" w:cs="Arial"/>
        </w:rPr>
        <w:t xml:space="preserve"> </w:t>
      </w:r>
      <w:proofErr w:type="gramStart"/>
      <w:r w:rsidR="00CD3850" w:rsidRPr="00F31154">
        <w:rPr>
          <w:rFonts w:ascii="Arial" w:hAnsi="Arial" w:cs="Arial"/>
        </w:rPr>
        <w:t>gestor</w:t>
      </w:r>
      <w:r w:rsidR="00C853C1" w:rsidRPr="00F31154">
        <w:rPr>
          <w:rFonts w:ascii="Arial" w:hAnsi="Arial" w:cs="Arial"/>
        </w:rPr>
        <w:t>es</w:t>
      </w:r>
      <w:r w:rsidRPr="00F31154">
        <w:rPr>
          <w:rFonts w:ascii="Arial" w:hAnsi="Arial" w:cs="Arial"/>
        </w:rPr>
        <w:t xml:space="preserve"> alternativas de melhorias </w:t>
      </w:r>
      <w:r w:rsidR="00643F76">
        <w:rPr>
          <w:rFonts w:ascii="Arial" w:hAnsi="Arial" w:cs="Arial"/>
        </w:rPr>
        <w:t>futuras</w:t>
      </w:r>
      <w:proofErr w:type="gramEnd"/>
      <w:r w:rsidRPr="00F31154">
        <w:rPr>
          <w:rFonts w:ascii="Arial" w:hAnsi="Arial" w:cs="Arial"/>
        </w:rPr>
        <w:t xml:space="preserve">. </w:t>
      </w:r>
      <w:r w:rsidR="00643F76">
        <w:rPr>
          <w:rFonts w:ascii="Arial" w:hAnsi="Arial" w:cs="Arial"/>
        </w:rPr>
        <w:t>Por meio</w:t>
      </w:r>
      <w:r w:rsidR="008E539A" w:rsidRPr="00F31154">
        <w:rPr>
          <w:rFonts w:ascii="Arial" w:hAnsi="Arial" w:cs="Arial"/>
        </w:rPr>
        <w:t xml:space="preserve"> </w:t>
      </w:r>
      <w:r w:rsidR="00643F76">
        <w:rPr>
          <w:rFonts w:ascii="Arial" w:hAnsi="Arial" w:cs="Arial"/>
        </w:rPr>
        <w:t>de uma avaliação</w:t>
      </w:r>
      <w:r w:rsidR="008E539A" w:rsidRPr="00F31154">
        <w:rPr>
          <w:rFonts w:ascii="Arial" w:hAnsi="Arial" w:cs="Arial"/>
        </w:rPr>
        <w:t xml:space="preserve"> </w:t>
      </w:r>
      <w:r w:rsidR="00643F76">
        <w:rPr>
          <w:rFonts w:ascii="Arial" w:hAnsi="Arial" w:cs="Arial"/>
        </w:rPr>
        <w:t>de informações</w:t>
      </w:r>
      <w:r w:rsidR="008E539A" w:rsidRPr="00F31154">
        <w:rPr>
          <w:rFonts w:ascii="Arial" w:hAnsi="Arial" w:cs="Arial"/>
        </w:rPr>
        <w:t xml:space="preserve"> </w:t>
      </w:r>
      <w:r w:rsidR="00643F76">
        <w:rPr>
          <w:rFonts w:ascii="Arial" w:hAnsi="Arial" w:cs="Arial"/>
        </w:rPr>
        <w:t>obtidos</w:t>
      </w:r>
      <w:r w:rsidR="008E539A" w:rsidRPr="00F31154">
        <w:rPr>
          <w:rFonts w:ascii="Arial" w:hAnsi="Arial" w:cs="Arial"/>
        </w:rPr>
        <w:t xml:space="preserve"> nas demonstrações contábeis pode se tornar </w:t>
      </w:r>
      <w:r w:rsidR="00643F76">
        <w:rPr>
          <w:rFonts w:ascii="Arial" w:hAnsi="Arial" w:cs="Arial"/>
        </w:rPr>
        <w:t>dados</w:t>
      </w:r>
      <w:r w:rsidR="008E539A" w:rsidRPr="00F31154">
        <w:rPr>
          <w:rFonts w:ascii="Arial" w:hAnsi="Arial" w:cs="Arial"/>
        </w:rPr>
        <w:t xml:space="preserve"> extr</w:t>
      </w:r>
      <w:r w:rsidR="00643F76">
        <w:rPr>
          <w:rFonts w:ascii="Arial" w:hAnsi="Arial" w:cs="Arial"/>
        </w:rPr>
        <w:t>aordinários</w:t>
      </w:r>
      <w:r w:rsidR="008E539A" w:rsidRPr="00F31154">
        <w:rPr>
          <w:rFonts w:ascii="Arial" w:hAnsi="Arial" w:cs="Arial"/>
        </w:rPr>
        <w:t xml:space="preserve"> ao </w:t>
      </w:r>
      <w:r w:rsidR="00643F76">
        <w:rPr>
          <w:rFonts w:ascii="Arial" w:hAnsi="Arial" w:cs="Arial"/>
        </w:rPr>
        <w:t>crescimento</w:t>
      </w:r>
      <w:r w:rsidR="008E539A" w:rsidRPr="00F31154">
        <w:rPr>
          <w:rFonts w:ascii="Arial" w:hAnsi="Arial" w:cs="Arial"/>
        </w:rPr>
        <w:t xml:space="preserve"> financeiro </w:t>
      </w:r>
      <w:r w:rsidR="00643F76">
        <w:rPr>
          <w:rFonts w:ascii="Arial" w:hAnsi="Arial" w:cs="Arial"/>
        </w:rPr>
        <w:t>possibilitando aos gestores uma tomada de decisão.</w:t>
      </w:r>
    </w:p>
    <w:p w:rsidR="00CC67B3" w:rsidRPr="00F31154" w:rsidRDefault="00CC4AE0" w:rsidP="007A07CA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Na administração financeira há quatro principais tipos de relatórios para apresentação aos acionistas, onde possam analisar o desempenho da empresa, estes são: Demonstração do Resultado do Exercício (DRE); Balanço Patrimonial (BP); Demonstração </w:t>
      </w:r>
      <w:r w:rsidR="00E03B52" w:rsidRPr="00F31154">
        <w:rPr>
          <w:rFonts w:ascii="Arial" w:hAnsi="Arial" w:cs="Arial"/>
        </w:rPr>
        <w:t>das Mutações do Patrimônio Líquido</w:t>
      </w:r>
      <w:r w:rsidR="008B7A57">
        <w:rPr>
          <w:rFonts w:ascii="Arial" w:hAnsi="Arial" w:cs="Arial"/>
        </w:rPr>
        <w:t xml:space="preserve"> </w:t>
      </w:r>
      <w:r w:rsidRPr="00F31154">
        <w:rPr>
          <w:rFonts w:ascii="Arial" w:hAnsi="Arial" w:cs="Arial"/>
        </w:rPr>
        <w:t>(D</w:t>
      </w:r>
      <w:r w:rsidR="00E03B52" w:rsidRPr="00F31154">
        <w:rPr>
          <w:rFonts w:ascii="Arial" w:hAnsi="Arial" w:cs="Arial"/>
        </w:rPr>
        <w:t>M</w:t>
      </w:r>
      <w:r w:rsidR="00477F4D" w:rsidRPr="00F31154">
        <w:rPr>
          <w:rFonts w:ascii="Arial" w:hAnsi="Arial" w:cs="Arial"/>
        </w:rPr>
        <w:t>P</w:t>
      </w:r>
      <w:r w:rsidR="00E03B52" w:rsidRPr="00F31154">
        <w:rPr>
          <w:rFonts w:ascii="Arial" w:hAnsi="Arial" w:cs="Arial"/>
        </w:rPr>
        <w:t>L</w:t>
      </w:r>
      <w:r w:rsidRPr="00F31154">
        <w:rPr>
          <w:rFonts w:ascii="Arial" w:hAnsi="Arial" w:cs="Arial"/>
        </w:rPr>
        <w:t xml:space="preserve">) e </w:t>
      </w:r>
      <w:r w:rsidR="00477F4D" w:rsidRPr="00F31154">
        <w:rPr>
          <w:rFonts w:ascii="Arial" w:hAnsi="Arial" w:cs="Arial"/>
        </w:rPr>
        <w:t xml:space="preserve">Demonstrações do </w:t>
      </w:r>
      <w:r w:rsidRPr="00F31154">
        <w:rPr>
          <w:rFonts w:ascii="Arial" w:hAnsi="Arial" w:cs="Arial"/>
        </w:rPr>
        <w:t>Fluxo de Caixa</w:t>
      </w:r>
      <w:r w:rsidR="00477F4D" w:rsidRPr="00F31154">
        <w:rPr>
          <w:rFonts w:ascii="Arial" w:hAnsi="Arial" w:cs="Arial"/>
        </w:rPr>
        <w:t xml:space="preserve"> (DFC)</w:t>
      </w:r>
      <w:r w:rsidRPr="00F31154">
        <w:rPr>
          <w:rFonts w:ascii="Arial" w:hAnsi="Arial" w:cs="Arial"/>
        </w:rPr>
        <w:t>.</w:t>
      </w:r>
    </w:p>
    <w:p w:rsidR="007A07CA" w:rsidRPr="00F31154" w:rsidRDefault="00BD6F73" w:rsidP="007A07CA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Para </w:t>
      </w:r>
      <w:proofErr w:type="spellStart"/>
      <w:r w:rsidRPr="00F31154">
        <w:rPr>
          <w:rFonts w:ascii="Arial" w:hAnsi="Arial" w:cs="Arial"/>
        </w:rPr>
        <w:t>Brigham</w:t>
      </w:r>
      <w:proofErr w:type="spellEnd"/>
      <w:r w:rsidRPr="00F31154">
        <w:rPr>
          <w:rFonts w:ascii="Arial" w:hAnsi="Arial" w:cs="Arial"/>
        </w:rPr>
        <w:t xml:space="preserve"> e </w:t>
      </w:r>
      <w:proofErr w:type="spellStart"/>
      <w:r w:rsidRPr="00F31154">
        <w:rPr>
          <w:rFonts w:ascii="Arial" w:hAnsi="Arial" w:cs="Arial"/>
        </w:rPr>
        <w:t>Ehrhardt</w:t>
      </w:r>
      <w:proofErr w:type="spellEnd"/>
      <w:r w:rsidRPr="00F31154">
        <w:rPr>
          <w:rFonts w:ascii="Arial" w:hAnsi="Arial" w:cs="Arial"/>
        </w:rPr>
        <w:t xml:space="preserve"> (2010</w:t>
      </w:r>
      <w:r w:rsidR="00C03AEB" w:rsidRPr="00F31154">
        <w:rPr>
          <w:rFonts w:ascii="Arial" w:hAnsi="Arial" w:cs="Arial"/>
        </w:rPr>
        <w:t>, p. 32</w:t>
      </w:r>
      <w:r w:rsidRPr="00F31154">
        <w:rPr>
          <w:rFonts w:ascii="Arial" w:hAnsi="Arial" w:cs="Arial"/>
        </w:rPr>
        <w:t>), “Essas demonstrações formam uma fotografia contábil das operações da empresa e sua posição financeira”.</w:t>
      </w:r>
      <w:r w:rsidR="002C0AF7">
        <w:rPr>
          <w:rFonts w:ascii="Arial" w:hAnsi="Arial" w:cs="Arial"/>
        </w:rPr>
        <w:t xml:space="preserve"> </w:t>
      </w:r>
      <w:r w:rsidR="007A07CA" w:rsidRPr="00F31154">
        <w:rPr>
          <w:rFonts w:ascii="Arial" w:hAnsi="Arial" w:cs="Arial"/>
        </w:rPr>
        <w:t xml:space="preserve">Já </w:t>
      </w:r>
      <w:r w:rsidR="00072976" w:rsidRPr="00F31154">
        <w:rPr>
          <w:rFonts w:ascii="Arial" w:hAnsi="Arial" w:cs="Arial"/>
        </w:rPr>
        <w:t>para Marion (2012</w:t>
      </w:r>
      <w:r w:rsidR="00416E99" w:rsidRPr="00F31154">
        <w:rPr>
          <w:rFonts w:ascii="Arial" w:hAnsi="Arial" w:cs="Arial"/>
        </w:rPr>
        <w:t>, p. 09</w:t>
      </w:r>
      <w:r w:rsidR="00F90E28" w:rsidRPr="00F31154">
        <w:rPr>
          <w:rFonts w:ascii="Arial" w:hAnsi="Arial" w:cs="Arial"/>
        </w:rPr>
        <w:t>),</w:t>
      </w:r>
      <w:r w:rsidR="00F45A82">
        <w:rPr>
          <w:rFonts w:ascii="Arial" w:hAnsi="Arial" w:cs="Arial"/>
        </w:rPr>
        <w:t xml:space="preserve"> </w:t>
      </w:r>
      <w:r w:rsidR="007A07CA" w:rsidRPr="00F31154">
        <w:rPr>
          <w:rFonts w:ascii="Arial" w:hAnsi="Arial" w:cs="Arial"/>
        </w:rPr>
        <w:t>“Dentre as demonstrações existentes, maior ênfase é dada para o Balanço Patrimonial (BP) e Demonstração do Resultado do Exercício (DRE), pois elas evidenciam de forma objetiva a situação financeira e econômica da entidade respectivamen</w:t>
      </w:r>
      <w:r w:rsidR="0063182B">
        <w:rPr>
          <w:rFonts w:ascii="Arial" w:hAnsi="Arial" w:cs="Arial"/>
        </w:rPr>
        <w:t>te”.</w:t>
      </w:r>
    </w:p>
    <w:p w:rsidR="006A4ECD" w:rsidRPr="00F31154" w:rsidRDefault="003779B0" w:rsidP="00BD6F73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>Estes relatórios ajudam aos gestores a tomar uma decisão mais precisa de uma maneira eficaz para um melhor desempenho no resultado da empresa.</w:t>
      </w:r>
      <w:r w:rsidR="008D5D52">
        <w:rPr>
          <w:rFonts w:ascii="Arial" w:hAnsi="Arial" w:cs="Arial"/>
        </w:rPr>
        <w:t xml:space="preserve"> </w:t>
      </w:r>
      <w:r w:rsidR="00D9032A" w:rsidRPr="00F31154">
        <w:rPr>
          <w:rFonts w:ascii="Arial" w:hAnsi="Arial" w:cs="Arial"/>
        </w:rPr>
        <w:t xml:space="preserve">Para </w:t>
      </w:r>
      <w:proofErr w:type="spellStart"/>
      <w:r w:rsidR="00D9032A" w:rsidRPr="00F31154">
        <w:rPr>
          <w:rFonts w:ascii="Arial" w:hAnsi="Arial" w:cs="Arial"/>
        </w:rPr>
        <w:t>Brigham</w:t>
      </w:r>
      <w:proofErr w:type="spellEnd"/>
      <w:r w:rsidR="00D9032A" w:rsidRPr="00F31154">
        <w:rPr>
          <w:rFonts w:ascii="Arial" w:hAnsi="Arial" w:cs="Arial"/>
        </w:rPr>
        <w:t xml:space="preserve"> e </w:t>
      </w:r>
      <w:proofErr w:type="spellStart"/>
      <w:r w:rsidR="00D9032A" w:rsidRPr="00F31154">
        <w:rPr>
          <w:rFonts w:ascii="Arial" w:hAnsi="Arial" w:cs="Arial"/>
        </w:rPr>
        <w:t>Ehrhardt</w:t>
      </w:r>
      <w:proofErr w:type="spellEnd"/>
      <w:r w:rsidR="00D9032A" w:rsidRPr="00F31154">
        <w:rPr>
          <w:rFonts w:ascii="Arial" w:hAnsi="Arial" w:cs="Arial"/>
        </w:rPr>
        <w:t xml:space="preserve"> (2010</w:t>
      </w:r>
      <w:r w:rsidR="00F90E28" w:rsidRPr="00F31154">
        <w:rPr>
          <w:rFonts w:ascii="Arial" w:hAnsi="Arial" w:cs="Arial"/>
        </w:rPr>
        <w:t>, p. 33</w:t>
      </w:r>
      <w:r w:rsidR="00D9032A" w:rsidRPr="00F31154">
        <w:rPr>
          <w:rFonts w:ascii="Arial" w:hAnsi="Arial" w:cs="Arial"/>
        </w:rPr>
        <w:t>), “Os investidores utilizam as informações apresentadas nessas demonstrações para formar as expectativas a respeito dos níveis futuros de lucros e dividendos e a respeito do risco das empresas”.</w:t>
      </w:r>
    </w:p>
    <w:p w:rsidR="00A22CD8" w:rsidRPr="00F31154" w:rsidRDefault="00CA3E2F" w:rsidP="00DF7FF0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O Balanço Patrimonial (BP) é um relatório que apresenta o patrimônio e financeiro de uma empresa, é um relatório obrigatório para uma análise do desempenho organizacional, onde é </w:t>
      </w:r>
      <w:r w:rsidR="00325775">
        <w:rPr>
          <w:rFonts w:ascii="Arial" w:hAnsi="Arial" w:cs="Arial"/>
        </w:rPr>
        <w:t>constituído</w:t>
      </w:r>
      <w:r w:rsidRPr="00F31154">
        <w:rPr>
          <w:rFonts w:ascii="Arial" w:hAnsi="Arial" w:cs="Arial"/>
        </w:rPr>
        <w:t xml:space="preserve"> por: Ativo, Passivo e Patrimônio Líquido. </w:t>
      </w:r>
      <w:r w:rsidR="00325775">
        <w:rPr>
          <w:rFonts w:ascii="Arial" w:hAnsi="Arial" w:cs="Arial"/>
        </w:rPr>
        <w:t>De acordo com</w:t>
      </w:r>
      <w:r w:rsidR="00D9032A" w:rsidRPr="00F31154">
        <w:rPr>
          <w:rFonts w:ascii="Arial" w:hAnsi="Arial" w:cs="Arial"/>
        </w:rPr>
        <w:t xml:space="preserve"> </w:t>
      </w:r>
      <w:proofErr w:type="spellStart"/>
      <w:r w:rsidR="00D9032A" w:rsidRPr="00F31154">
        <w:rPr>
          <w:rFonts w:ascii="Arial" w:hAnsi="Arial" w:cs="Arial"/>
        </w:rPr>
        <w:t>Brigham</w:t>
      </w:r>
      <w:proofErr w:type="spellEnd"/>
      <w:r w:rsidR="00D9032A" w:rsidRPr="00F31154">
        <w:rPr>
          <w:rFonts w:ascii="Arial" w:hAnsi="Arial" w:cs="Arial"/>
        </w:rPr>
        <w:t xml:space="preserve"> e </w:t>
      </w:r>
      <w:proofErr w:type="spellStart"/>
      <w:r w:rsidR="00D9032A" w:rsidRPr="00F31154">
        <w:rPr>
          <w:rFonts w:ascii="Arial" w:hAnsi="Arial" w:cs="Arial"/>
        </w:rPr>
        <w:t>Ehrhardt</w:t>
      </w:r>
      <w:proofErr w:type="spellEnd"/>
      <w:r w:rsidR="00D9032A" w:rsidRPr="00F31154">
        <w:rPr>
          <w:rFonts w:ascii="Arial" w:hAnsi="Arial" w:cs="Arial"/>
        </w:rPr>
        <w:t xml:space="preserve"> (2010</w:t>
      </w:r>
      <w:r w:rsidR="00F90E28" w:rsidRPr="00F31154">
        <w:rPr>
          <w:rFonts w:ascii="Arial" w:hAnsi="Arial" w:cs="Arial"/>
        </w:rPr>
        <w:t>, p. 35</w:t>
      </w:r>
      <w:r w:rsidR="00D9032A" w:rsidRPr="00F31154">
        <w:rPr>
          <w:rFonts w:ascii="Arial" w:hAnsi="Arial" w:cs="Arial"/>
        </w:rPr>
        <w:t>), “O Balanço Patrimonial pode ser entendido como uma fotografia da posição financeira da empresa em determinado momento”.</w:t>
      </w:r>
      <w:r w:rsidR="00955F87">
        <w:rPr>
          <w:rFonts w:ascii="Arial" w:hAnsi="Arial" w:cs="Arial"/>
        </w:rPr>
        <w:t xml:space="preserve"> </w:t>
      </w:r>
      <w:r w:rsidR="00A22CD8" w:rsidRPr="00F31154">
        <w:rPr>
          <w:rFonts w:ascii="Arial" w:hAnsi="Arial" w:cs="Arial"/>
        </w:rPr>
        <w:t xml:space="preserve">O balanço da empresa em estudo está </w:t>
      </w:r>
      <w:r w:rsidR="00847F65">
        <w:rPr>
          <w:rFonts w:ascii="Arial" w:hAnsi="Arial" w:cs="Arial"/>
        </w:rPr>
        <w:t>disponível no site da BOVESPA</w:t>
      </w:r>
      <w:r w:rsidR="008D5D52">
        <w:rPr>
          <w:rFonts w:ascii="Arial" w:hAnsi="Arial" w:cs="Arial"/>
        </w:rPr>
        <w:t>,</w:t>
      </w:r>
      <w:r w:rsidR="00D9032A" w:rsidRPr="00F31154">
        <w:rPr>
          <w:rFonts w:ascii="Arial" w:hAnsi="Arial" w:cs="Arial"/>
        </w:rPr>
        <w:t xml:space="preserve"> </w:t>
      </w:r>
      <w:r w:rsidR="00A22CD8" w:rsidRPr="00F31154">
        <w:rPr>
          <w:rFonts w:ascii="Arial" w:hAnsi="Arial" w:cs="Arial"/>
        </w:rPr>
        <w:t xml:space="preserve">para os anos encerrados </w:t>
      </w:r>
      <w:r w:rsidR="00E03B52" w:rsidRPr="00F31154">
        <w:rPr>
          <w:rFonts w:ascii="Arial" w:hAnsi="Arial" w:cs="Arial"/>
        </w:rPr>
        <w:t>em 31 de dezembro de 2010 a 2013</w:t>
      </w:r>
      <w:r w:rsidR="00A22CD8" w:rsidRPr="00F31154">
        <w:rPr>
          <w:rFonts w:ascii="Arial" w:hAnsi="Arial" w:cs="Arial"/>
        </w:rPr>
        <w:t>.</w:t>
      </w:r>
    </w:p>
    <w:p w:rsidR="00D1396B" w:rsidRPr="00F31154" w:rsidRDefault="00325775" w:rsidP="00DF7FF0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Para</w:t>
      </w:r>
      <w:r w:rsidR="00D1396B" w:rsidRPr="00F31154">
        <w:rPr>
          <w:rFonts w:ascii="Arial" w:hAnsi="Arial" w:cs="Arial"/>
        </w:rPr>
        <w:t xml:space="preserve"> </w:t>
      </w:r>
      <w:proofErr w:type="spellStart"/>
      <w:r w:rsidR="00992C00">
        <w:rPr>
          <w:rFonts w:ascii="Arial" w:hAnsi="Arial" w:cs="Arial"/>
        </w:rPr>
        <w:t>Gitman</w:t>
      </w:r>
      <w:proofErr w:type="spellEnd"/>
      <w:r w:rsidR="00D1396B" w:rsidRPr="00F31154">
        <w:rPr>
          <w:rFonts w:ascii="Arial" w:hAnsi="Arial" w:cs="Arial"/>
        </w:rPr>
        <w:t xml:space="preserve"> (2010</w:t>
      </w:r>
      <w:r w:rsidR="00E03B52" w:rsidRPr="00F31154">
        <w:rPr>
          <w:rFonts w:ascii="Arial" w:hAnsi="Arial" w:cs="Arial"/>
        </w:rPr>
        <w:t>, p. 41</w:t>
      </w:r>
      <w:r w:rsidR="00D1396B" w:rsidRPr="00F31154">
        <w:rPr>
          <w:rFonts w:ascii="Arial" w:hAnsi="Arial" w:cs="Arial"/>
        </w:rPr>
        <w:t xml:space="preserve">), “a Demonstração do Resultado do Exercício fornece um resumo financeiro dos resultados operacionais da empresa durante um determinado período”. </w:t>
      </w:r>
      <w:r w:rsidR="00AF5000" w:rsidRPr="00F31154">
        <w:rPr>
          <w:rFonts w:ascii="Arial" w:hAnsi="Arial" w:cs="Arial"/>
        </w:rPr>
        <w:t>Já p</w:t>
      </w:r>
      <w:r w:rsidR="000D61F3" w:rsidRPr="00F31154">
        <w:rPr>
          <w:rFonts w:ascii="Arial" w:hAnsi="Arial" w:cs="Arial"/>
        </w:rPr>
        <w:t xml:space="preserve">ara </w:t>
      </w:r>
      <w:proofErr w:type="spellStart"/>
      <w:r w:rsidR="000D61F3" w:rsidRPr="00F31154">
        <w:rPr>
          <w:rFonts w:ascii="Arial" w:hAnsi="Arial" w:cs="Arial"/>
        </w:rPr>
        <w:t>Brigham</w:t>
      </w:r>
      <w:proofErr w:type="spellEnd"/>
      <w:r w:rsidR="000D61F3" w:rsidRPr="00F31154">
        <w:rPr>
          <w:rFonts w:ascii="Arial" w:hAnsi="Arial" w:cs="Arial"/>
        </w:rPr>
        <w:t xml:space="preserve"> e </w:t>
      </w:r>
      <w:proofErr w:type="spellStart"/>
      <w:r w:rsidR="000D61F3" w:rsidRPr="00F31154">
        <w:rPr>
          <w:rFonts w:ascii="Arial" w:hAnsi="Arial" w:cs="Arial"/>
        </w:rPr>
        <w:t>Ehrhardt</w:t>
      </w:r>
      <w:proofErr w:type="spellEnd"/>
      <w:r w:rsidR="000D61F3" w:rsidRPr="00F31154">
        <w:rPr>
          <w:rFonts w:ascii="Arial" w:hAnsi="Arial" w:cs="Arial"/>
        </w:rPr>
        <w:t xml:space="preserve"> (2010</w:t>
      </w:r>
      <w:r w:rsidR="00E03B52" w:rsidRPr="00F31154">
        <w:rPr>
          <w:rFonts w:ascii="Arial" w:hAnsi="Arial" w:cs="Arial"/>
        </w:rPr>
        <w:t>, p. 36</w:t>
      </w:r>
      <w:r w:rsidR="000D61F3" w:rsidRPr="00F31154">
        <w:rPr>
          <w:rFonts w:ascii="Arial" w:hAnsi="Arial" w:cs="Arial"/>
        </w:rPr>
        <w:t xml:space="preserve">), “a Demonstração do Resultado do Exercício apresenta os resultados das operações durante um </w:t>
      </w:r>
      <w:r w:rsidR="000D61F3" w:rsidRPr="00F31154">
        <w:rPr>
          <w:rFonts w:ascii="Arial" w:hAnsi="Arial" w:cs="Arial"/>
        </w:rPr>
        <w:lastRenderedPageBreak/>
        <w:t>período, e mostra os lucros por ação como sua ultima linha”.</w:t>
      </w:r>
      <w:r w:rsidR="00955F87">
        <w:rPr>
          <w:rFonts w:ascii="Arial" w:hAnsi="Arial" w:cs="Arial"/>
        </w:rPr>
        <w:t xml:space="preserve"> </w:t>
      </w:r>
      <w:r w:rsidR="00955F87" w:rsidRPr="00F31154">
        <w:rPr>
          <w:rFonts w:ascii="Arial" w:hAnsi="Arial" w:cs="Arial"/>
        </w:rPr>
        <w:t>A DRE é um</w:t>
      </w:r>
      <w:r w:rsidR="00847F65">
        <w:rPr>
          <w:rFonts w:ascii="Arial" w:hAnsi="Arial" w:cs="Arial"/>
        </w:rPr>
        <w:t>a</w:t>
      </w:r>
      <w:r w:rsidR="00955F87" w:rsidRPr="00F31154">
        <w:rPr>
          <w:rFonts w:ascii="Arial" w:hAnsi="Arial" w:cs="Arial"/>
        </w:rPr>
        <w:t xml:space="preserve"> </w:t>
      </w:r>
      <w:r w:rsidR="00847F65">
        <w:rPr>
          <w:rFonts w:ascii="Arial" w:hAnsi="Arial" w:cs="Arial"/>
        </w:rPr>
        <w:t>síntese</w:t>
      </w:r>
      <w:r w:rsidR="00955F87" w:rsidRPr="00F31154">
        <w:rPr>
          <w:rFonts w:ascii="Arial" w:hAnsi="Arial" w:cs="Arial"/>
        </w:rPr>
        <w:t xml:space="preserve"> das receitas e despesas de uma organização em um </w:t>
      </w:r>
      <w:r w:rsidR="00847F65">
        <w:rPr>
          <w:rFonts w:ascii="Arial" w:hAnsi="Arial" w:cs="Arial"/>
        </w:rPr>
        <w:t xml:space="preserve">específico </w:t>
      </w:r>
      <w:r w:rsidR="00955F87" w:rsidRPr="00F31154">
        <w:rPr>
          <w:rFonts w:ascii="Arial" w:hAnsi="Arial" w:cs="Arial"/>
        </w:rPr>
        <w:t>período, é feita pelo princípio da competência, podendo ser mensal, trimestral, semestral e anual.</w:t>
      </w:r>
    </w:p>
    <w:p w:rsidR="008E1BB5" w:rsidRPr="00F31154" w:rsidRDefault="00F803E5" w:rsidP="00D9032A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O Demonstrativo do Resultado do Exercício (</w:t>
      </w:r>
      <w:r w:rsidR="008E1BB5" w:rsidRPr="00F31154">
        <w:rPr>
          <w:rFonts w:ascii="Arial" w:hAnsi="Arial" w:cs="Arial"/>
        </w:rPr>
        <w:t>DRE</w:t>
      </w:r>
      <w:r>
        <w:rPr>
          <w:rFonts w:ascii="Arial" w:hAnsi="Arial" w:cs="Arial"/>
        </w:rPr>
        <w:t>)</w:t>
      </w:r>
      <w:r w:rsidR="00F37464">
        <w:rPr>
          <w:rFonts w:ascii="Arial" w:hAnsi="Arial" w:cs="Arial"/>
        </w:rPr>
        <w:t xml:space="preserve"> encontra-se</w:t>
      </w:r>
      <w:r>
        <w:rPr>
          <w:rFonts w:ascii="Arial" w:hAnsi="Arial" w:cs="Arial"/>
        </w:rPr>
        <w:t xml:space="preserve"> disponível no site da BOVESPA,</w:t>
      </w:r>
      <w:r w:rsidR="008E1BB5" w:rsidRPr="00F31154">
        <w:rPr>
          <w:rFonts w:ascii="Arial" w:hAnsi="Arial" w:cs="Arial"/>
        </w:rPr>
        <w:t xml:space="preserve"> da empresa em estudo para os anos encerrados </w:t>
      </w:r>
      <w:r w:rsidR="00E03B52" w:rsidRPr="00F31154">
        <w:rPr>
          <w:rFonts w:ascii="Arial" w:hAnsi="Arial" w:cs="Arial"/>
        </w:rPr>
        <w:t>em 31 de dezembro de 2010 a 2013</w:t>
      </w:r>
      <w:r w:rsidR="008E1BB5" w:rsidRPr="00F31154">
        <w:rPr>
          <w:rFonts w:ascii="Arial" w:hAnsi="Arial" w:cs="Arial"/>
        </w:rPr>
        <w:t>.</w:t>
      </w:r>
      <w:r w:rsidR="00DA4B71" w:rsidRPr="00F31154">
        <w:rPr>
          <w:rFonts w:ascii="Arial" w:hAnsi="Arial" w:cs="Arial"/>
        </w:rPr>
        <w:t xml:space="preserve"> </w:t>
      </w:r>
      <w:r w:rsidR="00F37464">
        <w:rPr>
          <w:rFonts w:ascii="Arial" w:hAnsi="Arial" w:cs="Arial"/>
        </w:rPr>
        <w:t xml:space="preserve">Fundamentando </w:t>
      </w:r>
      <w:r w:rsidR="00746799">
        <w:rPr>
          <w:rFonts w:ascii="Arial" w:hAnsi="Arial" w:cs="Arial"/>
        </w:rPr>
        <w:t>os dados</w:t>
      </w:r>
      <w:r w:rsidR="00746799" w:rsidRPr="00F31154">
        <w:rPr>
          <w:rFonts w:ascii="Arial" w:hAnsi="Arial" w:cs="Arial"/>
        </w:rPr>
        <w:t xml:space="preserve"> </w:t>
      </w:r>
      <w:r w:rsidR="00746799">
        <w:rPr>
          <w:rFonts w:ascii="Arial" w:hAnsi="Arial" w:cs="Arial"/>
        </w:rPr>
        <w:t>da análise econômico-financeiro</w:t>
      </w:r>
      <w:r w:rsidR="00746799" w:rsidRPr="00F31154">
        <w:rPr>
          <w:rFonts w:ascii="Arial" w:hAnsi="Arial" w:cs="Arial"/>
        </w:rPr>
        <w:t>s nos índices em estudo dessa pesquisa, mostrando o efeito das operações da empresa</w:t>
      </w:r>
      <w:r w:rsidR="001B6531" w:rsidRPr="00F31154">
        <w:rPr>
          <w:rFonts w:ascii="Arial" w:hAnsi="Arial" w:cs="Arial"/>
        </w:rPr>
        <w:t>.</w:t>
      </w:r>
    </w:p>
    <w:p w:rsidR="000D61F3" w:rsidRPr="00F31154" w:rsidRDefault="000D61F3" w:rsidP="00D9032A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>Em síntese, o Balanço Patrimonial pode ser entendido como uma fotografia em um dado momento</w:t>
      </w:r>
      <w:r w:rsidR="00AF5000" w:rsidRPr="00F31154">
        <w:rPr>
          <w:rFonts w:ascii="Arial" w:hAnsi="Arial" w:cs="Arial"/>
        </w:rPr>
        <w:t xml:space="preserve">, </w:t>
      </w:r>
      <w:r w:rsidR="00F803E5">
        <w:rPr>
          <w:rFonts w:ascii="Arial" w:hAnsi="Arial" w:cs="Arial"/>
        </w:rPr>
        <w:t>e</w:t>
      </w:r>
      <w:r w:rsidRPr="00F31154">
        <w:rPr>
          <w:rFonts w:ascii="Arial" w:hAnsi="Arial" w:cs="Arial"/>
        </w:rPr>
        <w:t xml:space="preserve"> a Demonstração do Resultado de Exercício relata </w:t>
      </w:r>
      <w:proofErr w:type="gramStart"/>
      <w:r w:rsidRPr="00F31154">
        <w:rPr>
          <w:rFonts w:ascii="Arial" w:hAnsi="Arial" w:cs="Arial"/>
        </w:rPr>
        <w:t>as operações ao longo determinado</w:t>
      </w:r>
      <w:proofErr w:type="gramEnd"/>
      <w:r w:rsidRPr="00F31154">
        <w:rPr>
          <w:rFonts w:ascii="Arial" w:hAnsi="Arial" w:cs="Arial"/>
        </w:rPr>
        <w:t xml:space="preserve"> período, (BRIGHAM; EHRHARDT 2010</w:t>
      </w:r>
      <w:r w:rsidR="00E03B52" w:rsidRPr="00F31154">
        <w:rPr>
          <w:rFonts w:ascii="Arial" w:hAnsi="Arial" w:cs="Arial"/>
        </w:rPr>
        <w:t>, p. 36</w:t>
      </w:r>
      <w:r w:rsidRPr="00F31154">
        <w:rPr>
          <w:rFonts w:ascii="Arial" w:hAnsi="Arial" w:cs="Arial"/>
        </w:rPr>
        <w:t>).</w:t>
      </w:r>
    </w:p>
    <w:p w:rsidR="001467BA" w:rsidRPr="00F31154" w:rsidRDefault="001467BA" w:rsidP="00D9032A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Para </w:t>
      </w:r>
      <w:proofErr w:type="spellStart"/>
      <w:r w:rsidRPr="00F31154">
        <w:rPr>
          <w:rFonts w:ascii="Arial" w:hAnsi="Arial" w:cs="Arial"/>
        </w:rPr>
        <w:t>Gitman</w:t>
      </w:r>
      <w:proofErr w:type="spellEnd"/>
      <w:r w:rsidRPr="00F31154">
        <w:rPr>
          <w:rFonts w:ascii="Arial" w:hAnsi="Arial" w:cs="Arial"/>
        </w:rPr>
        <w:t xml:space="preserve"> (2010, p. 45), a </w:t>
      </w:r>
      <w:r w:rsidR="007759E6" w:rsidRPr="00F31154">
        <w:rPr>
          <w:rFonts w:ascii="Arial" w:hAnsi="Arial" w:cs="Arial"/>
        </w:rPr>
        <w:t>“</w:t>
      </w:r>
      <w:r w:rsidRPr="00F31154">
        <w:rPr>
          <w:rFonts w:ascii="Arial" w:hAnsi="Arial" w:cs="Arial"/>
        </w:rPr>
        <w:t>Demonstrações das Mutações do Patrimônio Líquido, mostra todas as transações em conta patrimonial realizadas num determinado ano</w:t>
      </w:r>
      <w:r w:rsidR="007759E6" w:rsidRPr="00F31154">
        <w:rPr>
          <w:rFonts w:ascii="Arial" w:hAnsi="Arial" w:cs="Arial"/>
        </w:rPr>
        <w:t>”</w:t>
      </w:r>
      <w:r w:rsidRPr="00F31154">
        <w:rPr>
          <w:rFonts w:ascii="Arial" w:hAnsi="Arial" w:cs="Arial"/>
        </w:rPr>
        <w:t xml:space="preserve">. </w:t>
      </w:r>
      <w:r w:rsidR="007759E6" w:rsidRPr="00F31154">
        <w:rPr>
          <w:rFonts w:ascii="Arial" w:hAnsi="Arial" w:cs="Arial"/>
        </w:rPr>
        <w:t>Os acionistas têm</w:t>
      </w:r>
      <w:r w:rsidRPr="00F31154">
        <w:rPr>
          <w:rFonts w:ascii="Arial" w:hAnsi="Arial" w:cs="Arial"/>
        </w:rPr>
        <w:t xml:space="preserve"> como base neste relatório se a empresa tem recursos </w:t>
      </w:r>
      <w:r w:rsidR="007759E6" w:rsidRPr="00F31154">
        <w:rPr>
          <w:rFonts w:ascii="Arial" w:hAnsi="Arial" w:cs="Arial"/>
        </w:rPr>
        <w:t>para reinvestir os fundos, onde poderia ser distribuídos como dividendos.</w:t>
      </w:r>
    </w:p>
    <w:p w:rsidR="007759E6" w:rsidRPr="00F31154" w:rsidRDefault="007759E6" w:rsidP="00D9032A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>O fluxo de caixa de uma empresa geralmente difere de seu lucro contábil porque algumas das receitas e despesas registradas na demonstração do resultado do exercício não foram p</w:t>
      </w:r>
      <w:r w:rsidR="00E01BC2">
        <w:rPr>
          <w:rFonts w:ascii="Arial" w:hAnsi="Arial" w:cs="Arial"/>
        </w:rPr>
        <w:t xml:space="preserve">agas com dinheiro durante o ano. </w:t>
      </w:r>
      <w:r w:rsidRPr="00F31154">
        <w:rPr>
          <w:rFonts w:ascii="Arial" w:hAnsi="Arial" w:cs="Arial"/>
        </w:rPr>
        <w:t xml:space="preserve">(BRIGHAM; EHRHARDT 2010, p. 39). </w:t>
      </w:r>
    </w:p>
    <w:p w:rsidR="00303EA6" w:rsidRDefault="008E1BB5" w:rsidP="00DF7FF0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De posse das demonstrações </w:t>
      </w:r>
      <w:r w:rsidR="00D032FC">
        <w:rPr>
          <w:rFonts w:ascii="Arial" w:hAnsi="Arial" w:cs="Arial"/>
        </w:rPr>
        <w:t>mencionadas</w:t>
      </w:r>
      <w:r w:rsidRPr="00F31154">
        <w:rPr>
          <w:rFonts w:ascii="Arial" w:hAnsi="Arial" w:cs="Arial"/>
        </w:rPr>
        <w:t xml:space="preserve">, disponibilizada pelo contador, o gestor financeiro dará </w:t>
      </w:r>
      <w:r w:rsidR="00353D84" w:rsidRPr="00F31154">
        <w:rPr>
          <w:rFonts w:ascii="Arial" w:hAnsi="Arial" w:cs="Arial"/>
        </w:rPr>
        <w:t>início</w:t>
      </w:r>
      <w:r w:rsidRPr="00F31154">
        <w:rPr>
          <w:rFonts w:ascii="Arial" w:hAnsi="Arial" w:cs="Arial"/>
        </w:rPr>
        <w:t xml:space="preserve"> ao </w:t>
      </w:r>
      <w:r w:rsidR="00D032FC">
        <w:rPr>
          <w:rFonts w:ascii="Arial" w:hAnsi="Arial" w:cs="Arial"/>
        </w:rPr>
        <w:t xml:space="preserve">procedimento </w:t>
      </w:r>
      <w:r w:rsidR="001B6531" w:rsidRPr="00F31154">
        <w:rPr>
          <w:rFonts w:ascii="Arial" w:hAnsi="Arial" w:cs="Arial"/>
        </w:rPr>
        <w:t xml:space="preserve">para </w:t>
      </w:r>
      <w:r w:rsidR="003C7DD6">
        <w:rPr>
          <w:rFonts w:ascii="Arial" w:hAnsi="Arial" w:cs="Arial"/>
        </w:rPr>
        <w:t xml:space="preserve">se </w:t>
      </w:r>
      <w:proofErr w:type="gramStart"/>
      <w:r w:rsidR="003C7DD6">
        <w:rPr>
          <w:rFonts w:ascii="Arial" w:hAnsi="Arial" w:cs="Arial"/>
        </w:rPr>
        <w:t>fazer</w:t>
      </w:r>
      <w:proofErr w:type="gramEnd"/>
      <w:r w:rsidR="003C7DD6">
        <w:rPr>
          <w:rFonts w:ascii="Arial" w:hAnsi="Arial" w:cs="Arial"/>
        </w:rPr>
        <w:t xml:space="preserve"> </w:t>
      </w:r>
      <w:r w:rsidR="001B6531" w:rsidRPr="00F31154">
        <w:rPr>
          <w:rFonts w:ascii="Arial" w:hAnsi="Arial" w:cs="Arial"/>
        </w:rPr>
        <w:t xml:space="preserve">uma avaliação financeira, visando </w:t>
      </w:r>
      <w:r w:rsidR="00C853C1" w:rsidRPr="00F31154">
        <w:rPr>
          <w:rFonts w:ascii="Arial" w:hAnsi="Arial" w:cs="Arial"/>
        </w:rPr>
        <w:t>à</w:t>
      </w:r>
      <w:r w:rsidR="008F7FD0" w:rsidRPr="00F31154">
        <w:rPr>
          <w:rFonts w:ascii="Arial" w:hAnsi="Arial" w:cs="Arial"/>
        </w:rPr>
        <w:t xml:space="preserve"> verificação d</w:t>
      </w:r>
      <w:r w:rsidR="001B6531" w:rsidRPr="00F31154">
        <w:rPr>
          <w:rFonts w:ascii="Arial" w:hAnsi="Arial" w:cs="Arial"/>
        </w:rPr>
        <w:t>o desempenho da empresa.</w:t>
      </w:r>
      <w:r w:rsidR="003C7DD6">
        <w:rPr>
          <w:rFonts w:ascii="Arial" w:hAnsi="Arial" w:cs="Arial"/>
        </w:rPr>
        <w:t xml:space="preserve"> Dessa forma possibilita o gestor ter uma fotografia de seus principais índices e partir para a execução de tomada de decisão e propor melhorias </w:t>
      </w:r>
      <w:r w:rsidR="00C416CB">
        <w:rPr>
          <w:rFonts w:ascii="Arial" w:hAnsi="Arial" w:cs="Arial"/>
        </w:rPr>
        <w:t>através de ações a serem executadas.</w:t>
      </w:r>
    </w:p>
    <w:p w:rsidR="008E1413" w:rsidRPr="00F31154" w:rsidRDefault="008E1413" w:rsidP="00185036">
      <w:pPr>
        <w:widowControl w:val="0"/>
        <w:spacing w:line="480" w:lineRule="auto"/>
        <w:ind w:firstLine="1134"/>
        <w:jc w:val="both"/>
        <w:rPr>
          <w:rFonts w:ascii="Arial" w:hAnsi="Arial" w:cs="Arial"/>
        </w:rPr>
      </w:pPr>
    </w:p>
    <w:p w:rsidR="00DF7FF0" w:rsidRPr="00F31154" w:rsidRDefault="00303EA6" w:rsidP="00C853C1">
      <w:pPr>
        <w:pStyle w:val="PargrafodaLista"/>
        <w:widowControl w:val="0"/>
        <w:numPr>
          <w:ilvl w:val="0"/>
          <w:numId w:val="21"/>
        </w:numPr>
        <w:tabs>
          <w:tab w:val="left" w:pos="6946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F31154">
        <w:rPr>
          <w:rFonts w:ascii="Arial" w:hAnsi="Arial" w:cs="Arial"/>
          <w:b/>
        </w:rPr>
        <w:t>Formas de Análise</w:t>
      </w:r>
    </w:p>
    <w:p w:rsidR="00303EA6" w:rsidRPr="00F31154" w:rsidRDefault="00303EA6" w:rsidP="00C372C6">
      <w:pPr>
        <w:widowControl w:val="0"/>
        <w:spacing w:line="480" w:lineRule="auto"/>
        <w:jc w:val="both"/>
        <w:rPr>
          <w:rFonts w:ascii="Arial" w:hAnsi="Arial" w:cs="Arial"/>
        </w:rPr>
      </w:pPr>
    </w:p>
    <w:p w:rsidR="009A6BB9" w:rsidRPr="00F31154" w:rsidRDefault="00303EA6" w:rsidP="00303EA6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Para se analisar as demonstrações financeiras consiste </w:t>
      </w:r>
      <w:r w:rsidR="005959BC">
        <w:rPr>
          <w:rFonts w:ascii="Arial" w:hAnsi="Arial" w:cs="Arial"/>
        </w:rPr>
        <w:t>nas</w:t>
      </w:r>
      <w:r w:rsidRPr="00F31154">
        <w:rPr>
          <w:rFonts w:ascii="Arial" w:hAnsi="Arial" w:cs="Arial"/>
        </w:rPr>
        <w:t xml:space="preserve"> ferramentas, citas abaixo:</w:t>
      </w:r>
    </w:p>
    <w:p w:rsidR="00303EA6" w:rsidRPr="00F31154" w:rsidRDefault="00303EA6" w:rsidP="00303EA6">
      <w:pPr>
        <w:pStyle w:val="PargrafodaLista"/>
        <w:widowControl w:val="0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>Análise Vertical (AV);</w:t>
      </w:r>
    </w:p>
    <w:p w:rsidR="00303EA6" w:rsidRPr="00F31154" w:rsidRDefault="00303EA6" w:rsidP="00303EA6">
      <w:pPr>
        <w:pStyle w:val="PargrafodaLista"/>
        <w:widowControl w:val="0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lastRenderedPageBreak/>
        <w:t>Análise Horizontal (AH);</w:t>
      </w:r>
    </w:p>
    <w:p w:rsidR="00303EA6" w:rsidRPr="00F31154" w:rsidRDefault="00CB24C1" w:rsidP="00303EA6">
      <w:pPr>
        <w:pStyle w:val="PargrafodaLista"/>
        <w:widowControl w:val="0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>Indicadores econômico-financeiros;</w:t>
      </w:r>
    </w:p>
    <w:p w:rsidR="009A6BB9" w:rsidRPr="00F31154" w:rsidRDefault="009A6BB9" w:rsidP="00B25D66">
      <w:pPr>
        <w:pStyle w:val="PargrafodaLista"/>
        <w:widowControl w:val="0"/>
        <w:spacing w:line="480" w:lineRule="auto"/>
        <w:ind w:left="1854"/>
        <w:jc w:val="both"/>
        <w:rPr>
          <w:rFonts w:ascii="Arial" w:hAnsi="Arial" w:cs="Arial"/>
        </w:rPr>
      </w:pPr>
    </w:p>
    <w:p w:rsidR="009A47DC" w:rsidRDefault="00CB24C1" w:rsidP="00CB24C1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As três primeiras formas </w:t>
      </w:r>
      <w:r w:rsidR="006461F7" w:rsidRPr="00F31154">
        <w:rPr>
          <w:rFonts w:ascii="Arial" w:hAnsi="Arial" w:cs="Arial"/>
        </w:rPr>
        <w:t>para a</w:t>
      </w:r>
      <w:r w:rsidRPr="00F31154">
        <w:rPr>
          <w:rFonts w:ascii="Arial" w:hAnsi="Arial" w:cs="Arial"/>
        </w:rPr>
        <w:t xml:space="preserve"> análise é </w:t>
      </w:r>
      <w:r w:rsidR="009A47DC">
        <w:rPr>
          <w:rFonts w:ascii="Arial" w:hAnsi="Arial" w:cs="Arial"/>
        </w:rPr>
        <w:t>realizada</w:t>
      </w:r>
      <w:r w:rsidRPr="00F31154">
        <w:rPr>
          <w:rFonts w:ascii="Arial" w:hAnsi="Arial" w:cs="Arial"/>
        </w:rPr>
        <w:t xml:space="preserve"> através de uma </w:t>
      </w:r>
      <w:r w:rsidR="009A47DC">
        <w:rPr>
          <w:rFonts w:ascii="Arial" w:hAnsi="Arial" w:cs="Arial"/>
        </w:rPr>
        <w:t>sequencia</w:t>
      </w:r>
      <w:r w:rsidRPr="00F31154">
        <w:rPr>
          <w:rFonts w:ascii="Arial" w:hAnsi="Arial" w:cs="Arial"/>
        </w:rPr>
        <w:t xml:space="preserve"> de cálculos que inter-relacionam </w:t>
      </w:r>
      <w:r w:rsidR="006461F7" w:rsidRPr="00F31154">
        <w:rPr>
          <w:rFonts w:ascii="Arial" w:hAnsi="Arial" w:cs="Arial"/>
        </w:rPr>
        <w:t>elementos d</w:t>
      </w:r>
      <w:r w:rsidRPr="00F31154">
        <w:rPr>
          <w:rFonts w:ascii="Arial" w:hAnsi="Arial" w:cs="Arial"/>
        </w:rPr>
        <w:t>o balanço patrimonial e demonstração de resultados</w:t>
      </w:r>
      <w:r w:rsidR="006461F7" w:rsidRPr="00F31154">
        <w:rPr>
          <w:rFonts w:ascii="Arial" w:hAnsi="Arial" w:cs="Arial"/>
        </w:rPr>
        <w:t xml:space="preserve"> do exercício. </w:t>
      </w:r>
    </w:p>
    <w:p w:rsidR="00CB24C1" w:rsidRPr="00F31154" w:rsidRDefault="006461F7" w:rsidP="00CB24C1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De acordo com </w:t>
      </w:r>
      <w:proofErr w:type="spellStart"/>
      <w:r w:rsidRPr="00F31154">
        <w:rPr>
          <w:rFonts w:ascii="Arial" w:hAnsi="Arial" w:cs="Arial"/>
        </w:rPr>
        <w:t>Padoveze</w:t>
      </w:r>
      <w:proofErr w:type="spellEnd"/>
      <w:r w:rsidRPr="00F31154">
        <w:rPr>
          <w:rFonts w:ascii="Arial" w:hAnsi="Arial" w:cs="Arial"/>
        </w:rPr>
        <w:t xml:space="preserve"> e </w:t>
      </w:r>
      <w:proofErr w:type="spellStart"/>
      <w:r w:rsidRPr="00F31154">
        <w:rPr>
          <w:rFonts w:ascii="Arial" w:hAnsi="Arial" w:cs="Arial"/>
        </w:rPr>
        <w:t>Benedicto</w:t>
      </w:r>
      <w:proofErr w:type="spellEnd"/>
      <w:r w:rsidRPr="00F31154">
        <w:rPr>
          <w:rFonts w:ascii="Arial" w:hAnsi="Arial" w:cs="Arial"/>
        </w:rPr>
        <w:t xml:space="preserve"> (2010</w:t>
      </w:r>
      <w:r w:rsidR="000E25AC" w:rsidRPr="00F31154">
        <w:rPr>
          <w:rFonts w:ascii="Arial" w:hAnsi="Arial" w:cs="Arial"/>
        </w:rPr>
        <w:t>, p. 107</w:t>
      </w:r>
      <w:r w:rsidRPr="00F31154">
        <w:rPr>
          <w:rFonts w:ascii="Arial" w:hAnsi="Arial" w:cs="Arial"/>
        </w:rPr>
        <w:t>), análise vertical consiste em uma análise de estrutura ou de participação percentual. A análise horizontal objetiva verificar as variações ocorridas entre um período analisado e outro.</w:t>
      </w:r>
    </w:p>
    <w:p w:rsidR="006461F7" w:rsidRPr="00F31154" w:rsidRDefault="006461F7" w:rsidP="00431A4F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Os indicadores </w:t>
      </w:r>
      <w:r w:rsidR="009A47DC">
        <w:rPr>
          <w:rFonts w:ascii="Arial" w:hAnsi="Arial" w:cs="Arial"/>
        </w:rPr>
        <w:t>econômico-financeiros faz</w:t>
      </w:r>
      <w:r w:rsidRPr="00F31154">
        <w:rPr>
          <w:rFonts w:ascii="Arial" w:hAnsi="Arial" w:cs="Arial"/>
        </w:rPr>
        <w:t xml:space="preserve"> a inter-relação entre o balanço patrimonial e demonstração de resultados de exercício permitindo mensurar e verificar as relações básicas das operações. Para </w:t>
      </w:r>
      <w:proofErr w:type="spellStart"/>
      <w:r w:rsidRPr="00F31154">
        <w:rPr>
          <w:rFonts w:ascii="Arial" w:hAnsi="Arial" w:cs="Arial"/>
        </w:rPr>
        <w:t>Padoveze</w:t>
      </w:r>
      <w:proofErr w:type="spellEnd"/>
      <w:r w:rsidRPr="00F31154">
        <w:rPr>
          <w:rFonts w:ascii="Arial" w:hAnsi="Arial" w:cs="Arial"/>
        </w:rPr>
        <w:t xml:space="preserve"> e </w:t>
      </w:r>
      <w:proofErr w:type="spellStart"/>
      <w:r w:rsidRPr="00F31154">
        <w:rPr>
          <w:rFonts w:ascii="Arial" w:hAnsi="Arial" w:cs="Arial"/>
        </w:rPr>
        <w:t>Benedicto</w:t>
      </w:r>
      <w:proofErr w:type="spellEnd"/>
      <w:r w:rsidRPr="00F31154">
        <w:rPr>
          <w:rFonts w:ascii="Arial" w:hAnsi="Arial" w:cs="Arial"/>
        </w:rPr>
        <w:t xml:space="preserve"> (2010</w:t>
      </w:r>
      <w:r w:rsidR="000E25AC" w:rsidRPr="00F31154">
        <w:rPr>
          <w:rFonts w:ascii="Arial" w:hAnsi="Arial" w:cs="Arial"/>
        </w:rPr>
        <w:t xml:space="preserve">, </w:t>
      </w:r>
      <w:r w:rsidR="00431A4F" w:rsidRPr="00F31154">
        <w:rPr>
          <w:rFonts w:ascii="Arial" w:hAnsi="Arial" w:cs="Arial"/>
        </w:rPr>
        <w:t>107</w:t>
      </w:r>
      <w:r w:rsidRPr="00F31154">
        <w:rPr>
          <w:rFonts w:ascii="Arial" w:hAnsi="Arial" w:cs="Arial"/>
        </w:rPr>
        <w:t>),</w:t>
      </w:r>
      <w:r w:rsidR="00431A4F" w:rsidRPr="00F31154">
        <w:rPr>
          <w:rFonts w:ascii="Arial" w:hAnsi="Arial" w:cs="Arial"/>
        </w:rPr>
        <w:t xml:space="preserve"> representam a inter-relações do balanço patrimonial e demonstração do resultado do exercício,</w:t>
      </w:r>
      <w:r w:rsidRPr="00F31154">
        <w:rPr>
          <w:rFonts w:ascii="Arial" w:hAnsi="Arial" w:cs="Arial"/>
        </w:rPr>
        <w:t xml:space="preserve"> mensuram-se a capacidade de pagamento e o retorno do investimento, permitindo a</w:t>
      </w:r>
      <w:r w:rsidR="000D61F3" w:rsidRPr="00F31154">
        <w:rPr>
          <w:rFonts w:ascii="Arial" w:hAnsi="Arial" w:cs="Arial"/>
        </w:rPr>
        <w:t xml:space="preserve"> avaliação geral e final do desempenho e da situação da entidade.</w:t>
      </w:r>
    </w:p>
    <w:p w:rsidR="000D61F3" w:rsidRPr="00F31154" w:rsidRDefault="000D61F3" w:rsidP="00CB24C1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Segundo </w:t>
      </w:r>
      <w:proofErr w:type="spellStart"/>
      <w:r w:rsidR="00431A4F" w:rsidRPr="00F31154">
        <w:rPr>
          <w:rFonts w:ascii="Arial" w:hAnsi="Arial" w:cs="Arial"/>
        </w:rPr>
        <w:t>Gitman</w:t>
      </w:r>
      <w:proofErr w:type="spellEnd"/>
      <w:r w:rsidR="00431A4F" w:rsidRPr="00F31154">
        <w:rPr>
          <w:rFonts w:ascii="Arial" w:hAnsi="Arial" w:cs="Arial"/>
        </w:rPr>
        <w:t xml:space="preserve"> (2010, p. 48), </w:t>
      </w:r>
      <w:r w:rsidR="00FB4543" w:rsidRPr="00F31154">
        <w:rPr>
          <w:rFonts w:ascii="Arial" w:hAnsi="Arial" w:cs="Arial"/>
        </w:rPr>
        <w:t>“</w:t>
      </w:r>
      <w:r w:rsidR="00431A4F" w:rsidRPr="00F31154">
        <w:rPr>
          <w:rFonts w:ascii="Arial" w:hAnsi="Arial" w:cs="Arial"/>
        </w:rPr>
        <w:t>as informações nas demonstrações financeiras são de grande import</w:t>
      </w:r>
      <w:r w:rsidR="00FB4543" w:rsidRPr="00F31154">
        <w:rPr>
          <w:rFonts w:ascii="Arial" w:hAnsi="Arial" w:cs="Arial"/>
        </w:rPr>
        <w:t>ância, que necessitam regularmente de medidas relativas acerca do desempenho da empresa”. Já para, Assaf Neto, (1998, p. 47), “a análise visa relatar, com base nas informações contábeis, a posição econômico-financeira atual, as causas que determinam a evolução apresentada e as tendências futuras”.</w:t>
      </w:r>
    </w:p>
    <w:p w:rsidR="008E539A" w:rsidRPr="00F31154" w:rsidRDefault="008E539A" w:rsidP="00C372C6">
      <w:pPr>
        <w:widowControl w:val="0"/>
        <w:spacing w:line="480" w:lineRule="auto"/>
        <w:ind w:firstLine="1134"/>
        <w:jc w:val="both"/>
        <w:rPr>
          <w:rFonts w:ascii="Arial" w:hAnsi="Arial" w:cs="Arial"/>
        </w:rPr>
      </w:pPr>
    </w:p>
    <w:p w:rsidR="004E2310" w:rsidRPr="00F31154" w:rsidRDefault="00E73AEA" w:rsidP="00FF5F5B">
      <w:pPr>
        <w:pStyle w:val="PargrafodaLista"/>
        <w:widowControl w:val="0"/>
        <w:numPr>
          <w:ilvl w:val="0"/>
          <w:numId w:val="21"/>
        </w:numPr>
        <w:spacing w:line="360" w:lineRule="auto"/>
        <w:ind w:left="426" w:hanging="426"/>
        <w:jc w:val="both"/>
        <w:rPr>
          <w:rFonts w:ascii="Arial" w:hAnsi="Arial" w:cs="Arial"/>
          <w:b/>
        </w:rPr>
      </w:pPr>
      <w:r w:rsidRPr="00F31154">
        <w:rPr>
          <w:rFonts w:ascii="Arial" w:hAnsi="Arial" w:cs="Arial"/>
          <w:b/>
        </w:rPr>
        <w:t>Análise das Demonstrações Financeiras</w:t>
      </w:r>
    </w:p>
    <w:p w:rsidR="004E2310" w:rsidRPr="00F31154" w:rsidRDefault="004E2310" w:rsidP="00C372C6">
      <w:pPr>
        <w:widowControl w:val="0"/>
        <w:spacing w:line="480" w:lineRule="auto"/>
        <w:jc w:val="both"/>
        <w:rPr>
          <w:rFonts w:ascii="Arial" w:hAnsi="Arial" w:cs="Arial"/>
        </w:rPr>
      </w:pPr>
    </w:p>
    <w:p w:rsidR="000D61F3" w:rsidRPr="00F31154" w:rsidRDefault="00C969F2" w:rsidP="000D61F3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Segundo, </w:t>
      </w:r>
      <w:proofErr w:type="spellStart"/>
      <w:r w:rsidRPr="00F31154">
        <w:rPr>
          <w:rFonts w:ascii="Arial" w:hAnsi="Arial" w:cs="Arial"/>
        </w:rPr>
        <w:t>Brigham</w:t>
      </w:r>
      <w:proofErr w:type="spellEnd"/>
      <w:r w:rsidRPr="00F31154">
        <w:rPr>
          <w:rFonts w:ascii="Arial" w:hAnsi="Arial" w:cs="Arial"/>
        </w:rPr>
        <w:t xml:space="preserve"> e </w:t>
      </w:r>
      <w:proofErr w:type="spellStart"/>
      <w:r w:rsidRPr="00F31154">
        <w:rPr>
          <w:rFonts w:ascii="Arial" w:hAnsi="Arial" w:cs="Arial"/>
        </w:rPr>
        <w:t>Ehrhardt</w:t>
      </w:r>
      <w:proofErr w:type="spellEnd"/>
      <w:r w:rsidRPr="00F31154">
        <w:rPr>
          <w:rFonts w:ascii="Arial" w:hAnsi="Arial" w:cs="Arial"/>
        </w:rPr>
        <w:t xml:space="preserve"> (2010, p.77)</w:t>
      </w:r>
      <w:r w:rsidR="00390A21">
        <w:rPr>
          <w:rFonts w:ascii="Arial" w:hAnsi="Arial" w:cs="Arial"/>
        </w:rPr>
        <w:t>, o</w:t>
      </w:r>
      <w:r w:rsidR="000D61F3" w:rsidRPr="00F31154">
        <w:rPr>
          <w:rFonts w:ascii="Arial" w:hAnsi="Arial" w:cs="Arial"/>
        </w:rPr>
        <w:t xml:space="preserve"> principal objetivo da administração financeira é maximizar o preço da ação. Entretanto para entender o desempenho de uma empresa e prever aonde esse desempenho a levará, é necessário aval</w:t>
      </w:r>
      <w:r w:rsidRPr="00F31154">
        <w:rPr>
          <w:rFonts w:ascii="Arial" w:hAnsi="Arial" w:cs="Arial"/>
        </w:rPr>
        <w:t>iar as demonstrações contábeis.</w:t>
      </w:r>
    </w:p>
    <w:p w:rsidR="008E1BB5" w:rsidRPr="00F31154" w:rsidRDefault="00A47144" w:rsidP="008E1BB5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Para uma empresa a análise financeira é de suma importância como base fundamental de tomadas e medidas decisórias, originando o crescimento e </w:t>
      </w:r>
      <w:r w:rsidRPr="00F31154">
        <w:rPr>
          <w:rFonts w:ascii="Arial" w:hAnsi="Arial" w:cs="Arial"/>
        </w:rPr>
        <w:lastRenderedPageBreak/>
        <w:t xml:space="preserve">desempenho da mesma, dessa forma promove </w:t>
      </w:r>
      <w:r w:rsidR="00C82DDB">
        <w:rPr>
          <w:rFonts w:ascii="Arial" w:hAnsi="Arial" w:cs="Arial"/>
        </w:rPr>
        <w:t>caminhos futuros a serem tomados e seguido</w:t>
      </w:r>
      <w:r w:rsidRPr="00F31154">
        <w:rPr>
          <w:rFonts w:ascii="Arial" w:hAnsi="Arial" w:cs="Arial"/>
        </w:rPr>
        <w:t xml:space="preserve">s pelos gestores. </w:t>
      </w:r>
    </w:p>
    <w:p w:rsidR="0028025E" w:rsidRPr="00F31154" w:rsidRDefault="00C32205" w:rsidP="008E1BB5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>Análise das Demonstrações Financeiras tem como objetivo avaliar a posição econômico-financeira passada e atual de uma entidade, analisar</w:t>
      </w:r>
      <w:r w:rsidR="00390A21">
        <w:rPr>
          <w:rFonts w:ascii="Arial" w:hAnsi="Arial" w:cs="Arial"/>
        </w:rPr>
        <w:t xml:space="preserve"> </w:t>
      </w:r>
      <w:r w:rsidR="000D61F3" w:rsidRPr="00F31154">
        <w:rPr>
          <w:rFonts w:ascii="Arial" w:hAnsi="Arial" w:cs="Arial"/>
        </w:rPr>
        <w:t>motivos</w:t>
      </w:r>
      <w:r w:rsidRPr="00F31154">
        <w:rPr>
          <w:rFonts w:ascii="Arial" w:hAnsi="Arial" w:cs="Arial"/>
        </w:rPr>
        <w:t xml:space="preserve"> que levam a evolução apresentada, bem como subsidiar o planejamento financeiro, com vistas ao futuro, (C</w:t>
      </w:r>
      <w:r w:rsidR="00C639E6" w:rsidRPr="00F31154">
        <w:rPr>
          <w:rFonts w:ascii="Arial" w:hAnsi="Arial" w:cs="Arial"/>
        </w:rPr>
        <w:t>AMARGO, 2007</w:t>
      </w:r>
      <w:r w:rsidR="00B72239" w:rsidRPr="00F31154">
        <w:rPr>
          <w:rFonts w:ascii="Arial" w:hAnsi="Arial" w:cs="Arial"/>
        </w:rPr>
        <w:t xml:space="preserve"> p. 192</w:t>
      </w:r>
      <w:r w:rsidR="00C639E6" w:rsidRPr="00F31154">
        <w:rPr>
          <w:rFonts w:ascii="Arial" w:hAnsi="Arial" w:cs="Arial"/>
        </w:rPr>
        <w:t xml:space="preserve">). </w:t>
      </w:r>
    </w:p>
    <w:p w:rsidR="00390A21" w:rsidRDefault="00F93620" w:rsidP="00CB3A9E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>Com base nas definições abordadas esta pesquisa terá como base de análise das demonstrações financeiras o conceito abordado por Marion</w:t>
      </w:r>
      <w:r w:rsidR="002C67F0" w:rsidRPr="00F31154">
        <w:rPr>
          <w:rFonts w:ascii="Arial" w:hAnsi="Arial" w:cs="Arial"/>
        </w:rPr>
        <w:t xml:space="preserve"> (201</w:t>
      </w:r>
      <w:r w:rsidR="00072976" w:rsidRPr="00F31154">
        <w:rPr>
          <w:rFonts w:ascii="Arial" w:hAnsi="Arial" w:cs="Arial"/>
        </w:rPr>
        <w:t>2, p. 99</w:t>
      </w:r>
      <w:r w:rsidR="002C67F0" w:rsidRPr="00F31154">
        <w:rPr>
          <w:rFonts w:ascii="Arial" w:hAnsi="Arial" w:cs="Arial"/>
        </w:rPr>
        <w:t>)</w:t>
      </w:r>
      <w:r w:rsidRPr="00F31154">
        <w:rPr>
          <w:rFonts w:ascii="Arial" w:hAnsi="Arial" w:cs="Arial"/>
        </w:rPr>
        <w:t xml:space="preserve">, dado o nome de tripé dos índices financeiros, </w:t>
      </w:r>
      <w:r w:rsidR="00CB3A9E" w:rsidRPr="00F31154">
        <w:rPr>
          <w:rFonts w:ascii="Arial" w:hAnsi="Arial" w:cs="Arial"/>
        </w:rPr>
        <w:t>índices de liquidez, rentabilidade e endividamento.</w:t>
      </w:r>
      <w:r w:rsidR="00955F87">
        <w:rPr>
          <w:rFonts w:ascii="Arial" w:hAnsi="Arial" w:cs="Arial"/>
        </w:rPr>
        <w:t xml:space="preserve"> </w:t>
      </w:r>
      <w:r w:rsidR="00B04433" w:rsidRPr="00F31154">
        <w:rPr>
          <w:rFonts w:ascii="Arial" w:hAnsi="Arial" w:cs="Arial"/>
        </w:rPr>
        <w:t xml:space="preserve">Segundo </w:t>
      </w:r>
      <w:proofErr w:type="spellStart"/>
      <w:r w:rsidR="00992C00">
        <w:rPr>
          <w:rFonts w:ascii="Arial" w:hAnsi="Arial" w:cs="Arial"/>
        </w:rPr>
        <w:t>Gitman</w:t>
      </w:r>
      <w:proofErr w:type="spellEnd"/>
      <w:r w:rsidR="00B04433" w:rsidRPr="00F31154">
        <w:rPr>
          <w:rFonts w:ascii="Arial" w:hAnsi="Arial" w:cs="Arial"/>
        </w:rPr>
        <w:t xml:space="preserve"> (2010</w:t>
      </w:r>
      <w:r w:rsidR="009E793F" w:rsidRPr="00F31154">
        <w:rPr>
          <w:rFonts w:ascii="Arial" w:hAnsi="Arial" w:cs="Arial"/>
        </w:rPr>
        <w:t xml:space="preserve"> p. 48</w:t>
      </w:r>
      <w:r w:rsidR="00B04433" w:rsidRPr="00F31154">
        <w:rPr>
          <w:rFonts w:ascii="Arial" w:hAnsi="Arial" w:cs="Arial"/>
        </w:rPr>
        <w:t xml:space="preserve">), </w:t>
      </w:r>
      <w:r w:rsidR="00955F87">
        <w:rPr>
          <w:rFonts w:ascii="Arial" w:hAnsi="Arial" w:cs="Arial"/>
        </w:rPr>
        <w:t>“</w:t>
      </w:r>
      <w:r w:rsidR="00B04433" w:rsidRPr="00F31154">
        <w:rPr>
          <w:rFonts w:ascii="Arial" w:hAnsi="Arial" w:cs="Arial"/>
        </w:rPr>
        <w:t>a Análise de índices envolve métodos de cálculo e interpretação de índices financeiros para analisar o desempenho da empresa</w:t>
      </w:r>
      <w:r w:rsidR="00955F87">
        <w:rPr>
          <w:rFonts w:ascii="Arial" w:hAnsi="Arial" w:cs="Arial"/>
        </w:rPr>
        <w:t>”</w:t>
      </w:r>
      <w:r w:rsidR="00B04433" w:rsidRPr="00F31154">
        <w:rPr>
          <w:rFonts w:ascii="Arial" w:hAnsi="Arial" w:cs="Arial"/>
        </w:rPr>
        <w:t xml:space="preserve">. </w:t>
      </w:r>
    </w:p>
    <w:p w:rsidR="00B04433" w:rsidRPr="00F31154" w:rsidRDefault="00390A21" w:rsidP="00CB3A9E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Tendo em vista, a presente pesquisa terá como bases fundamentais dados obtidos pelos relatórios contábeis a</w:t>
      </w:r>
      <w:r w:rsidR="008E24CD" w:rsidRPr="00F31154">
        <w:rPr>
          <w:rFonts w:ascii="Arial" w:hAnsi="Arial" w:cs="Arial"/>
        </w:rPr>
        <w:t>s demonstrações</w:t>
      </w:r>
      <w:r w:rsidR="00B04433" w:rsidRPr="00F31154">
        <w:rPr>
          <w:rFonts w:ascii="Arial" w:hAnsi="Arial" w:cs="Arial"/>
        </w:rPr>
        <w:t xml:space="preserve"> fundamentais para a análise de índices </w:t>
      </w:r>
      <w:r w:rsidR="008E24CD" w:rsidRPr="00F31154">
        <w:rPr>
          <w:rFonts w:ascii="Arial" w:hAnsi="Arial" w:cs="Arial"/>
        </w:rPr>
        <w:t>s</w:t>
      </w:r>
      <w:r w:rsidR="00B04433" w:rsidRPr="00F31154">
        <w:rPr>
          <w:rFonts w:ascii="Arial" w:hAnsi="Arial" w:cs="Arial"/>
        </w:rPr>
        <w:t>ão D</w:t>
      </w:r>
      <w:r>
        <w:rPr>
          <w:rFonts w:ascii="Arial" w:hAnsi="Arial" w:cs="Arial"/>
        </w:rPr>
        <w:t xml:space="preserve">emonstrativo do </w:t>
      </w:r>
      <w:r w:rsidR="00B04433" w:rsidRPr="00F31154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esultado do </w:t>
      </w:r>
      <w:r w:rsidR="00B04433" w:rsidRPr="00F31154">
        <w:rPr>
          <w:rFonts w:ascii="Arial" w:hAnsi="Arial" w:cs="Arial"/>
        </w:rPr>
        <w:t>E</w:t>
      </w:r>
      <w:r>
        <w:rPr>
          <w:rFonts w:ascii="Arial" w:hAnsi="Arial" w:cs="Arial"/>
        </w:rPr>
        <w:t>xercício (DRE)</w:t>
      </w:r>
      <w:r w:rsidR="00B04433" w:rsidRPr="00F31154">
        <w:rPr>
          <w:rFonts w:ascii="Arial" w:hAnsi="Arial" w:cs="Arial"/>
        </w:rPr>
        <w:t xml:space="preserve"> e o B</w:t>
      </w:r>
      <w:r>
        <w:rPr>
          <w:rFonts w:ascii="Arial" w:hAnsi="Arial" w:cs="Arial"/>
        </w:rPr>
        <w:t xml:space="preserve">alanço </w:t>
      </w:r>
      <w:r w:rsidR="00B04433" w:rsidRPr="00F31154">
        <w:rPr>
          <w:rFonts w:ascii="Arial" w:hAnsi="Arial" w:cs="Arial"/>
        </w:rPr>
        <w:t>P</w:t>
      </w:r>
      <w:r>
        <w:rPr>
          <w:rFonts w:ascii="Arial" w:hAnsi="Arial" w:cs="Arial"/>
        </w:rPr>
        <w:t>atrimonial (BP), descritos no item 2.3, para uma análise financeira dos índices de liquidez, endividamento e rentabilidade.</w:t>
      </w:r>
    </w:p>
    <w:p w:rsidR="00204AA7" w:rsidRPr="00F31154" w:rsidRDefault="00390A21" w:rsidP="009E793F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204AA7" w:rsidRPr="00F31154">
        <w:rPr>
          <w:rFonts w:ascii="Arial" w:hAnsi="Arial" w:cs="Arial"/>
        </w:rPr>
        <w:t>ma análise de índices não depende apenas do cálculo, mas também é de suma importância a interpretação desse</w:t>
      </w:r>
      <w:r w:rsidR="00312F18" w:rsidRPr="00F31154">
        <w:rPr>
          <w:rFonts w:ascii="Arial" w:hAnsi="Arial" w:cs="Arial"/>
        </w:rPr>
        <w:t>s</w:t>
      </w:r>
      <w:r w:rsidR="00204AA7" w:rsidRPr="00F31154">
        <w:rPr>
          <w:rFonts w:ascii="Arial" w:hAnsi="Arial" w:cs="Arial"/>
        </w:rPr>
        <w:t xml:space="preserve"> índice</w:t>
      </w:r>
      <w:r w:rsidR="00312F18" w:rsidRPr="00F31154">
        <w:rPr>
          <w:rFonts w:ascii="Arial" w:hAnsi="Arial" w:cs="Arial"/>
        </w:rPr>
        <w:t>s</w:t>
      </w:r>
      <w:r w:rsidR="00204AA7" w:rsidRPr="00F31154">
        <w:rPr>
          <w:rFonts w:ascii="Arial" w:hAnsi="Arial" w:cs="Arial"/>
        </w:rPr>
        <w:t>. Haja vista, é fundamental na interpretação a comparação dos resultados dos índices por uma análise transversal ou temporal.</w:t>
      </w:r>
      <w:r w:rsidR="00955F87">
        <w:rPr>
          <w:rFonts w:ascii="Arial" w:hAnsi="Arial" w:cs="Arial"/>
        </w:rPr>
        <w:t xml:space="preserve"> </w:t>
      </w:r>
      <w:r w:rsidR="00204AA7" w:rsidRPr="00F31154">
        <w:rPr>
          <w:rFonts w:ascii="Arial" w:hAnsi="Arial" w:cs="Arial"/>
        </w:rPr>
        <w:t xml:space="preserve">Para </w:t>
      </w:r>
      <w:proofErr w:type="spellStart"/>
      <w:r w:rsidR="00C639E6" w:rsidRPr="00F31154">
        <w:rPr>
          <w:rFonts w:ascii="Arial" w:hAnsi="Arial" w:cs="Arial"/>
        </w:rPr>
        <w:t>Git</w:t>
      </w:r>
      <w:r w:rsidR="005D5D4F" w:rsidRPr="00F31154">
        <w:rPr>
          <w:rFonts w:ascii="Arial" w:hAnsi="Arial" w:cs="Arial"/>
        </w:rPr>
        <w:t>m</w:t>
      </w:r>
      <w:r w:rsidR="00C639E6" w:rsidRPr="00F31154">
        <w:rPr>
          <w:rFonts w:ascii="Arial" w:hAnsi="Arial" w:cs="Arial"/>
        </w:rPr>
        <w:t>a</w:t>
      </w:r>
      <w:r w:rsidR="005D5D4F" w:rsidRPr="00F31154">
        <w:rPr>
          <w:rFonts w:ascii="Arial" w:hAnsi="Arial" w:cs="Arial"/>
        </w:rPr>
        <w:t>n</w:t>
      </w:r>
      <w:proofErr w:type="spellEnd"/>
      <w:r w:rsidR="00204AA7" w:rsidRPr="00F31154">
        <w:rPr>
          <w:rFonts w:ascii="Arial" w:hAnsi="Arial" w:cs="Arial"/>
        </w:rPr>
        <w:t xml:space="preserve"> (2010</w:t>
      </w:r>
      <w:r w:rsidR="009E793F" w:rsidRPr="00F31154">
        <w:rPr>
          <w:rFonts w:ascii="Arial" w:hAnsi="Arial" w:cs="Arial"/>
        </w:rPr>
        <w:t xml:space="preserve"> p. 48;</w:t>
      </w:r>
      <w:r>
        <w:rPr>
          <w:rFonts w:ascii="Arial" w:hAnsi="Arial" w:cs="Arial"/>
        </w:rPr>
        <w:t xml:space="preserve"> </w:t>
      </w:r>
      <w:r w:rsidR="009E793F" w:rsidRPr="00F31154">
        <w:rPr>
          <w:rFonts w:ascii="Arial" w:hAnsi="Arial" w:cs="Arial"/>
        </w:rPr>
        <w:t>50</w:t>
      </w:r>
      <w:r w:rsidR="00204AA7" w:rsidRPr="00F31154">
        <w:rPr>
          <w:rFonts w:ascii="Arial" w:hAnsi="Arial" w:cs="Arial"/>
        </w:rPr>
        <w:t xml:space="preserve">), </w:t>
      </w:r>
      <w:r w:rsidR="00784D2C" w:rsidRPr="00F31154">
        <w:rPr>
          <w:rFonts w:ascii="Arial" w:hAnsi="Arial" w:cs="Arial"/>
        </w:rPr>
        <w:t xml:space="preserve">a análise </w:t>
      </w:r>
      <w:r w:rsidR="009E793F" w:rsidRPr="00F31154">
        <w:rPr>
          <w:rFonts w:ascii="Arial" w:hAnsi="Arial" w:cs="Arial"/>
        </w:rPr>
        <w:t>transversal envolve a comparação dos índices financeiros de diferentes empresas num mesmo ponto no tempo. E</w:t>
      </w:r>
      <w:r w:rsidR="00D5341C" w:rsidRPr="00F31154">
        <w:rPr>
          <w:rFonts w:ascii="Arial" w:hAnsi="Arial" w:cs="Arial"/>
        </w:rPr>
        <w:t xml:space="preserve"> análise temporal avalia</w:t>
      </w:r>
      <w:r w:rsidR="009E793F" w:rsidRPr="00F31154">
        <w:rPr>
          <w:rFonts w:ascii="Arial" w:hAnsi="Arial" w:cs="Arial"/>
        </w:rPr>
        <w:t xml:space="preserve"> o desempenho ao longo do tempo de uma empresa ou mais</w:t>
      </w:r>
      <w:r w:rsidR="00D5341C" w:rsidRPr="00F31154">
        <w:rPr>
          <w:rFonts w:ascii="Arial" w:hAnsi="Arial" w:cs="Arial"/>
        </w:rPr>
        <w:t>.</w:t>
      </w:r>
    </w:p>
    <w:p w:rsidR="003E7F17" w:rsidRDefault="00D5341C" w:rsidP="00D5341C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Dessa forma a explanação dos </w:t>
      </w:r>
      <w:r w:rsidR="00101D0C" w:rsidRPr="00F31154">
        <w:rPr>
          <w:rFonts w:ascii="Arial" w:hAnsi="Arial" w:cs="Arial"/>
        </w:rPr>
        <w:t xml:space="preserve">resultados desta pesquisa será realizada através da análise temporal </w:t>
      </w:r>
      <w:r w:rsidR="009E793F" w:rsidRPr="00F31154">
        <w:rPr>
          <w:rFonts w:ascii="Arial" w:hAnsi="Arial" w:cs="Arial"/>
        </w:rPr>
        <w:t>dos anos de 2010 a 2013</w:t>
      </w:r>
      <w:r w:rsidR="00101D0C" w:rsidRPr="00F31154">
        <w:rPr>
          <w:rFonts w:ascii="Arial" w:hAnsi="Arial" w:cs="Arial"/>
        </w:rPr>
        <w:t xml:space="preserve"> de uma empresa de cosméticos e perfumaria de grande porte nacional. Vale ressaltar, que abordará uma comparação dos índices explorados e descritos neste trabalho.</w:t>
      </w:r>
    </w:p>
    <w:p w:rsidR="006C37D1" w:rsidRDefault="006C37D1" w:rsidP="006C37D1">
      <w:pPr>
        <w:widowControl w:val="0"/>
        <w:spacing w:line="480" w:lineRule="auto"/>
        <w:ind w:firstLine="1134"/>
        <w:jc w:val="both"/>
        <w:rPr>
          <w:rFonts w:ascii="Arial" w:hAnsi="Arial" w:cs="Arial"/>
        </w:rPr>
      </w:pPr>
    </w:p>
    <w:p w:rsidR="004E2310" w:rsidRPr="00F31154" w:rsidRDefault="00E73AEA" w:rsidP="00FF5F5B">
      <w:pPr>
        <w:pStyle w:val="PargrafodaLista"/>
        <w:widowControl w:val="0"/>
        <w:numPr>
          <w:ilvl w:val="0"/>
          <w:numId w:val="21"/>
        </w:numPr>
        <w:spacing w:line="360" w:lineRule="auto"/>
        <w:ind w:left="426" w:hanging="426"/>
        <w:jc w:val="both"/>
        <w:rPr>
          <w:rFonts w:ascii="Arial" w:hAnsi="Arial" w:cs="Arial"/>
          <w:b/>
        </w:rPr>
      </w:pPr>
      <w:r w:rsidRPr="00F31154">
        <w:rPr>
          <w:rFonts w:ascii="Arial" w:hAnsi="Arial" w:cs="Arial"/>
          <w:b/>
        </w:rPr>
        <w:t>Índices Econômicos Financeiros</w:t>
      </w:r>
    </w:p>
    <w:p w:rsidR="00E73AEA" w:rsidRPr="00F31154" w:rsidRDefault="00E73AEA" w:rsidP="00B25D66">
      <w:pPr>
        <w:widowControl w:val="0"/>
        <w:spacing w:line="480" w:lineRule="auto"/>
        <w:jc w:val="both"/>
        <w:rPr>
          <w:rFonts w:ascii="Arial" w:hAnsi="Arial" w:cs="Arial"/>
          <w:b/>
        </w:rPr>
      </w:pPr>
    </w:p>
    <w:p w:rsidR="00420BD9" w:rsidRPr="00F31154" w:rsidRDefault="00420BD9" w:rsidP="00420BD9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Para </w:t>
      </w:r>
      <w:proofErr w:type="spellStart"/>
      <w:r w:rsidRPr="00F31154">
        <w:rPr>
          <w:rFonts w:ascii="Arial" w:hAnsi="Arial" w:cs="Arial"/>
        </w:rPr>
        <w:t>Brigham</w:t>
      </w:r>
      <w:proofErr w:type="spellEnd"/>
      <w:r w:rsidRPr="00F31154">
        <w:rPr>
          <w:rFonts w:ascii="Arial" w:hAnsi="Arial" w:cs="Arial"/>
        </w:rPr>
        <w:t xml:space="preserve">; </w:t>
      </w:r>
      <w:proofErr w:type="spellStart"/>
      <w:r w:rsidRPr="00F31154">
        <w:rPr>
          <w:rFonts w:ascii="Arial" w:hAnsi="Arial" w:cs="Arial"/>
        </w:rPr>
        <w:t>Ehrhardt</w:t>
      </w:r>
      <w:proofErr w:type="spellEnd"/>
      <w:r w:rsidRPr="00F31154">
        <w:rPr>
          <w:rFonts w:ascii="Arial" w:hAnsi="Arial" w:cs="Arial"/>
        </w:rPr>
        <w:t xml:space="preserve"> (2010</w:t>
      </w:r>
      <w:r w:rsidR="006E5FA3" w:rsidRPr="00F31154">
        <w:rPr>
          <w:rFonts w:ascii="Arial" w:hAnsi="Arial" w:cs="Arial"/>
        </w:rPr>
        <w:t xml:space="preserve"> p. 77</w:t>
      </w:r>
      <w:r w:rsidRPr="00F31154">
        <w:rPr>
          <w:rFonts w:ascii="Arial" w:hAnsi="Arial" w:cs="Arial"/>
        </w:rPr>
        <w:t>), “os índices financeiros são calculados para ajudar a avaliar as demonstrações financeiras”.</w:t>
      </w:r>
      <w:r w:rsidR="00A3624C">
        <w:rPr>
          <w:rFonts w:ascii="Arial" w:hAnsi="Arial" w:cs="Arial"/>
        </w:rPr>
        <w:t xml:space="preserve"> </w:t>
      </w:r>
      <w:r w:rsidR="002C553A" w:rsidRPr="00F31154">
        <w:rPr>
          <w:rFonts w:ascii="Arial" w:hAnsi="Arial" w:cs="Arial"/>
        </w:rPr>
        <w:t xml:space="preserve">Uma análise de </w:t>
      </w:r>
      <w:r w:rsidR="002C553A" w:rsidRPr="00F31154">
        <w:rPr>
          <w:rFonts w:ascii="Arial" w:hAnsi="Arial" w:cs="Arial"/>
        </w:rPr>
        <w:lastRenderedPageBreak/>
        <w:t xml:space="preserve">índices financeiros da empresa é geralmente o primeiro passo de uma análise financeira. </w:t>
      </w:r>
      <w:r w:rsidRPr="00F31154">
        <w:rPr>
          <w:rFonts w:ascii="Arial" w:hAnsi="Arial" w:cs="Arial"/>
        </w:rPr>
        <w:t xml:space="preserve">Para uma análise não basta apenas um conjunto de cálculos, é preciso também </w:t>
      </w:r>
      <w:r w:rsidR="006E5FA3" w:rsidRPr="00F31154">
        <w:rPr>
          <w:rFonts w:ascii="Arial" w:hAnsi="Arial" w:cs="Arial"/>
        </w:rPr>
        <w:t>à</w:t>
      </w:r>
      <w:r w:rsidRPr="00F31154">
        <w:rPr>
          <w:rFonts w:ascii="Arial" w:hAnsi="Arial" w:cs="Arial"/>
        </w:rPr>
        <w:t xml:space="preserve"> interpretação do resultado obtido, uma vez que essa depende do conhecimento do conteúdo dos índices, como também a comparação dos dados obtidos. </w:t>
      </w:r>
    </w:p>
    <w:p w:rsidR="00096577" w:rsidRPr="00F31154" w:rsidRDefault="00420BD9" w:rsidP="00420BD9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Um índice não deve ser analisado isoladamente, </w:t>
      </w:r>
      <w:proofErr w:type="gramStart"/>
      <w:r w:rsidRPr="00F31154">
        <w:rPr>
          <w:rFonts w:ascii="Arial" w:hAnsi="Arial" w:cs="Arial"/>
        </w:rPr>
        <w:t>deve</w:t>
      </w:r>
      <w:proofErr w:type="gramEnd"/>
      <w:r w:rsidRPr="00F31154">
        <w:rPr>
          <w:rFonts w:ascii="Arial" w:hAnsi="Arial" w:cs="Arial"/>
        </w:rPr>
        <w:t xml:space="preserve"> ser avaliado num contexto e ao longo do tempo, o</w:t>
      </w:r>
      <w:r w:rsidR="002C553A" w:rsidRPr="00F31154">
        <w:rPr>
          <w:rFonts w:ascii="Arial" w:hAnsi="Arial" w:cs="Arial"/>
        </w:rPr>
        <w:t>s índices destinam-se a mostrar as relações entre as contas da demonstração financeira, (WESTON; BRIGHAM, 2000</w:t>
      </w:r>
      <w:r w:rsidR="00AE7C17" w:rsidRPr="00F31154">
        <w:rPr>
          <w:rFonts w:ascii="Arial" w:hAnsi="Arial" w:cs="Arial"/>
        </w:rPr>
        <w:t xml:space="preserve"> p. 50</w:t>
      </w:r>
      <w:r w:rsidR="002C553A" w:rsidRPr="00F31154">
        <w:rPr>
          <w:rFonts w:ascii="Arial" w:hAnsi="Arial" w:cs="Arial"/>
        </w:rPr>
        <w:t xml:space="preserve">). Já para </w:t>
      </w:r>
      <w:r w:rsidR="00C639E6" w:rsidRPr="00F31154">
        <w:rPr>
          <w:rFonts w:ascii="Arial" w:hAnsi="Arial" w:cs="Arial"/>
        </w:rPr>
        <w:t>Ross</w:t>
      </w:r>
      <w:r w:rsidR="00D566D4" w:rsidRPr="00F31154">
        <w:rPr>
          <w:rFonts w:ascii="Arial" w:hAnsi="Arial" w:cs="Arial"/>
        </w:rPr>
        <w:t xml:space="preserve">; </w:t>
      </w:r>
      <w:proofErr w:type="spellStart"/>
      <w:r w:rsidR="00D566D4" w:rsidRPr="00F31154">
        <w:rPr>
          <w:rFonts w:ascii="Arial" w:hAnsi="Arial" w:cs="Arial"/>
        </w:rPr>
        <w:t>W</w:t>
      </w:r>
      <w:r w:rsidR="00C639E6" w:rsidRPr="00F31154">
        <w:rPr>
          <w:rFonts w:ascii="Arial" w:hAnsi="Arial" w:cs="Arial"/>
        </w:rPr>
        <w:t>esterfield</w:t>
      </w:r>
      <w:proofErr w:type="spellEnd"/>
      <w:r w:rsidR="00723FC6" w:rsidRPr="00F31154">
        <w:rPr>
          <w:rFonts w:ascii="Arial" w:hAnsi="Arial" w:cs="Arial"/>
        </w:rPr>
        <w:t>; Jordan</w:t>
      </w:r>
      <w:r w:rsidR="00D566D4" w:rsidRPr="00F31154">
        <w:rPr>
          <w:rFonts w:ascii="Arial" w:hAnsi="Arial" w:cs="Arial"/>
        </w:rPr>
        <w:t xml:space="preserve"> (2008</w:t>
      </w:r>
      <w:r w:rsidR="00AE7C17" w:rsidRPr="00F31154">
        <w:rPr>
          <w:rFonts w:ascii="Arial" w:hAnsi="Arial" w:cs="Arial"/>
        </w:rPr>
        <w:t xml:space="preserve"> p. 80</w:t>
      </w:r>
      <w:r w:rsidR="00D566D4" w:rsidRPr="00F31154">
        <w:rPr>
          <w:rFonts w:ascii="Arial" w:hAnsi="Arial" w:cs="Arial"/>
        </w:rPr>
        <w:t>),</w:t>
      </w:r>
      <w:r w:rsidR="00096577" w:rsidRPr="00F31154">
        <w:rPr>
          <w:rFonts w:ascii="Arial" w:hAnsi="Arial" w:cs="Arial"/>
        </w:rPr>
        <w:t xml:space="preserve"> outra maneira de evitar o problema de comparação de empresas de tamanhos diferentes é calcular e comparar índices financeiros. Esses índices consistem em ferramentas de comparação e investigação das relações entre diferentes informações financeiras.</w:t>
      </w:r>
    </w:p>
    <w:p w:rsidR="00D566D4" w:rsidRPr="00F31154" w:rsidRDefault="00327AA5" w:rsidP="00D566D4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>Para Silva (2008</w:t>
      </w:r>
      <w:r w:rsidR="00AE7C17" w:rsidRPr="00F31154">
        <w:rPr>
          <w:rFonts w:ascii="Arial" w:hAnsi="Arial" w:cs="Arial"/>
        </w:rPr>
        <w:t xml:space="preserve"> p. 225</w:t>
      </w:r>
      <w:r w:rsidRPr="00F31154">
        <w:rPr>
          <w:rFonts w:ascii="Arial" w:hAnsi="Arial" w:cs="Arial"/>
        </w:rPr>
        <w:t>), os índices financeiros são relações entre contas ou grupos de contas das demonstrações contábeis, que têm por objetivo fornecer-nos informações que não são fáceis de serem visualizados e forma direta nas demonstrações contábeis.</w:t>
      </w:r>
    </w:p>
    <w:p w:rsidR="00835DC7" w:rsidRPr="00F31154" w:rsidRDefault="00835DC7" w:rsidP="00C372C6">
      <w:pPr>
        <w:widowControl w:val="0"/>
        <w:spacing w:line="480" w:lineRule="auto"/>
        <w:jc w:val="both"/>
        <w:rPr>
          <w:rFonts w:ascii="Arial" w:hAnsi="Arial" w:cs="Arial"/>
        </w:rPr>
      </w:pPr>
    </w:p>
    <w:p w:rsidR="00F7158F" w:rsidRPr="00F31154" w:rsidRDefault="00F7158F" w:rsidP="009A6BB9">
      <w:pPr>
        <w:pStyle w:val="PargrafodaLista"/>
        <w:widowControl w:val="0"/>
        <w:numPr>
          <w:ilvl w:val="2"/>
          <w:numId w:val="37"/>
        </w:numPr>
        <w:spacing w:line="360" w:lineRule="auto"/>
        <w:jc w:val="both"/>
        <w:rPr>
          <w:rFonts w:ascii="Arial" w:hAnsi="Arial" w:cs="Arial"/>
        </w:rPr>
      </w:pPr>
      <w:r w:rsidRPr="00F31154">
        <w:rPr>
          <w:rFonts w:ascii="Arial" w:hAnsi="Arial" w:cs="Arial"/>
          <w:b/>
        </w:rPr>
        <w:t>Índice</w:t>
      </w:r>
      <w:r w:rsidR="00423E1A" w:rsidRPr="00F31154">
        <w:rPr>
          <w:rFonts w:ascii="Arial" w:hAnsi="Arial" w:cs="Arial"/>
          <w:b/>
        </w:rPr>
        <w:t>s</w:t>
      </w:r>
      <w:r w:rsidRPr="00F31154">
        <w:rPr>
          <w:rFonts w:ascii="Arial" w:hAnsi="Arial" w:cs="Arial"/>
          <w:b/>
        </w:rPr>
        <w:t xml:space="preserve"> de Liquidez</w:t>
      </w:r>
      <w:r w:rsidR="009B1841" w:rsidRPr="00F31154">
        <w:rPr>
          <w:rFonts w:ascii="Arial" w:hAnsi="Arial" w:cs="Arial"/>
          <w:b/>
        </w:rPr>
        <w:t xml:space="preserve"> (Situação Financeira)</w:t>
      </w:r>
    </w:p>
    <w:p w:rsidR="00423E1A" w:rsidRPr="00F31154" w:rsidRDefault="00423E1A" w:rsidP="00C372C6">
      <w:pPr>
        <w:widowControl w:val="0"/>
        <w:spacing w:line="480" w:lineRule="auto"/>
        <w:jc w:val="both"/>
        <w:rPr>
          <w:rFonts w:ascii="Arial" w:hAnsi="Arial" w:cs="Arial"/>
        </w:rPr>
      </w:pPr>
    </w:p>
    <w:p w:rsidR="00A3624C" w:rsidRDefault="00F7158F" w:rsidP="00F7158F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>A liquidez de uma empresa é medida em termos de sua capacidade de saldar suas obrigações de curto prazo à medida que se tornam devidas.</w:t>
      </w:r>
      <w:r w:rsidR="005510B3" w:rsidRPr="00F31154">
        <w:rPr>
          <w:rFonts w:ascii="Arial" w:hAnsi="Arial" w:cs="Arial"/>
        </w:rPr>
        <w:t xml:space="preserve"> A liquidez diz respeito à solvência da posição financeira geral da empresa, (GITMAN 2010</w:t>
      </w:r>
      <w:r w:rsidR="00AE7C17" w:rsidRPr="00F31154">
        <w:rPr>
          <w:rFonts w:ascii="Arial" w:hAnsi="Arial" w:cs="Arial"/>
        </w:rPr>
        <w:t>, p. 51</w:t>
      </w:r>
      <w:r w:rsidR="005510B3" w:rsidRPr="00F31154">
        <w:rPr>
          <w:rFonts w:ascii="Arial" w:hAnsi="Arial" w:cs="Arial"/>
        </w:rPr>
        <w:t>).</w:t>
      </w:r>
      <w:r w:rsidR="00AE7C17" w:rsidRPr="00F31154">
        <w:rPr>
          <w:rFonts w:ascii="Arial" w:hAnsi="Arial" w:cs="Arial"/>
        </w:rPr>
        <w:t xml:space="preserve"> </w:t>
      </w:r>
    </w:p>
    <w:p w:rsidR="00F7158F" w:rsidRPr="00F31154" w:rsidRDefault="00A3624C" w:rsidP="00F7158F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575DA" w:rsidRPr="00F31154">
        <w:rPr>
          <w:rFonts w:ascii="Arial" w:hAnsi="Arial" w:cs="Arial"/>
        </w:rPr>
        <w:t xml:space="preserve">ara </w:t>
      </w:r>
      <w:proofErr w:type="spellStart"/>
      <w:r w:rsidR="009575DA" w:rsidRPr="00F31154">
        <w:rPr>
          <w:rFonts w:ascii="Arial" w:hAnsi="Arial" w:cs="Arial"/>
        </w:rPr>
        <w:t>Brigham</w:t>
      </w:r>
      <w:proofErr w:type="spellEnd"/>
      <w:r w:rsidR="009575DA" w:rsidRPr="00F31154">
        <w:rPr>
          <w:rFonts w:ascii="Arial" w:hAnsi="Arial" w:cs="Arial"/>
        </w:rPr>
        <w:t xml:space="preserve">; </w:t>
      </w:r>
      <w:proofErr w:type="spellStart"/>
      <w:r w:rsidR="009575DA" w:rsidRPr="00F31154">
        <w:rPr>
          <w:rFonts w:ascii="Arial" w:hAnsi="Arial" w:cs="Arial"/>
        </w:rPr>
        <w:t>Ehrhardt</w:t>
      </w:r>
      <w:proofErr w:type="spellEnd"/>
      <w:r w:rsidR="009575DA" w:rsidRPr="00F31154">
        <w:rPr>
          <w:rFonts w:ascii="Arial" w:hAnsi="Arial" w:cs="Arial"/>
        </w:rPr>
        <w:t xml:space="preserve"> (2010</w:t>
      </w:r>
      <w:r w:rsidR="00AE7C17" w:rsidRPr="00F31154">
        <w:rPr>
          <w:rFonts w:ascii="Arial" w:hAnsi="Arial" w:cs="Arial"/>
        </w:rPr>
        <w:t>, p. 78), u</w:t>
      </w:r>
      <w:r w:rsidR="009575DA" w:rsidRPr="00F31154">
        <w:rPr>
          <w:rFonts w:ascii="Arial" w:hAnsi="Arial" w:cs="Arial"/>
        </w:rPr>
        <w:t>ma análise de liquidez exige o uso de orçamentos de caixa, mas ao se relacionar a quantia de dinheiro e outros ativos circulantes às obrigações circulantes, a análise de índice fornece uma medida rápida e fácil de liquidez.</w:t>
      </w:r>
    </w:p>
    <w:p w:rsidR="005510B3" w:rsidRDefault="009575DA" w:rsidP="00F70A58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Os índices de liquidez consistem em quatro tipos de cálculo: índice de liquidez </w:t>
      </w:r>
      <w:r w:rsidR="00F74F3D" w:rsidRPr="00F31154">
        <w:rPr>
          <w:rFonts w:ascii="Arial" w:hAnsi="Arial" w:cs="Arial"/>
        </w:rPr>
        <w:t>corrente</w:t>
      </w:r>
      <w:r w:rsidRPr="00F31154">
        <w:rPr>
          <w:rFonts w:ascii="Arial" w:hAnsi="Arial" w:cs="Arial"/>
        </w:rPr>
        <w:t xml:space="preserve">; liquidez </w:t>
      </w:r>
      <w:r w:rsidR="00F74F3D" w:rsidRPr="00F31154">
        <w:rPr>
          <w:rFonts w:ascii="Arial" w:hAnsi="Arial" w:cs="Arial"/>
        </w:rPr>
        <w:t>seca</w:t>
      </w:r>
      <w:r w:rsidRPr="00F31154">
        <w:rPr>
          <w:rFonts w:ascii="Arial" w:hAnsi="Arial" w:cs="Arial"/>
        </w:rPr>
        <w:t>; liquidez imediata e liquidez geral.</w:t>
      </w:r>
    </w:p>
    <w:p w:rsidR="006C37D1" w:rsidRDefault="006C37D1" w:rsidP="006C37D1">
      <w:pPr>
        <w:widowControl w:val="0"/>
        <w:spacing w:line="480" w:lineRule="auto"/>
        <w:ind w:firstLine="1134"/>
        <w:jc w:val="both"/>
        <w:rPr>
          <w:rFonts w:ascii="Arial" w:hAnsi="Arial" w:cs="Arial"/>
        </w:rPr>
      </w:pPr>
    </w:p>
    <w:p w:rsidR="00B25D66" w:rsidRDefault="00B25D66" w:rsidP="006C37D1">
      <w:pPr>
        <w:widowControl w:val="0"/>
        <w:spacing w:line="480" w:lineRule="auto"/>
        <w:ind w:firstLine="1134"/>
        <w:jc w:val="both"/>
        <w:rPr>
          <w:rFonts w:ascii="Arial" w:hAnsi="Arial" w:cs="Arial"/>
        </w:rPr>
      </w:pPr>
    </w:p>
    <w:p w:rsidR="00B25D66" w:rsidRDefault="00B25D66" w:rsidP="006C37D1">
      <w:pPr>
        <w:widowControl w:val="0"/>
        <w:spacing w:line="480" w:lineRule="auto"/>
        <w:ind w:firstLine="1134"/>
        <w:jc w:val="both"/>
        <w:rPr>
          <w:rFonts w:ascii="Arial" w:hAnsi="Arial" w:cs="Arial"/>
        </w:rPr>
      </w:pPr>
    </w:p>
    <w:p w:rsidR="005510B3" w:rsidRPr="006C37D1" w:rsidRDefault="006C37D1" w:rsidP="006C37D1">
      <w:pPr>
        <w:widowControl w:val="0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2.6.1.1 </w:t>
      </w:r>
      <w:r w:rsidR="005510B3" w:rsidRPr="006C37D1">
        <w:rPr>
          <w:rFonts w:ascii="Arial" w:hAnsi="Arial" w:cs="Arial"/>
          <w:b/>
        </w:rPr>
        <w:t>Índice de Liquidez Corrente (ILC)</w:t>
      </w:r>
    </w:p>
    <w:p w:rsidR="00955F87" w:rsidRPr="00955F87" w:rsidRDefault="00955F87" w:rsidP="00C372C6">
      <w:pPr>
        <w:widowControl w:val="0"/>
        <w:spacing w:line="480" w:lineRule="auto"/>
        <w:jc w:val="both"/>
        <w:rPr>
          <w:rFonts w:ascii="Arial" w:hAnsi="Arial" w:cs="Arial"/>
          <w:b/>
        </w:rPr>
      </w:pPr>
    </w:p>
    <w:p w:rsidR="005539BE" w:rsidRDefault="005510B3" w:rsidP="001010CD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>Mede a capacidade da empresa de pagar as su</w:t>
      </w:r>
      <w:r w:rsidR="00F909CF" w:rsidRPr="00F31154">
        <w:rPr>
          <w:rFonts w:ascii="Arial" w:hAnsi="Arial" w:cs="Arial"/>
        </w:rPr>
        <w:t>a</w:t>
      </w:r>
      <w:r w:rsidRPr="00F31154">
        <w:rPr>
          <w:rFonts w:ascii="Arial" w:hAnsi="Arial" w:cs="Arial"/>
        </w:rPr>
        <w:t xml:space="preserve">s obrigações </w:t>
      </w:r>
      <w:r w:rsidR="00F909CF" w:rsidRPr="00F31154">
        <w:rPr>
          <w:rFonts w:ascii="Arial" w:hAnsi="Arial" w:cs="Arial"/>
        </w:rPr>
        <w:t>em curto prazo</w:t>
      </w:r>
      <w:r w:rsidRPr="00F31154">
        <w:rPr>
          <w:rFonts w:ascii="Arial" w:hAnsi="Arial" w:cs="Arial"/>
        </w:rPr>
        <w:t>, por meio da seguinte fórmula:</w:t>
      </w:r>
    </w:p>
    <w:p w:rsidR="00B25D66" w:rsidRPr="00F31154" w:rsidRDefault="00B25D66" w:rsidP="00B25D66">
      <w:pPr>
        <w:widowControl w:val="0"/>
        <w:spacing w:line="480" w:lineRule="auto"/>
        <w:ind w:firstLine="1134"/>
        <w:jc w:val="both"/>
        <w:rPr>
          <w:rFonts w:ascii="Arial" w:hAnsi="Arial" w:cs="Arial"/>
        </w:rPr>
      </w:pPr>
    </w:p>
    <w:tbl>
      <w:tblPr>
        <w:tblW w:w="46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4"/>
        <w:gridCol w:w="3203"/>
      </w:tblGrid>
      <w:tr w:rsidR="005510B3" w:rsidRPr="00F31154" w:rsidTr="00B46DDA">
        <w:trPr>
          <w:trHeight w:val="456"/>
        </w:trPr>
        <w:tc>
          <w:tcPr>
            <w:tcW w:w="14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0B3" w:rsidRPr="006C37D1" w:rsidRDefault="005510B3" w:rsidP="00936A3A">
            <w:pPr>
              <w:pStyle w:val="PargrafodaLista"/>
              <w:numPr>
                <w:ilvl w:val="0"/>
                <w:numId w:val="39"/>
              </w:numPr>
              <w:rPr>
                <w:rFonts w:ascii="Arial" w:hAnsi="Arial" w:cs="Arial"/>
                <w:color w:val="000000"/>
                <w:szCs w:val="22"/>
              </w:rPr>
            </w:pPr>
            <w:r w:rsidRPr="006C37D1">
              <w:rPr>
                <w:rFonts w:ascii="Arial" w:hAnsi="Arial" w:cs="Arial"/>
                <w:color w:val="000000"/>
                <w:szCs w:val="22"/>
              </w:rPr>
              <w:t>ILC =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0B3" w:rsidRPr="00F31154" w:rsidRDefault="00CE3CDD" w:rsidP="00955F87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F31154">
              <w:rPr>
                <w:rFonts w:ascii="Arial" w:hAnsi="Arial" w:cs="Arial"/>
                <w:color w:val="000000"/>
                <w:szCs w:val="22"/>
              </w:rPr>
              <w:t>Ativo circulante</w:t>
            </w:r>
          </w:p>
        </w:tc>
      </w:tr>
      <w:tr w:rsidR="005510B3" w:rsidRPr="00F31154" w:rsidTr="00B46DDA">
        <w:trPr>
          <w:trHeight w:val="456"/>
        </w:trPr>
        <w:tc>
          <w:tcPr>
            <w:tcW w:w="14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10B3" w:rsidRPr="00F31154" w:rsidRDefault="005510B3" w:rsidP="00955F87">
            <w:pPr>
              <w:pStyle w:val="PargrafodaLista"/>
              <w:numPr>
                <w:ilvl w:val="0"/>
                <w:numId w:val="24"/>
              </w:num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0B3" w:rsidRPr="00F31154" w:rsidRDefault="009575DA" w:rsidP="00955F87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F31154">
              <w:rPr>
                <w:rFonts w:ascii="Arial" w:hAnsi="Arial" w:cs="Arial"/>
                <w:color w:val="000000"/>
                <w:szCs w:val="22"/>
              </w:rPr>
              <w:t>Passivo circulante</w:t>
            </w:r>
          </w:p>
        </w:tc>
      </w:tr>
    </w:tbl>
    <w:p w:rsidR="005510B3" w:rsidRPr="00F31154" w:rsidRDefault="005510B3" w:rsidP="002C2A1A">
      <w:pPr>
        <w:widowControl w:val="0"/>
        <w:spacing w:line="480" w:lineRule="auto"/>
        <w:jc w:val="both"/>
        <w:rPr>
          <w:rFonts w:ascii="Arial" w:hAnsi="Arial" w:cs="Arial"/>
        </w:rPr>
      </w:pPr>
    </w:p>
    <w:p w:rsidR="00C639E6" w:rsidRPr="00F31154" w:rsidRDefault="00C639E6" w:rsidP="00C639E6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>Este índice relaciona, através de um quociente, os ativos e passivos de mesmo prazo (curto) de vencimento, sendo uma das medidas mais usadas para avaliar a capacidade de uma empresa para saldar os seus compromissos em dia, (SANVICENTE, 2007</w:t>
      </w:r>
      <w:r w:rsidR="00AE7C17" w:rsidRPr="00F31154">
        <w:rPr>
          <w:rFonts w:ascii="Arial" w:hAnsi="Arial" w:cs="Arial"/>
        </w:rPr>
        <w:t xml:space="preserve"> p. 177</w:t>
      </w:r>
      <w:r w:rsidRPr="00F31154">
        <w:rPr>
          <w:rFonts w:ascii="Arial" w:hAnsi="Arial" w:cs="Arial"/>
        </w:rPr>
        <w:t>).</w:t>
      </w:r>
    </w:p>
    <w:p w:rsidR="00835DC7" w:rsidRPr="00F31154" w:rsidRDefault="00835DC7" w:rsidP="002C2A1A">
      <w:pPr>
        <w:widowControl w:val="0"/>
        <w:spacing w:line="480" w:lineRule="auto"/>
        <w:jc w:val="both"/>
        <w:rPr>
          <w:rFonts w:ascii="Arial" w:hAnsi="Arial" w:cs="Arial"/>
        </w:rPr>
      </w:pPr>
    </w:p>
    <w:p w:rsidR="00796617" w:rsidRPr="00F31154" w:rsidRDefault="00F74F3D" w:rsidP="00796617">
      <w:pPr>
        <w:widowControl w:val="0"/>
        <w:spacing w:line="360" w:lineRule="auto"/>
        <w:jc w:val="both"/>
        <w:rPr>
          <w:rFonts w:ascii="Arial" w:hAnsi="Arial" w:cs="Arial"/>
        </w:rPr>
      </w:pPr>
      <w:r w:rsidRPr="00F31154">
        <w:rPr>
          <w:rFonts w:ascii="Arial" w:hAnsi="Arial" w:cs="Arial"/>
          <w:b/>
        </w:rPr>
        <w:t>2.</w:t>
      </w:r>
      <w:r w:rsidR="009A6BB9" w:rsidRPr="00F31154">
        <w:rPr>
          <w:rFonts w:ascii="Arial" w:hAnsi="Arial" w:cs="Arial"/>
          <w:b/>
        </w:rPr>
        <w:t>6</w:t>
      </w:r>
      <w:r w:rsidR="00796617" w:rsidRPr="00F31154">
        <w:rPr>
          <w:rFonts w:ascii="Arial" w:hAnsi="Arial" w:cs="Arial"/>
          <w:b/>
        </w:rPr>
        <w:t>.1.2</w:t>
      </w:r>
      <w:r w:rsidR="00A3624C">
        <w:rPr>
          <w:rFonts w:ascii="Arial" w:hAnsi="Arial" w:cs="Arial"/>
          <w:b/>
        </w:rPr>
        <w:t xml:space="preserve"> </w:t>
      </w:r>
      <w:r w:rsidR="00796617" w:rsidRPr="00F31154">
        <w:rPr>
          <w:rFonts w:ascii="Arial" w:hAnsi="Arial" w:cs="Arial"/>
          <w:b/>
        </w:rPr>
        <w:t>Índice de Liquidez Seca (ILS)</w:t>
      </w:r>
    </w:p>
    <w:p w:rsidR="00796617" w:rsidRPr="00F31154" w:rsidRDefault="00796617" w:rsidP="00C372C6">
      <w:pPr>
        <w:widowControl w:val="0"/>
        <w:spacing w:line="480" w:lineRule="auto"/>
        <w:jc w:val="both"/>
        <w:rPr>
          <w:rFonts w:ascii="Arial" w:hAnsi="Arial" w:cs="Arial"/>
        </w:rPr>
      </w:pPr>
    </w:p>
    <w:p w:rsidR="00796617" w:rsidRPr="00F31154" w:rsidRDefault="00F909CF" w:rsidP="00F909CF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>Mede a capacidade de</w:t>
      </w:r>
      <w:r w:rsidR="00A3624C">
        <w:rPr>
          <w:rFonts w:ascii="Arial" w:hAnsi="Arial" w:cs="Arial"/>
        </w:rPr>
        <w:t xml:space="preserve"> </w:t>
      </w:r>
      <w:r w:rsidRPr="00F31154">
        <w:rPr>
          <w:rFonts w:ascii="Arial" w:hAnsi="Arial" w:cs="Arial"/>
        </w:rPr>
        <w:t>pagamento da empresa supondo</w:t>
      </w:r>
      <w:r w:rsidR="00A3624C">
        <w:rPr>
          <w:rFonts w:ascii="Arial" w:hAnsi="Arial" w:cs="Arial"/>
        </w:rPr>
        <w:t xml:space="preserve"> </w:t>
      </w:r>
      <w:r w:rsidRPr="00F31154">
        <w:rPr>
          <w:rFonts w:ascii="Arial" w:hAnsi="Arial" w:cs="Arial"/>
        </w:rPr>
        <w:t>que</w:t>
      </w:r>
      <w:r w:rsidR="00A3624C">
        <w:rPr>
          <w:rFonts w:ascii="Arial" w:hAnsi="Arial" w:cs="Arial"/>
        </w:rPr>
        <w:t xml:space="preserve"> </w:t>
      </w:r>
      <w:r w:rsidRPr="00F31154">
        <w:rPr>
          <w:rFonts w:ascii="Arial" w:hAnsi="Arial" w:cs="Arial"/>
        </w:rPr>
        <w:t>a</w:t>
      </w:r>
      <w:r w:rsidR="00A3624C">
        <w:rPr>
          <w:rFonts w:ascii="Arial" w:hAnsi="Arial" w:cs="Arial"/>
        </w:rPr>
        <w:t xml:space="preserve"> </w:t>
      </w:r>
      <w:r w:rsidRPr="00F31154">
        <w:rPr>
          <w:rFonts w:ascii="Arial" w:hAnsi="Arial" w:cs="Arial"/>
        </w:rPr>
        <w:t>mesma se desfaça</w:t>
      </w:r>
      <w:r w:rsidR="00580605">
        <w:rPr>
          <w:rFonts w:ascii="Arial" w:hAnsi="Arial" w:cs="Arial"/>
        </w:rPr>
        <w:t xml:space="preserve"> </w:t>
      </w:r>
      <w:r w:rsidRPr="00F31154">
        <w:rPr>
          <w:rFonts w:ascii="Arial" w:hAnsi="Arial" w:cs="Arial"/>
        </w:rPr>
        <w:t>dos estoques, ou seja, ela retira os estoques do seu cálculo, por meio da fórmula:</w:t>
      </w:r>
    </w:p>
    <w:p w:rsidR="009A6BB9" w:rsidRPr="00F31154" w:rsidRDefault="009A6BB9" w:rsidP="002C2A1A">
      <w:pPr>
        <w:widowControl w:val="0"/>
        <w:spacing w:line="480" w:lineRule="auto"/>
        <w:ind w:firstLine="1134"/>
        <w:jc w:val="both"/>
        <w:rPr>
          <w:rFonts w:ascii="Arial" w:hAnsi="Arial" w:cs="Arial"/>
        </w:rPr>
      </w:pPr>
    </w:p>
    <w:tbl>
      <w:tblPr>
        <w:tblW w:w="43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1"/>
        <w:gridCol w:w="3238"/>
      </w:tblGrid>
      <w:tr w:rsidR="00F909CF" w:rsidRPr="00F31154" w:rsidTr="006C37D1">
        <w:trPr>
          <w:trHeight w:val="337"/>
        </w:trPr>
        <w:tc>
          <w:tcPr>
            <w:tcW w:w="11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9CF" w:rsidRPr="006C37D1" w:rsidRDefault="00F909CF" w:rsidP="00936A3A">
            <w:pPr>
              <w:pStyle w:val="PargrafodaLista"/>
              <w:numPr>
                <w:ilvl w:val="0"/>
                <w:numId w:val="39"/>
              </w:numPr>
              <w:tabs>
                <w:tab w:val="left" w:pos="-55"/>
              </w:tabs>
              <w:rPr>
                <w:rFonts w:ascii="Arial" w:hAnsi="Arial" w:cs="Arial"/>
                <w:color w:val="000000"/>
              </w:rPr>
            </w:pPr>
            <w:r w:rsidRPr="006C37D1">
              <w:rPr>
                <w:rFonts w:ascii="Arial" w:hAnsi="Arial" w:cs="Arial"/>
                <w:color w:val="000000"/>
              </w:rPr>
              <w:t>ILS =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9CF" w:rsidRPr="00F31154" w:rsidRDefault="00F909CF" w:rsidP="00955F87">
            <w:pPr>
              <w:jc w:val="center"/>
              <w:rPr>
                <w:rFonts w:ascii="Arial" w:hAnsi="Arial" w:cs="Arial"/>
                <w:color w:val="000000"/>
              </w:rPr>
            </w:pPr>
            <w:r w:rsidRPr="00F31154">
              <w:rPr>
                <w:rFonts w:ascii="Arial" w:hAnsi="Arial" w:cs="Arial"/>
                <w:color w:val="000000"/>
              </w:rPr>
              <w:t>A</w:t>
            </w:r>
            <w:r w:rsidR="00F74F3D" w:rsidRPr="00F31154">
              <w:rPr>
                <w:rFonts w:ascii="Arial" w:hAnsi="Arial" w:cs="Arial"/>
                <w:color w:val="000000"/>
              </w:rPr>
              <w:t xml:space="preserve">tivo </w:t>
            </w:r>
            <w:r w:rsidRPr="00F31154">
              <w:rPr>
                <w:rFonts w:ascii="Arial" w:hAnsi="Arial" w:cs="Arial"/>
                <w:color w:val="000000"/>
              </w:rPr>
              <w:t>C</w:t>
            </w:r>
            <w:r w:rsidR="00F74F3D" w:rsidRPr="00F31154">
              <w:rPr>
                <w:rFonts w:ascii="Arial" w:hAnsi="Arial" w:cs="Arial"/>
                <w:color w:val="000000"/>
              </w:rPr>
              <w:t>irculante</w:t>
            </w:r>
            <w:r w:rsidRPr="00F31154">
              <w:rPr>
                <w:rFonts w:ascii="Arial" w:hAnsi="Arial" w:cs="Arial"/>
                <w:color w:val="000000"/>
              </w:rPr>
              <w:t xml:space="preserve"> - Estoques</w:t>
            </w:r>
          </w:p>
        </w:tc>
      </w:tr>
      <w:tr w:rsidR="00F909CF" w:rsidRPr="00F31154" w:rsidTr="006C37D1">
        <w:trPr>
          <w:trHeight w:val="337"/>
        </w:trPr>
        <w:tc>
          <w:tcPr>
            <w:tcW w:w="11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09CF" w:rsidRPr="00F31154" w:rsidRDefault="00F909CF" w:rsidP="00955F8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9CF" w:rsidRPr="00F31154" w:rsidRDefault="00F909CF" w:rsidP="00955F87">
            <w:pPr>
              <w:jc w:val="center"/>
              <w:rPr>
                <w:rFonts w:ascii="Arial" w:hAnsi="Arial" w:cs="Arial"/>
                <w:color w:val="000000"/>
              </w:rPr>
            </w:pPr>
            <w:r w:rsidRPr="00F31154">
              <w:rPr>
                <w:rFonts w:ascii="Arial" w:hAnsi="Arial" w:cs="Arial"/>
                <w:color w:val="000000"/>
              </w:rPr>
              <w:t>P</w:t>
            </w:r>
            <w:r w:rsidR="00F74F3D" w:rsidRPr="00F31154">
              <w:rPr>
                <w:rFonts w:ascii="Arial" w:hAnsi="Arial" w:cs="Arial"/>
                <w:color w:val="000000"/>
              </w:rPr>
              <w:t xml:space="preserve">assivo </w:t>
            </w:r>
            <w:r w:rsidRPr="00F31154">
              <w:rPr>
                <w:rFonts w:ascii="Arial" w:hAnsi="Arial" w:cs="Arial"/>
                <w:color w:val="000000"/>
              </w:rPr>
              <w:t>C</w:t>
            </w:r>
            <w:r w:rsidR="00F74F3D" w:rsidRPr="00F31154">
              <w:rPr>
                <w:rFonts w:ascii="Arial" w:hAnsi="Arial" w:cs="Arial"/>
                <w:color w:val="000000"/>
              </w:rPr>
              <w:t>irculante</w:t>
            </w:r>
          </w:p>
        </w:tc>
      </w:tr>
    </w:tbl>
    <w:p w:rsidR="00F909CF" w:rsidRPr="00F31154" w:rsidRDefault="00F909CF" w:rsidP="002C2A1A">
      <w:pPr>
        <w:widowControl w:val="0"/>
        <w:spacing w:line="480" w:lineRule="auto"/>
        <w:jc w:val="both"/>
        <w:rPr>
          <w:rFonts w:ascii="Arial" w:hAnsi="Arial" w:cs="Arial"/>
        </w:rPr>
      </w:pPr>
    </w:p>
    <w:p w:rsidR="00C639E6" w:rsidRPr="00F31154" w:rsidRDefault="001630A1" w:rsidP="003014BD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212E1" w:rsidRPr="00F31154">
        <w:rPr>
          <w:rFonts w:ascii="Arial" w:hAnsi="Arial" w:cs="Arial"/>
        </w:rPr>
        <w:t>ara Chiavenato (2007</w:t>
      </w:r>
      <w:r w:rsidR="00C90C67" w:rsidRPr="00F31154">
        <w:rPr>
          <w:rFonts w:ascii="Arial" w:hAnsi="Arial" w:cs="Arial"/>
        </w:rPr>
        <w:t>, p. 87</w:t>
      </w:r>
      <w:r w:rsidR="00C212E1" w:rsidRPr="00F31154">
        <w:rPr>
          <w:rFonts w:ascii="Arial" w:hAnsi="Arial" w:cs="Arial"/>
        </w:rPr>
        <w:t>), o Índice de Liquidez Seca (ILS) procura resolver a primeira deficiência do Índice de Liquidez Corrente (ILC), a suposição de que os estoques constituem o ativo circulante menos líquido, excluindo do ático circulante o item estoques, que é o ativo circulante menos o líquido.</w:t>
      </w:r>
    </w:p>
    <w:p w:rsidR="00F909CF" w:rsidRPr="00F31154" w:rsidRDefault="00F909CF" w:rsidP="00C372C6">
      <w:pPr>
        <w:widowControl w:val="0"/>
        <w:spacing w:line="480" w:lineRule="auto"/>
        <w:jc w:val="both"/>
        <w:rPr>
          <w:rFonts w:ascii="Arial" w:hAnsi="Arial" w:cs="Arial"/>
        </w:rPr>
      </w:pPr>
    </w:p>
    <w:p w:rsidR="00C20A06" w:rsidRPr="00F31154" w:rsidRDefault="009A6BB9" w:rsidP="00C20A06">
      <w:pPr>
        <w:widowControl w:val="0"/>
        <w:spacing w:line="360" w:lineRule="auto"/>
        <w:jc w:val="both"/>
        <w:rPr>
          <w:rFonts w:ascii="Arial" w:hAnsi="Arial" w:cs="Arial"/>
        </w:rPr>
      </w:pPr>
      <w:r w:rsidRPr="00F31154">
        <w:rPr>
          <w:rFonts w:ascii="Arial" w:hAnsi="Arial" w:cs="Arial"/>
          <w:b/>
        </w:rPr>
        <w:t>2.6</w:t>
      </w:r>
      <w:r w:rsidR="00C20A06" w:rsidRPr="00F31154">
        <w:rPr>
          <w:rFonts w:ascii="Arial" w:hAnsi="Arial" w:cs="Arial"/>
          <w:b/>
        </w:rPr>
        <w:t>.1.</w:t>
      </w:r>
      <w:r w:rsidR="00F95197" w:rsidRPr="00F31154">
        <w:rPr>
          <w:rFonts w:ascii="Arial" w:hAnsi="Arial" w:cs="Arial"/>
          <w:b/>
        </w:rPr>
        <w:t>3</w:t>
      </w:r>
      <w:r w:rsidR="00C20A06" w:rsidRPr="00F31154">
        <w:rPr>
          <w:rFonts w:ascii="Arial" w:hAnsi="Arial" w:cs="Arial"/>
          <w:b/>
        </w:rPr>
        <w:t xml:space="preserve"> Índice de Liquidez Geral (ILG)</w:t>
      </w:r>
    </w:p>
    <w:p w:rsidR="00C20A06" w:rsidRPr="00F31154" w:rsidRDefault="00C20A06" w:rsidP="00B74941">
      <w:pPr>
        <w:widowControl w:val="0"/>
        <w:spacing w:line="480" w:lineRule="auto"/>
        <w:jc w:val="both"/>
        <w:rPr>
          <w:rFonts w:ascii="Arial" w:hAnsi="Arial" w:cs="Arial"/>
        </w:rPr>
      </w:pPr>
    </w:p>
    <w:p w:rsidR="00C20A06" w:rsidRDefault="009A6BB9" w:rsidP="009A6BB9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Para </w:t>
      </w:r>
      <w:proofErr w:type="spellStart"/>
      <w:r w:rsidRPr="00F31154">
        <w:rPr>
          <w:rFonts w:ascii="Arial" w:hAnsi="Arial" w:cs="Arial"/>
        </w:rPr>
        <w:t>Hoji</w:t>
      </w:r>
      <w:proofErr w:type="spellEnd"/>
      <w:r w:rsidRPr="00F31154">
        <w:rPr>
          <w:rFonts w:ascii="Arial" w:hAnsi="Arial" w:cs="Arial"/>
        </w:rPr>
        <w:t xml:space="preserve"> (2008, p. 287), i</w:t>
      </w:r>
      <w:r w:rsidR="00C20A06" w:rsidRPr="00F31154">
        <w:rPr>
          <w:rFonts w:ascii="Arial" w:hAnsi="Arial" w:cs="Arial"/>
        </w:rPr>
        <w:t xml:space="preserve">ndica a capacidade de pagamento de dívida em </w:t>
      </w:r>
      <w:r w:rsidR="00C20A06" w:rsidRPr="00F31154">
        <w:rPr>
          <w:rFonts w:ascii="Arial" w:hAnsi="Arial" w:cs="Arial"/>
        </w:rPr>
        <w:lastRenderedPageBreak/>
        <w:t xml:space="preserve">longo prazo. O principal problema desse índice é que os diversos valores correntes </w:t>
      </w:r>
      <w:r w:rsidR="00122FE5" w:rsidRPr="00F31154">
        <w:rPr>
          <w:rFonts w:ascii="Arial" w:hAnsi="Arial" w:cs="Arial"/>
        </w:rPr>
        <w:t xml:space="preserve">de diferentes </w:t>
      </w:r>
      <w:r w:rsidRPr="00F31154">
        <w:rPr>
          <w:rFonts w:ascii="Arial" w:hAnsi="Arial" w:cs="Arial"/>
        </w:rPr>
        <w:t>datas se misturam.</w:t>
      </w:r>
    </w:p>
    <w:p w:rsidR="006C37D1" w:rsidRPr="00F31154" w:rsidRDefault="006C37D1" w:rsidP="00B74941">
      <w:pPr>
        <w:widowControl w:val="0"/>
        <w:spacing w:line="480" w:lineRule="auto"/>
        <w:ind w:firstLine="1134"/>
        <w:jc w:val="both"/>
        <w:rPr>
          <w:rFonts w:ascii="Arial" w:hAnsi="Arial" w:cs="Arial"/>
        </w:rPr>
      </w:pPr>
    </w:p>
    <w:tbl>
      <w:tblPr>
        <w:tblW w:w="49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7"/>
        <w:gridCol w:w="3745"/>
      </w:tblGrid>
      <w:tr w:rsidR="00C20A06" w:rsidRPr="00F31154" w:rsidTr="00B74941">
        <w:trPr>
          <w:trHeight w:val="397"/>
        </w:trPr>
        <w:tc>
          <w:tcPr>
            <w:tcW w:w="12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A06" w:rsidRPr="006C37D1" w:rsidRDefault="00580605" w:rsidP="00936A3A">
            <w:pPr>
              <w:pStyle w:val="PargrafodaLista"/>
              <w:numPr>
                <w:ilvl w:val="0"/>
                <w:numId w:val="39"/>
              </w:numPr>
              <w:tabs>
                <w:tab w:val="left" w:pos="0"/>
              </w:tabs>
              <w:rPr>
                <w:rFonts w:ascii="Arial" w:hAnsi="Arial" w:cs="Arial"/>
                <w:color w:val="000000"/>
              </w:rPr>
            </w:pPr>
            <w:r w:rsidRPr="006C37D1">
              <w:rPr>
                <w:rFonts w:ascii="Arial" w:hAnsi="Arial" w:cs="Arial"/>
                <w:color w:val="000000"/>
              </w:rPr>
              <w:t>I</w:t>
            </w:r>
            <w:r w:rsidR="00C20A06" w:rsidRPr="006C37D1">
              <w:rPr>
                <w:rFonts w:ascii="Arial" w:hAnsi="Arial" w:cs="Arial"/>
                <w:color w:val="000000"/>
              </w:rPr>
              <w:t>LG =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A06" w:rsidRPr="00F31154" w:rsidRDefault="00C20A06" w:rsidP="00955F87">
            <w:pPr>
              <w:jc w:val="center"/>
              <w:rPr>
                <w:rFonts w:ascii="Arial" w:hAnsi="Arial" w:cs="Arial"/>
                <w:color w:val="000000"/>
              </w:rPr>
            </w:pPr>
            <w:r w:rsidRPr="00F31154">
              <w:rPr>
                <w:rFonts w:ascii="Arial" w:hAnsi="Arial" w:cs="Arial"/>
                <w:color w:val="000000"/>
              </w:rPr>
              <w:t>A</w:t>
            </w:r>
            <w:r w:rsidR="00CE3CDD" w:rsidRPr="00F31154">
              <w:rPr>
                <w:rFonts w:ascii="Arial" w:hAnsi="Arial" w:cs="Arial"/>
                <w:color w:val="000000"/>
              </w:rPr>
              <w:t xml:space="preserve">tivo </w:t>
            </w:r>
            <w:r w:rsidRPr="00F31154">
              <w:rPr>
                <w:rFonts w:ascii="Arial" w:hAnsi="Arial" w:cs="Arial"/>
                <w:color w:val="000000"/>
              </w:rPr>
              <w:t>C</w:t>
            </w:r>
            <w:r w:rsidR="00CE3CDD" w:rsidRPr="00F31154">
              <w:rPr>
                <w:rFonts w:ascii="Arial" w:hAnsi="Arial" w:cs="Arial"/>
                <w:color w:val="000000"/>
              </w:rPr>
              <w:t xml:space="preserve">irculante </w:t>
            </w:r>
            <w:r w:rsidRPr="00F31154">
              <w:rPr>
                <w:rFonts w:ascii="Arial" w:hAnsi="Arial" w:cs="Arial"/>
                <w:color w:val="000000"/>
              </w:rPr>
              <w:t>+ A</w:t>
            </w:r>
            <w:r w:rsidR="00CE3CDD" w:rsidRPr="00F31154">
              <w:rPr>
                <w:rFonts w:ascii="Arial" w:hAnsi="Arial" w:cs="Arial"/>
                <w:color w:val="000000"/>
              </w:rPr>
              <w:t xml:space="preserve">tivo </w:t>
            </w:r>
            <w:r w:rsidRPr="00F31154">
              <w:rPr>
                <w:rFonts w:ascii="Arial" w:hAnsi="Arial" w:cs="Arial"/>
                <w:color w:val="000000"/>
              </w:rPr>
              <w:t>R</w:t>
            </w:r>
            <w:r w:rsidR="00CE3CDD" w:rsidRPr="00F31154">
              <w:rPr>
                <w:rFonts w:ascii="Arial" w:hAnsi="Arial" w:cs="Arial"/>
                <w:color w:val="000000"/>
              </w:rPr>
              <w:t xml:space="preserve">ealizável </w:t>
            </w:r>
            <w:proofErr w:type="gramStart"/>
            <w:r w:rsidR="00CE3CDD" w:rsidRPr="00F31154">
              <w:rPr>
                <w:rFonts w:ascii="Arial" w:hAnsi="Arial" w:cs="Arial"/>
                <w:color w:val="000000"/>
              </w:rPr>
              <w:t xml:space="preserve">a </w:t>
            </w:r>
            <w:r w:rsidRPr="00F31154">
              <w:rPr>
                <w:rFonts w:ascii="Arial" w:hAnsi="Arial" w:cs="Arial"/>
                <w:color w:val="000000"/>
              </w:rPr>
              <w:t>L</w:t>
            </w:r>
            <w:r w:rsidR="00CE3CDD" w:rsidRPr="00F31154">
              <w:rPr>
                <w:rFonts w:ascii="Arial" w:hAnsi="Arial" w:cs="Arial"/>
                <w:color w:val="000000"/>
              </w:rPr>
              <w:t xml:space="preserve">ongo </w:t>
            </w:r>
            <w:r w:rsidRPr="00F31154">
              <w:rPr>
                <w:rFonts w:ascii="Arial" w:hAnsi="Arial" w:cs="Arial"/>
                <w:color w:val="000000"/>
              </w:rPr>
              <w:t>P</w:t>
            </w:r>
            <w:r w:rsidR="00CE3CDD" w:rsidRPr="00F31154">
              <w:rPr>
                <w:rFonts w:ascii="Arial" w:hAnsi="Arial" w:cs="Arial"/>
                <w:color w:val="000000"/>
              </w:rPr>
              <w:t>razo</w:t>
            </w:r>
            <w:proofErr w:type="gramEnd"/>
          </w:p>
        </w:tc>
      </w:tr>
      <w:tr w:rsidR="00C20A06" w:rsidRPr="00F31154" w:rsidTr="00B74941">
        <w:trPr>
          <w:trHeight w:val="397"/>
        </w:trPr>
        <w:tc>
          <w:tcPr>
            <w:tcW w:w="12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0A06" w:rsidRPr="00F31154" w:rsidRDefault="00C20A06" w:rsidP="00955F8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A06" w:rsidRPr="00F31154" w:rsidRDefault="00C20A06" w:rsidP="00955F87">
            <w:pPr>
              <w:jc w:val="center"/>
              <w:rPr>
                <w:rFonts w:ascii="Arial" w:hAnsi="Arial" w:cs="Arial"/>
                <w:color w:val="000000"/>
              </w:rPr>
            </w:pPr>
            <w:r w:rsidRPr="00F31154">
              <w:rPr>
                <w:rFonts w:ascii="Arial" w:hAnsi="Arial" w:cs="Arial"/>
                <w:color w:val="000000"/>
              </w:rPr>
              <w:t>P</w:t>
            </w:r>
            <w:r w:rsidR="00CE3CDD" w:rsidRPr="00F31154">
              <w:rPr>
                <w:rFonts w:ascii="Arial" w:hAnsi="Arial" w:cs="Arial"/>
                <w:color w:val="000000"/>
              </w:rPr>
              <w:t xml:space="preserve">assivo </w:t>
            </w:r>
            <w:r w:rsidRPr="00F31154">
              <w:rPr>
                <w:rFonts w:ascii="Arial" w:hAnsi="Arial" w:cs="Arial"/>
                <w:color w:val="000000"/>
              </w:rPr>
              <w:t>C</w:t>
            </w:r>
            <w:r w:rsidR="00CE3CDD" w:rsidRPr="00F31154">
              <w:rPr>
                <w:rFonts w:ascii="Arial" w:hAnsi="Arial" w:cs="Arial"/>
                <w:color w:val="000000"/>
              </w:rPr>
              <w:t>irculante</w:t>
            </w:r>
            <w:r w:rsidRPr="00F31154">
              <w:rPr>
                <w:rFonts w:ascii="Arial" w:hAnsi="Arial" w:cs="Arial"/>
                <w:color w:val="000000"/>
              </w:rPr>
              <w:t xml:space="preserve"> + P</w:t>
            </w:r>
            <w:r w:rsidR="00CE3CDD" w:rsidRPr="00F31154">
              <w:rPr>
                <w:rFonts w:ascii="Arial" w:hAnsi="Arial" w:cs="Arial"/>
                <w:color w:val="000000"/>
              </w:rPr>
              <w:t xml:space="preserve">assivo </w:t>
            </w:r>
            <w:r w:rsidRPr="00F31154">
              <w:rPr>
                <w:rFonts w:ascii="Arial" w:hAnsi="Arial" w:cs="Arial"/>
                <w:color w:val="000000"/>
              </w:rPr>
              <w:t>E</w:t>
            </w:r>
            <w:r w:rsidR="00CE3CDD" w:rsidRPr="00F31154">
              <w:rPr>
                <w:rFonts w:ascii="Arial" w:hAnsi="Arial" w:cs="Arial"/>
                <w:color w:val="000000"/>
              </w:rPr>
              <w:t xml:space="preserve">xigível </w:t>
            </w:r>
            <w:proofErr w:type="gramStart"/>
            <w:r w:rsidR="00CE3CDD" w:rsidRPr="00F31154">
              <w:rPr>
                <w:rFonts w:ascii="Arial" w:hAnsi="Arial" w:cs="Arial"/>
                <w:color w:val="000000"/>
              </w:rPr>
              <w:t xml:space="preserve">a </w:t>
            </w:r>
            <w:r w:rsidRPr="00F31154">
              <w:rPr>
                <w:rFonts w:ascii="Arial" w:hAnsi="Arial" w:cs="Arial"/>
                <w:color w:val="000000"/>
              </w:rPr>
              <w:t>L</w:t>
            </w:r>
            <w:r w:rsidR="00CE3CDD" w:rsidRPr="00F31154">
              <w:rPr>
                <w:rFonts w:ascii="Arial" w:hAnsi="Arial" w:cs="Arial"/>
                <w:color w:val="000000"/>
              </w:rPr>
              <w:t xml:space="preserve">ongo </w:t>
            </w:r>
            <w:r w:rsidRPr="00F31154">
              <w:rPr>
                <w:rFonts w:ascii="Arial" w:hAnsi="Arial" w:cs="Arial"/>
                <w:color w:val="000000"/>
              </w:rPr>
              <w:t>P</w:t>
            </w:r>
            <w:r w:rsidR="00CE3CDD" w:rsidRPr="00F31154">
              <w:rPr>
                <w:rFonts w:ascii="Arial" w:hAnsi="Arial" w:cs="Arial"/>
                <w:color w:val="000000"/>
              </w:rPr>
              <w:t>razo</w:t>
            </w:r>
            <w:proofErr w:type="gramEnd"/>
          </w:p>
        </w:tc>
      </w:tr>
    </w:tbl>
    <w:p w:rsidR="00B25D66" w:rsidRDefault="00B25D66" w:rsidP="00B25D66">
      <w:pPr>
        <w:widowControl w:val="0"/>
        <w:spacing w:line="480" w:lineRule="auto"/>
        <w:ind w:firstLine="1134"/>
        <w:jc w:val="both"/>
        <w:rPr>
          <w:rFonts w:ascii="Arial" w:hAnsi="Arial" w:cs="Arial"/>
        </w:rPr>
      </w:pPr>
    </w:p>
    <w:p w:rsidR="00EF23AA" w:rsidRPr="00F31154" w:rsidRDefault="001D7890" w:rsidP="00EF23AA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Esse indicador mostra a capacidade de pagamento da empresa, onde serve para detectar a saúde financeira de longo prazo da empresa, </w:t>
      </w:r>
      <w:r w:rsidR="00512E94">
        <w:rPr>
          <w:rFonts w:ascii="Arial" w:hAnsi="Arial" w:cs="Arial"/>
        </w:rPr>
        <w:t>(PADOVEZE</w:t>
      </w:r>
      <w:r w:rsidR="00CC67B3" w:rsidRPr="00F31154">
        <w:rPr>
          <w:rFonts w:ascii="Arial" w:hAnsi="Arial" w:cs="Arial"/>
        </w:rPr>
        <w:t xml:space="preserve">; </w:t>
      </w:r>
      <w:r w:rsidRPr="00F31154">
        <w:rPr>
          <w:rFonts w:ascii="Arial" w:hAnsi="Arial" w:cs="Arial"/>
        </w:rPr>
        <w:t>BENEDICTO</w:t>
      </w:r>
      <w:r w:rsidR="00CC67B3" w:rsidRPr="00F31154">
        <w:rPr>
          <w:rFonts w:ascii="Arial" w:hAnsi="Arial" w:cs="Arial"/>
        </w:rPr>
        <w:t>,</w:t>
      </w:r>
      <w:r w:rsidRPr="00F31154">
        <w:rPr>
          <w:rFonts w:ascii="Arial" w:hAnsi="Arial" w:cs="Arial"/>
        </w:rPr>
        <w:t xml:space="preserve"> 2010</w:t>
      </w:r>
      <w:r w:rsidR="00600A15" w:rsidRPr="00F31154">
        <w:rPr>
          <w:rFonts w:ascii="Arial" w:hAnsi="Arial" w:cs="Arial"/>
        </w:rPr>
        <w:t xml:space="preserve"> p. 153</w:t>
      </w:r>
      <w:r w:rsidRPr="00F31154">
        <w:rPr>
          <w:rFonts w:ascii="Arial" w:hAnsi="Arial" w:cs="Arial"/>
        </w:rPr>
        <w:t>).</w:t>
      </w:r>
    </w:p>
    <w:p w:rsidR="00423E1A" w:rsidRPr="00F31154" w:rsidRDefault="00423E1A" w:rsidP="00C372C6">
      <w:pPr>
        <w:widowControl w:val="0"/>
        <w:spacing w:line="480" w:lineRule="auto"/>
        <w:jc w:val="both"/>
        <w:rPr>
          <w:rFonts w:ascii="Arial" w:hAnsi="Arial" w:cs="Arial"/>
        </w:rPr>
      </w:pPr>
    </w:p>
    <w:p w:rsidR="00423E1A" w:rsidRPr="00F31154" w:rsidRDefault="005825BC" w:rsidP="00C20A06">
      <w:pPr>
        <w:widowControl w:val="0"/>
        <w:spacing w:line="360" w:lineRule="auto"/>
        <w:jc w:val="both"/>
        <w:rPr>
          <w:rFonts w:ascii="Arial" w:hAnsi="Arial" w:cs="Arial"/>
        </w:rPr>
      </w:pPr>
      <w:r w:rsidRPr="00F31154">
        <w:rPr>
          <w:rFonts w:ascii="Arial" w:hAnsi="Arial" w:cs="Arial"/>
          <w:b/>
        </w:rPr>
        <w:t>2.</w:t>
      </w:r>
      <w:r w:rsidR="009A6BB9" w:rsidRPr="00F31154">
        <w:rPr>
          <w:rFonts w:ascii="Arial" w:hAnsi="Arial" w:cs="Arial"/>
          <w:b/>
        </w:rPr>
        <w:t>6</w:t>
      </w:r>
      <w:r w:rsidR="00423E1A" w:rsidRPr="00F31154">
        <w:rPr>
          <w:rFonts w:ascii="Arial" w:hAnsi="Arial" w:cs="Arial"/>
          <w:b/>
        </w:rPr>
        <w:t>.2</w:t>
      </w:r>
      <w:r w:rsidR="00580605">
        <w:rPr>
          <w:rFonts w:ascii="Arial" w:hAnsi="Arial" w:cs="Arial"/>
          <w:b/>
        </w:rPr>
        <w:t xml:space="preserve"> </w:t>
      </w:r>
      <w:r w:rsidR="00423E1A" w:rsidRPr="00F31154">
        <w:rPr>
          <w:rFonts w:ascii="Arial" w:hAnsi="Arial" w:cs="Arial"/>
          <w:b/>
        </w:rPr>
        <w:t>Índices de Endiv</w:t>
      </w:r>
      <w:r w:rsidR="009B1841" w:rsidRPr="00F31154">
        <w:rPr>
          <w:rFonts w:ascii="Arial" w:hAnsi="Arial" w:cs="Arial"/>
          <w:b/>
        </w:rPr>
        <w:t>idamento (Estrutura de Capital)</w:t>
      </w:r>
    </w:p>
    <w:p w:rsidR="00423E1A" w:rsidRPr="00F31154" w:rsidRDefault="00423E1A" w:rsidP="00C372C6">
      <w:pPr>
        <w:widowControl w:val="0"/>
        <w:spacing w:line="480" w:lineRule="auto"/>
        <w:jc w:val="both"/>
        <w:rPr>
          <w:rFonts w:ascii="Arial" w:hAnsi="Arial" w:cs="Arial"/>
        </w:rPr>
      </w:pPr>
    </w:p>
    <w:p w:rsidR="00B5318B" w:rsidRPr="00F31154" w:rsidRDefault="00B5318B" w:rsidP="00EA3A35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A situação de endividamento da empresa indica o volume de dinheiro de terceiros </w:t>
      </w:r>
      <w:r w:rsidR="00F654B1" w:rsidRPr="00F31154">
        <w:rPr>
          <w:rFonts w:ascii="Arial" w:hAnsi="Arial" w:cs="Arial"/>
        </w:rPr>
        <w:t>usados</w:t>
      </w:r>
      <w:r w:rsidRPr="00F31154">
        <w:rPr>
          <w:rFonts w:ascii="Arial" w:hAnsi="Arial" w:cs="Arial"/>
        </w:rPr>
        <w:t xml:space="preserve"> para gerar lucro. De modo geral, quanto mais dívidas uma empresa usa em relação ao seu ativo total, maior </w:t>
      </w:r>
      <w:r w:rsidR="00F654B1" w:rsidRPr="00F31154">
        <w:rPr>
          <w:rFonts w:ascii="Arial" w:hAnsi="Arial" w:cs="Arial"/>
        </w:rPr>
        <w:t xml:space="preserve">seu processo de </w:t>
      </w:r>
      <w:r w:rsidRPr="00F31154">
        <w:rPr>
          <w:rFonts w:ascii="Arial" w:hAnsi="Arial" w:cs="Arial"/>
        </w:rPr>
        <w:t>alavancagem financeira, GITMAN (2010</w:t>
      </w:r>
      <w:r w:rsidR="00D84874" w:rsidRPr="00F31154">
        <w:rPr>
          <w:rFonts w:ascii="Arial" w:hAnsi="Arial" w:cs="Arial"/>
        </w:rPr>
        <w:t>, p. 55</w:t>
      </w:r>
      <w:r w:rsidRPr="00F31154">
        <w:rPr>
          <w:rFonts w:ascii="Arial" w:hAnsi="Arial" w:cs="Arial"/>
        </w:rPr>
        <w:t>).</w:t>
      </w:r>
      <w:r w:rsidR="001D7890" w:rsidRPr="00F31154">
        <w:rPr>
          <w:rFonts w:ascii="Arial" w:hAnsi="Arial" w:cs="Arial"/>
        </w:rPr>
        <w:t xml:space="preserve"> Para, Machado e</w:t>
      </w:r>
      <w:r w:rsidR="00EA3A35" w:rsidRPr="00F31154">
        <w:rPr>
          <w:rFonts w:ascii="Arial" w:hAnsi="Arial" w:cs="Arial"/>
        </w:rPr>
        <w:t xml:space="preserve"> Bar</w:t>
      </w:r>
      <w:r w:rsidR="00D84874" w:rsidRPr="00F31154">
        <w:rPr>
          <w:rFonts w:ascii="Arial" w:hAnsi="Arial" w:cs="Arial"/>
        </w:rPr>
        <w:t>r</w:t>
      </w:r>
      <w:r w:rsidR="00EA3A35" w:rsidRPr="00F31154">
        <w:rPr>
          <w:rFonts w:ascii="Arial" w:hAnsi="Arial" w:cs="Arial"/>
        </w:rPr>
        <w:t>eto (2007) a necessidade do capital de giro representa os recursos demandados por uma empresa para financiar suas necessidades operacionais.</w:t>
      </w:r>
    </w:p>
    <w:p w:rsidR="00B5318B" w:rsidRPr="00F31154" w:rsidRDefault="00B5318B" w:rsidP="00C372C6">
      <w:pPr>
        <w:widowControl w:val="0"/>
        <w:spacing w:line="480" w:lineRule="auto"/>
        <w:jc w:val="both"/>
        <w:rPr>
          <w:rFonts w:ascii="Arial" w:hAnsi="Arial" w:cs="Arial"/>
        </w:rPr>
      </w:pPr>
    </w:p>
    <w:p w:rsidR="00B5318B" w:rsidRPr="00F31154" w:rsidRDefault="00B5318B" w:rsidP="00B5318B">
      <w:pPr>
        <w:widowControl w:val="0"/>
        <w:spacing w:line="360" w:lineRule="auto"/>
        <w:jc w:val="both"/>
        <w:rPr>
          <w:rFonts w:ascii="Arial" w:hAnsi="Arial" w:cs="Arial"/>
          <w:b/>
        </w:rPr>
      </w:pPr>
      <w:r w:rsidRPr="00F31154">
        <w:rPr>
          <w:rFonts w:ascii="Arial" w:hAnsi="Arial" w:cs="Arial"/>
          <w:b/>
        </w:rPr>
        <w:t>2.</w:t>
      </w:r>
      <w:r w:rsidR="009A6BB9" w:rsidRPr="00F31154">
        <w:rPr>
          <w:rFonts w:ascii="Arial" w:hAnsi="Arial" w:cs="Arial"/>
          <w:b/>
        </w:rPr>
        <w:t>6</w:t>
      </w:r>
      <w:r w:rsidRPr="00F31154">
        <w:rPr>
          <w:rFonts w:ascii="Arial" w:hAnsi="Arial" w:cs="Arial"/>
          <w:b/>
        </w:rPr>
        <w:t>.2.1 Índi</w:t>
      </w:r>
      <w:r w:rsidR="009B1841" w:rsidRPr="00F31154">
        <w:rPr>
          <w:rFonts w:ascii="Arial" w:hAnsi="Arial" w:cs="Arial"/>
          <w:b/>
        </w:rPr>
        <w:t>ce de Endividamento Geral (IEG)</w:t>
      </w:r>
    </w:p>
    <w:p w:rsidR="00B5318B" w:rsidRPr="00F31154" w:rsidRDefault="00B5318B" w:rsidP="00C372C6">
      <w:pPr>
        <w:widowControl w:val="0"/>
        <w:spacing w:line="480" w:lineRule="auto"/>
        <w:ind w:firstLine="1134"/>
        <w:jc w:val="both"/>
        <w:rPr>
          <w:rFonts w:ascii="Arial" w:hAnsi="Arial" w:cs="Arial"/>
        </w:rPr>
      </w:pPr>
    </w:p>
    <w:p w:rsidR="005539BE" w:rsidRPr="00F31154" w:rsidRDefault="00B5318B" w:rsidP="00B5318B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>Mede a proporção dos</w:t>
      </w:r>
      <w:r w:rsidR="00CF49D5">
        <w:rPr>
          <w:rFonts w:ascii="Arial" w:hAnsi="Arial" w:cs="Arial"/>
        </w:rPr>
        <w:t xml:space="preserve"> </w:t>
      </w:r>
      <w:r w:rsidRPr="00F31154">
        <w:rPr>
          <w:rFonts w:ascii="Arial" w:hAnsi="Arial" w:cs="Arial"/>
        </w:rPr>
        <w:t>ativos financiada pelos credores</w:t>
      </w:r>
      <w:r w:rsidR="00CF49D5">
        <w:rPr>
          <w:rFonts w:ascii="Arial" w:hAnsi="Arial" w:cs="Arial"/>
        </w:rPr>
        <w:t xml:space="preserve"> </w:t>
      </w:r>
      <w:r w:rsidRPr="00F31154">
        <w:rPr>
          <w:rFonts w:ascii="Arial" w:hAnsi="Arial" w:cs="Arial"/>
        </w:rPr>
        <w:t>da empresa. Quanto mais alto o valor do índice, maior o volume relativo de capital de outros investidores usado</w:t>
      </w:r>
      <w:r w:rsidR="00456287" w:rsidRPr="00F31154">
        <w:rPr>
          <w:rFonts w:ascii="Arial" w:hAnsi="Arial" w:cs="Arial"/>
        </w:rPr>
        <w:t>s</w:t>
      </w:r>
      <w:r w:rsidRPr="00F31154">
        <w:rPr>
          <w:rFonts w:ascii="Arial" w:hAnsi="Arial" w:cs="Arial"/>
        </w:rPr>
        <w:t xml:space="preserve"> para gerar lucros na empresa</w:t>
      </w:r>
      <w:r w:rsidR="001D7890" w:rsidRPr="00F31154">
        <w:rPr>
          <w:rFonts w:ascii="Arial" w:hAnsi="Arial" w:cs="Arial"/>
        </w:rPr>
        <w:t xml:space="preserve">, </w:t>
      </w:r>
      <w:r w:rsidR="00CC67B3" w:rsidRPr="00F31154">
        <w:rPr>
          <w:rFonts w:ascii="Arial" w:hAnsi="Arial" w:cs="Arial"/>
        </w:rPr>
        <w:t xml:space="preserve">(GITMAN, </w:t>
      </w:r>
      <w:r w:rsidR="001D7890" w:rsidRPr="00F31154">
        <w:rPr>
          <w:rFonts w:ascii="Arial" w:hAnsi="Arial" w:cs="Arial"/>
        </w:rPr>
        <w:t>2010</w:t>
      </w:r>
      <w:r w:rsidR="00E00E0B" w:rsidRPr="00F31154">
        <w:rPr>
          <w:rFonts w:ascii="Arial" w:hAnsi="Arial" w:cs="Arial"/>
        </w:rPr>
        <w:t xml:space="preserve"> p. 56</w:t>
      </w:r>
      <w:r w:rsidR="001D7890" w:rsidRPr="00F31154">
        <w:rPr>
          <w:rFonts w:ascii="Arial" w:hAnsi="Arial" w:cs="Arial"/>
        </w:rPr>
        <w:t>)</w:t>
      </w:r>
      <w:r w:rsidRPr="00F31154">
        <w:rPr>
          <w:rFonts w:ascii="Arial" w:hAnsi="Arial" w:cs="Arial"/>
        </w:rPr>
        <w:t xml:space="preserve">. </w:t>
      </w:r>
    </w:p>
    <w:p w:rsidR="00DE1B92" w:rsidRPr="00F31154" w:rsidRDefault="001D7890" w:rsidP="00B5318B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O </w:t>
      </w:r>
      <w:r w:rsidR="005539BE" w:rsidRPr="00F31154">
        <w:rPr>
          <w:rFonts w:ascii="Arial" w:hAnsi="Arial" w:cs="Arial"/>
        </w:rPr>
        <w:t>índice de endividamento geral</w:t>
      </w:r>
      <w:r w:rsidR="00B5318B" w:rsidRPr="00F31154">
        <w:rPr>
          <w:rFonts w:ascii="Arial" w:hAnsi="Arial" w:cs="Arial"/>
        </w:rPr>
        <w:t xml:space="preserve"> é calculado da seguinte forma:</w:t>
      </w:r>
    </w:p>
    <w:p w:rsidR="00EF23AA" w:rsidRPr="00F31154" w:rsidRDefault="00EF23AA" w:rsidP="002C2A1A">
      <w:pPr>
        <w:widowControl w:val="0"/>
        <w:spacing w:line="480" w:lineRule="auto"/>
        <w:ind w:firstLine="1134"/>
        <w:jc w:val="both"/>
        <w:rPr>
          <w:rFonts w:ascii="Arial" w:hAnsi="Arial" w:cs="Arial"/>
        </w:rPr>
      </w:pPr>
    </w:p>
    <w:tbl>
      <w:tblPr>
        <w:tblW w:w="379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4"/>
        <w:gridCol w:w="3074"/>
      </w:tblGrid>
      <w:tr w:rsidR="005539BE" w:rsidRPr="00F31154" w:rsidTr="00AD494B">
        <w:trPr>
          <w:trHeight w:val="315"/>
        </w:trPr>
        <w:tc>
          <w:tcPr>
            <w:tcW w:w="7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39BE" w:rsidRPr="00B74941" w:rsidRDefault="005539BE" w:rsidP="00B74941">
            <w:pPr>
              <w:pStyle w:val="PargrafodaLista"/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B74941">
              <w:rPr>
                <w:rFonts w:ascii="Arial" w:hAnsi="Arial" w:cs="Arial"/>
                <w:color w:val="000000"/>
              </w:rPr>
              <w:t>IEG =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39BE" w:rsidRPr="00F31154" w:rsidRDefault="001D7890" w:rsidP="00955F87">
            <w:pPr>
              <w:jc w:val="center"/>
              <w:rPr>
                <w:rFonts w:ascii="Arial" w:hAnsi="Arial" w:cs="Arial"/>
                <w:color w:val="000000"/>
              </w:rPr>
            </w:pPr>
            <w:r w:rsidRPr="00F31154">
              <w:rPr>
                <w:rFonts w:ascii="Arial" w:hAnsi="Arial" w:cs="Arial"/>
                <w:color w:val="000000"/>
              </w:rPr>
              <w:t>Passivo Total</w:t>
            </w:r>
          </w:p>
        </w:tc>
      </w:tr>
      <w:tr w:rsidR="005539BE" w:rsidRPr="00F31154" w:rsidTr="00AD494B">
        <w:trPr>
          <w:trHeight w:val="315"/>
        </w:trPr>
        <w:tc>
          <w:tcPr>
            <w:tcW w:w="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39BE" w:rsidRPr="00F31154" w:rsidRDefault="005539BE" w:rsidP="00955F8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39BE" w:rsidRPr="00F31154" w:rsidRDefault="005539BE" w:rsidP="00955F87">
            <w:pPr>
              <w:jc w:val="center"/>
              <w:rPr>
                <w:rFonts w:ascii="Arial" w:hAnsi="Arial" w:cs="Arial"/>
                <w:color w:val="000000"/>
              </w:rPr>
            </w:pPr>
            <w:r w:rsidRPr="00F31154">
              <w:rPr>
                <w:rFonts w:ascii="Arial" w:hAnsi="Arial" w:cs="Arial"/>
                <w:color w:val="000000"/>
              </w:rPr>
              <w:t>Ativo Total</w:t>
            </w:r>
          </w:p>
        </w:tc>
      </w:tr>
    </w:tbl>
    <w:p w:rsidR="005539BE" w:rsidRPr="00F31154" w:rsidRDefault="005539BE" w:rsidP="002C2A1A">
      <w:pPr>
        <w:widowControl w:val="0"/>
        <w:spacing w:line="480" w:lineRule="auto"/>
        <w:jc w:val="both"/>
        <w:rPr>
          <w:rFonts w:ascii="Arial" w:hAnsi="Arial" w:cs="Arial"/>
          <w:b/>
        </w:rPr>
      </w:pPr>
    </w:p>
    <w:p w:rsidR="001D7890" w:rsidRPr="00F31154" w:rsidRDefault="006D5014" w:rsidP="001D7890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Este índice mede o endividamento de recursos de terceiros utilizados pela </w:t>
      </w:r>
      <w:r w:rsidRPr="00F31154">
        <w:rPr>
          <w:rFonts w:ascii="Arial" w:hAnsi="Arial" w:cs="Arial"/>
        </w:rPr>
        <w:lastRenderedPageBreak/>
        <w:t xml:space="preserve">empresa, e quanto mais elevado esse indicador, maior sua </w:t>
      </w:r>
      <w:proofErr w:type="gramStart"/>
      <w:r w:rsidRPr="00F31154">
        <w:rPr>
          <w:rFonts w:ascii="Arial" w:hAnsi="Arial" w:cs="Arial"/>
        </w:rPr>
        <w:t>alavancagem</w:t>
      </w:r>
      <w:proofErr w:type="gramEnd"/>
      <w:r w:rsidRPr="00F31154">
        <w:rPr>
          <w:rFonts w:ascii="Arial" w:hAnsi="Arial" w:cs="Arial"/>
        </w:rPr>
        <w:t xml:space="preserve"> financeira. </w:t>
      </w:r>
      <w:r w:rsidR="00E00E0B" w:rsidRPr="00F31154">
        <w:rPr>
          <w:rFonts w:ascii="Arial" w:hAnsi="Arial" w:cs="Arial"/>
        </w:rPr>
        <w:t xml:space="preserve">Segundo, </w:t>
      </w:r>
      <w:proofErr w:type="spellStart"/>
      <w:r w:rsidR="00E00E0B" w:rsidRPr="00F31154">
        <w:rPr>
          <w:rFonts w:ascii="Arial" w:hAnsi="Arial" w:cs="Arial"/>
        </w:rPr>
        <w:t>Padoveze</w:t>
      </w:r>
      <w:proofErr w:type="spellEnd"/>
      <w:r w:rsidR="00E00E0B" w:rsidRPr="00F31154">
        <w:rPr>
          <w:rFonts w:ascii="Arial" w:hAnsi="Arial" w:cs="Arial"/>
        </w:rPr>
        <w:t xml:space="preserve"> e</w:t>
      </w:r>
      <w:r w:rsidR="009A6BB9" w:rsidRPr="00F31154">
        <w:rPr>
          <w:rFonts w:ascii="Arial" w:hAnsi="Arial" w:cs="Arial"/>
        </w:rPr>
        <w:t xml:space="preserve"> </w:t>
      </w:r>
      <w:proofErr w:type="spellStart"/>
      <w:r w:rsidRPr="00F31154">
        <w:rPr>
          <w:rFonts w:ascii="Arial" w:hAnsi="Arial" w:cs="Arial"/>
        </w:rPr>
        <w:t>Benedicto</w:t>
      </w:r>
      <w:proofErr w:type="spellEnd"/>
      <w:r w:rsidRPr="00F31154">
        <w:rPr>
          <w:rFonts w:ascii="Arial" w:hAnsi="Arial" w:cs="Arial"/>
        </w:rPr>
        <w:t xml:space="preserve"> (2010</w:t>
      </w:r>
      <w:r w:rsidR="00E00E0B" w:rsidRPr="00F31154">
        <w:rPr>
          <w:rFonts w:ascii="Arial" w:hAnsi="Arial" w:cs="Arial"/>
        </w:rPr>
        <w:t>, p. 156</w:t>
      </w:r>
      <w:r w:rsidRPr="00F31154">
        <w:rPr>
          <w:rFonts w:ascii="Arial" w:hAnsi="Arial" w:cs="Arial"/>
        </w:rPr>
        <w:t>), este indicador é verificar qual a possibilidade de que, no futuro, a empresa tenha condições de garantir todas as suas dívidas com os próprios recursos.</w:t>
      </w:r>
    </w:p>
    <w:p w:rsidR="002C2A1A" w:rsidRPr="00F31154" w:rsidRDefault="002C2A1A" w:rsidP="00C372C6">
      <w:pPr>
        <w:widowControl w:val="0"/>
        <w:spacing w:line="480" w:lineRule="auto"/>
        <w:ind w:firstLine="1134"/>
        <w:jc w:val="both"/>
        <w:rPr>
          <w:rFonts w:ascii="Arial" w:hAnsi="Arial" w:cs="Arial"/>
        </w:rPr>
      </w:pPr>
    </w:p>
    <w:p w:rsidR="00B5318B" w:rsidRPr="00F31154" w:rsidRDefault="009A6BB9" w:rsidP="00790718">
      <w:pPr>
        <w:widowControl w:val="0"/>
        <w:spacing w:line="360" w:lineRule="auto"/>
        <w:jc w:val="both"/>
        <w:rPr>
          <w:rFonts w:ascii="Arial" w:hAnsi="Arial" w:cs="Arial"/>
          <w:b/>
        </w:rPr>
      </w:pPr>
      <w:r w:rsidRPr="00F31154">
        <w:rPr>
          <w:rFonts w:ascii="Arial" w:hAnsi="Arial" w:cs="Arial"/>
          <w:b/>
        </w:rPr>
        <w:t>2.6</w:t>
      </w:r>
      <w:r w:rsidR="003A172A" w:rsidRPr="00F31154">
        <w:rPr>
          <w:rFonts w:ascii="Arial" w:hAnsi="Arial" w:cs="Arial"/>
          <w:b/>
        </w:rPr>
        <w:t>.2.2 Índ</w:t>
      </w:r>
      <w:r w:rsidR="009B1841" w:rsidRPr="00F31154">
        <w:rPr>
          <w:rFonts w:ascii="Arial" w:hAnsi="Arial" w:cs="Arial"/>
          <w:b/>
        </w:rPr>
        <w:t>ice de Cobertura de Juros (ICJ)</w:t>
      </w:r>
    </w:p>
    <w:p w:rsidR="003A172A" w:rsidRPr="00F31154" w:rsidRDefault="003A172A" w:rsidP="00C372C6">
      <w:pPr>
        <w:widowControl w:val="0"/>
        <w:spacing w:line="480" w:lineRule="auto"/>
        <w:jc w:val="both"/>
        <w:rPr>
          <w:rFonts w:ascii="Arial" w:hAnsi="Arial" w:cs="Arial"/>
        </w:rPr>
      </w:pPr>
    </w:p>
    <w:p w:rsidR="004C3232" w:rsidRPr="00F31154" w:rsidRDefault="003A172A" w:rsidP="003A172A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>É o índice do lucro antes dos juros e impostos em</w:t>
      </w:r>
      <w:r w:rsidR="00BF6558">
        <w:rPr>
          <w:rFonts w:ascii="Arial" w:hAnsi="Arial" w:cs="Arial"/>
        </w:rPr>
        <w:t xml:space="preserve"> </w:t>
      </w:r>
      <w:r w:rsidRPr="00F31154">
        <w:rPr>
          <w:rFonts w:ascii="Arial" w:hAnsi="Arial" w:cs="Arial"/>
        </w:rPr>
        <w:t xml:space="preserve">relação aos encargos de juros. Quanto </w:t>
      </w:r>
      <w:r w:rsidR="00BF6558">
        <w:rPr>
          <w:rFonts w:ascii="Arial" w:hAnsi="Arial" w:cs="Arial"/>
        </w:rPr>
        <w:t>maior</w:t>
      </w:r>
      <w:r w:rsidRPr="00F31154">
        <w:rPr>
          <w:rFonts w:ascii="Arial" w:hAnsi="Arial" w:cs="Arial"/>
        </w:rPr>
        <w:t xml:space="preserve"> o valor desse índice,</w:t>
      </w:r>
      <w:r w:rsidR="00CE00AC">
        <w:rPr>
          <w:rFonts w:ascii="Arial" w:hAnsi="Arial" w:cs="Arial"/>
        </w:rPr>
        <w:t xml:space="preserve"> </w:t>
      </w:r>
      <w:r w:rsidRPr="00F31154">
        <w:rPr>
          <w:rFonts w:ascii="Arial" w:hAnsi="Arial" w:cs="Arial"/>
        </w:rPr>
        <w:t>maior</w:t>
      </w:r>
      <w:r w:rsidR="00CE00AC">
        <w:rPr>
          <w:rFonts w:ascii="Arial" w:hAnsi="Arial" w:cs="Arial"/>
        </w:rPr>
        <w:t xml:space="preserve"> </w:t>
      </w:r>
      <w:r w:rsidRPr="00F31154">
        <w:rPr>
          <w:rFonts w:ascii="Arial" w:hAnsi="Arial" w:cs="Arial"/>
        </w:rPr>
        <w:t>a</w:t>
      </w:r>
      <w:r w:rsidR="00CE00AC">
        <w:rPr>
          <w:rFonts w:ascii="Arial" w:hAnsi="Arial" w:cs="Arial"/>
        </w:rPr>
        <w:t xml:space="preserve"> </w:t>
      </w:r>
      <w:r w:rsidR="00BF6558">
        <w:rPr>
          <w:rFonts w:ascii="Arial" w:hAnsi="Arial" w:cs="Arial"/>
        </w:rPr>
        <w:t>competência</w:t>
      </w:r>
      <w:r w:rsidR="00CE00AC">
        <w:rPr>
          <w:rFonts w:ascii="Arial" w:hAnsi="Arial" w:cs="Arial"/>
        </w:rPr>
        <w:t xml:space="preserve"> </w:t>
      </w:r>
      <w:r w:rsidRPr="00F31154">
        <w:rPr>
          <w:rFonts w:ascii="Arial" w:hAnsi="Arial" w:cs="Arial"/>
        </w:rPr>
        <w:t>de pagamento</w:t>
      </w:r>
      <w:r w:rsidR="00CE00AC">
        <w:rPr>
          <w:rFonts w:ascii="Arial" w:hAnsi="Arial" w:cs="Arial"/>
        </w:rPr>
        <w:t xml:space="preserve"> </w:t>
      </w:r>
      <w:r w:rsidRPr="00F31154">
        <w:rPr>
          <w:rFonts w:ascii="Arial" w:hAnsi="Arial" w:cs="Arial"/>
        </w:rPr>
        <w:t xml:space="preserve">de juros da empresa. Ele é calculado do seguinte </w:t>
      </w:r>
      <w:r w:rsidR="004463F8">
        <w:rPr>
          <w:rFonts w:ascii="Arial" w:hAnsi="Arial" w:cs="Arial"/>
        </w:rPr>
        <w:t>forma</w:t>
      </w:r>
      <w:r w:rsidRPr="00F31154">
        <w:rPr>
          <w:rFonts w:ascii="Arial" w:hAnsi="Arial" w:cs="Arial"/>
        </w:rPr>
        <w:t>:</w:t>
      </w:r>
    </w:p>
    <w:p w:rsidR="005539BE" w:rsidRPr="00F31154" w:rsidRDefault="005539BE" w:rsidP="002C2A1A">
      <w:pPr>
        <w:widowControl w:val="0"/>
        <w:spacing w:line="480" w:lineRule="auto"/>
        <w:ind w:firstLine="1134"/>
        <w:jc w:val="both"/>
        <w:rPr>
          <w:rFonts w:ascii="Arial" w:hAnsi="Arial" w:cs="Arial"/>
        </w:rPr>
      </w:pPr>
    </w:p>
    <w:tbl>
      <w:tblPr>
        <w:tblW w:w="4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4158"/>
      </w:tblGrid>
      <w:tr w:rsidR="003A172A" w:rsidRPr="00F31154" w:rsidTr="00AD494B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72A" w:rsidRPr="00B74941" w:rsidRDefault="009B1841" w:rsidP="00B74941">
            <w:pPr>
              <w:pStyle w:val="PargrafodaLista"/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B74941">
              <w:rPr>
                <w:rFonts w:ascii="Arial" w:hAnsi="Arial" w:cs="Arial"/>
              </w:rPr>
              <w:br w:type="page"/>
            </w:r>
            <w:r w:rsidR="00EF23AA" w:rsidRPr="00B74941">
              <w:rPr>
                <w:rFonts w:ascii="Arial" w:hAnsi="Arial" w:cs="Arial"/>
                <w:color w:val="000000"/>
              </w:rPr>
              <w:t>ICJ=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172A" w:rsidRPr="00F31154" w:rsidRDefault="003A172A" w:rsidP="003A172A">
            <w:pPr>
              <w:jc w:val="center"/>
              <w:rPr>
                <w:rFonts w:ascii="Arial" w:hAnsi="Arial" w:cs="Arial"/>
                <w:color w:val="000000"/>
              </w:rPr>
            </w:pPr>
            <w:r w:rsidRPr="00F31154">
              <w:rPr>
                <w:rFonts w:ascii="Arial" w:hAnsi="Arial" w:cs="Arial"/>
                <w:color w:val="000000"/>
              </w:rPr>
              <w:t>Lucro antes do Imposto de Renda</w:t>
            </w:r>
          </w:p>
        </w:tc>
      </w:tr>
      <w:tr w:rsidR="003A172A" w:rsidRPr="00F31154" w:rsidTr="00AD494B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172A" w:rsidRPr="00F31154" w:rsidRDefault="003A172A" w:rsidP="003A172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72A" w:rsidRPr="00F31154" w:rsidRDefault="003A172A" w:rsidP="003A172A">
            <w:pPr>
              <w:jc w:val="center"/>
              <w:rPr>
                <w:rFonts w:ascii="Arial" w:hAnsi="Arial" w:cs="Arial"/>
                <w:color w:val="000000"/>
              </w:rPr>
            </w:pPr>
            <w:r w:rsidRPr="00F31154">
              <w:rPr>
                <w:rFonts w:ascii="Arial" w:hAnsi="Arial" w:cs="Arial"/>
                <w:color w:val="000000"/>
              </w:rPr>
              <w:t>Juros</w:t>
            </w:r>
          </w:p>
        </w:tc>
      </w:tr>
    </w:tbl>
    <w:p w:rsidR="00D741EF" w:rsidRPr="00F31154" w:rsidRDefault="00D741EF" w:rsidP="002C2A1A">
      <w:pPr>
        <w:widowControl w:val="0"/>
        <w:spacing w:line="480" w:lineRule="auto"/>
        <w:ind w:firstLine="1134"/>
        <w:jc w:val="both"/>
        <w:rPr>
          <w:rFonts w:ascii="Arial" w:hAnsi="Arial" w:cs="Arial"/>
        </w:rPr>
      </w:pPr>
    </w:p>
    <w:p w:rsidR="00D741EF" w:rsidRPr="00F31154" w:rsidRDefault="00D741EF" w:rsidP="00D741EF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>Mede a capacidade da empresa de atender aos seus pagamentos de juros anuais, em outras palavras, mede a extensão pela qual a renda operacional pode declinar antes que a empresa seja capaz de atender a seus custos de juros anuais, (WESTON; BRIGHAM, 2000</w:t>
      </w:r>
      <w:r w:rsidR="00BD7614" w:rsidRPr="00F31154">
        <w:rPr>
          <w:rFonts w:ascii="Arial" w:hAnsi="Arial" w:cs="Arial"/>
        </w:rPr>
        <w:t xml:space="preserve"> p. 59</w:t>
      </w:r>
      <w:r w:rsidRPr="00F31154">
        <w:rPr>
          <w:rFonts w:ascii="Arial" w:hAnsi="Arial" w:cs="Arial"/>
        </w:rPr>
        <w:t>).</w:t>
      </w:r>
    </w:p>
    <w:p w:rsidR="003A172A" w:rsidRPr="00F31154" w:rsidRDefault="003A172A" w:rsidP="00C372C6">
      <w:pPr>
        <w:widowControl w:val="0"/>
        <w:spacing w:line="480" w:lineRule="auto"/>
        <w:ind w:firstLine="1134"/>
        <w:jc w:val="both"/>
        <w:rPr>
          <w:rFonts w:ascii="Arial" w:hAnsi="Arial" w:cs="Arial"/>
        </w:rPr>
      </w:pPr>
    </w:p>
    <w:p w:rsidR="003A172A" w:rsidRPr="00F31154" w:rsidRDefault="009A6BB9" w:rsidP="003A172A">
      <w:pPr>
        <w:widowControl w:val="0"/>
        <w:spacing w:line="360" w:lineRule="auto"/>
        <w:jc w:val="both"/>
        <w:rPr>
          <w:rFonts w:ascii="Arial" w:hAnsi="Arial" w:cs="Arial"/>
          <w:b/>
        </w:rPr>
      </w:pPr>
      <w:r w:rsidRPr="00F31154">
        <w:rPr>
          <w:rFonts w:ascii="Arial" w:hAnsi="Arial" w:cs="Arial"/>
          <w:b/>
        </w:rPr>
        <w:t>2.6</w:t>
      </w:r>
      <w:r w:rsidR="003A172A" w:rsidRPr="00F31154">
        <w:rPr>
          <w:rFonts w:ascii="Arial" w:hAnsi="Arial" w:cs="Arial"/>
          <w:b/>
        </w:rPr>
        <w:t>.3 Índice de Ren</w:t>
      </w:r>
      <w:r w:rsidR="009B1841" w:rsidRPr="00F31154">
        <w:rPr>
          <w:rFonts w:ascii="Arial" w:hAnsi="Arial" w:cs="Arial"/>
          <w:b/>
        </w:rPr>
        <w:t>tabilidade (Situação Econômica)</w:t>
      </w:r>
    </w:p>
    <w:p w:rsidR="003A172A" w:rsidRPr="00F31154" w:rsidRDefault="003A172A" w:rsidP="00C372C6">
      <w:pPr>
        <w:widowControl w:val="0"/>
        <w:spacing w:line="480" w:lineRule="auto"/>
        <w:jc w:val="both"/>
        <w:rPr>
          <w:rFonts w:ascii="Arial" w:hAnsi="Arial" w:cs="Arial"/>
        </w:rPr>
      </w:pPr>
    </w:p>
    <w:p w:rsidR="003A172A" w:rsidRPr="00F31154" w:rsidRDefault="00D741EF" w:rsidP="00BA3A91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>Medem o lucro e o retorno da empresa em relação a diversos itens do Balanço e da Demonstração de Resultado, (LEMES; RIGO; CHEROBIM, 2005</w:t>
      </w:r>
      <w:r w:rsidR="00D66001" w:rsidRPr="00F31154">
        <w:rPr>
          <w:rFonts w:ascii="Arial" w:hAnsi="Arial" w:cs="Arial"/>
        </w:rPr>
        <w:t xml:space="preserve"> p. 76</w:t>
      </w:r>
      <w:r w:rsidRPr="00F31154">
        <w:rPr>
          <w:rFonts w:ascii="Arial" w:hAnsi="Arial" w:cs="Arial"/>
        </w:rPr>
        <w:t>)</w:t>
      </w:r>
      <w:r w:rsidR="00BA3A91" w:rsidRPr="00F31154">
        <w:rPr>
          <w:rFonts w:ascii="Arial" w:hAnsi="Arial" w:cs="Arial"/>
        </w:rPr>
        <w:t xml:space="preserve">. </w:t>
      </w:r>
      <w:r w:rsidR="003A172A" w:rsidRPr="00F31154">
        <w:rPr>
          <w:rFonts w:ascii="Arial" w:hAnsi="Arial" w:cs="Arial"/>
        </w:rPr>
        <w:t xml:space="preserve">Constituem uma série de índices que mostram os efeitos combinados da liquidez, da administração de ativos e da administração da dívida sobre os resultados operacionais. </w:t>
      </w:r>
    </w:p>
    <w:p w:rsidR="003A172A" w:rsidRPr="00F31154" w:rsidRDefault="00BC3D2D" w:rsidP="005539BE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A lucratividade é o resultado líquido de uma série </w:t>
      </w:r>
      <w:r w:rsidR="003A172A" w:rsidRPr="00F31154">
        <w:rPr>
          <w:rFonts w:ascii="Arial" w:hAnsi="Arial" w:cs="Arial"/>
        </w:rPr>
        <w:t>de</w:t>
      </w:r>
      <w:r w:rsidR="00671C96">
        <w:rPr>
          <w:rFonts w:ascii="Arial" w:hAnsi="Arial" w:cs="Arial"/>
        </w:rPr>
        <w:t xml:space="preserve"> </w:t>
      </w:r>
      <w:r w:rsidR="003A172A" w:rsidRPr="00F31154">
        <w:rPr>
          <w:rFonts w:ascii="Arial" w:hAnsi="Arial" w:cs="Arial"/>
        </w:rPr>
        <w:t>medidas e decisões.</w:t>
      </w:r>
      <w:r w:rsidR="003F618C" w:rsidRPr="00F31154">
        <w:rPr>
          <w:rFonts w:ascii="Arial" w:hAnsi="Arial" w:cs="Arial"/>
        </w:rPr>
        <w:t xml:space="preserve"> A interpretação desses índices é semelhante aos de liquidez, quanto maior</w:t>
      </w:r>
      <w:r w:rsidR="0004697E" w:rsidRPr="00F31154">
        <w:rPr>
          <w:rFonts w:ascii="Arial" w:hAnsi="Arial" w:cs="Arial"/>
        </w:rPr>
        <w:t xml:space="preserve"> o valor desta variável</w:t>
      </w:r>
      <w:r w:rsidR="003F618C" w:rsidRPr="00F31154">
        <w:rPr>
          <w:rFonts w:ascii="Arial" w:hAnsi="Arial" w:cs="Arial"/>
        </w:rPr>
        <w:t>, melhor</w:t>
      </w:r>
      <w:r w:rsidR="00E5775A" w:rsidRPr="00F31154">
        <w:rPr>
          <w:rFonts w:ascii="Arial" w:hAnsi="Arial" w:cs="Arial"/>
        </w:rPr>
        <w:t xml:space="preserve"> para a organização</w:t>
      </w:r>
      <w:r w:rsidR="003F618C" w:rsidRPr="00F31154">
        <w:rPr>
          <w:rFonts w:ascii="Arial" w:hAnsi="Arial" w:cs="Arial"/>
        </w:rPr>
        <w:t>.</w:t>
      </w:r>
    </w:p>
    <w:p w:rsidR="005539BE" w:rsidRDefault="005539BE" w:rsidP="00C372C6">
      <w:pPr>
        <w:widowControl w:val="0"/>
        <w:spacing w:line="480" w:lineRule="auto"/>
        <w:jc w:val="both"/>
        <w:rPr>
          <w:rFonts w:ascii="Arial" w:hAnsi="Arial" w:cs="Arial"/>
        </w:rPr>
      </w:pPr>
    </w:p>
    <w:p w:rsidR="003B5366" w:rsidRPr="00F31154" w:rsidRDefault="003B5366" w:rsidP="00C372C6">
      <w:pPr>
        <w:widowControl w:val="0"/>
        <w:spacing w:line="480" w:lineRule="auto"/>
        <w:jc w:val="both"/>
        <w:rPr>
          <w:rFonts w:ascii="Arial" w:hAnsi="Arial" w:cs="Arial"/>
        </w:rPr>
      </w:pPr>
    </w:p>
    <w:p w:rsidR="003A172A" w:rsidRPr="00F31154" w:rsidRDefault="009A6BB9" w:rsidP="003A172A">
      <w:pPr>
        <w:widowControl w:val="0"/>
        <w:spacing w:line="360" w:lineRule="auto"/>
        <w:jc w:val="both"/>
        <w:rPr>
          <w:rFonts w:ascii="Arial" w:hAnsi="Arial" w:cs="Arial"/>
          <w:b/>
        </w:rPr>
      </w:pPr>
      <w:r w:rsidRPr="00F31154">
        <w:rPr>
          <w:rFonts w:ascii="Arial" w:hAnsi="Arial" w:cs="Arial"/>
          <w:b/>
        </w:rPr>
        <w:lastRenderedPageBreak/>
        <w:t>2.6</w:t>
      </w:r>
      <w:r w:rsidR="003A172A" w:rsidRPr="00F31154">
        <w:rPr>
          <w:rFonts w:ascii="Arial" w:hAnsi="Arial" w:cs="Arial"/>
          <w:b/>
        </w:rPr>
        <w:t>.3.1 Margem de Lucro Bruto (MLB)</w:t>
      </w:r>
    </w:p>
    <w:p w:rsidR="003F618C" w:rsidRPr="00F31154" w:rsidRDefault="003F618C" w:rsidP="003B5366">
      <w:pPr>
        <w:widowControl w:val="0"/>
        <w:spacing w:line="480" w:lineRule="auto"/>
        <w:jc w:val="both"/>
        <w:rPr>
          <w:rFonts w:ascii="Arial" w:hAnsi="Arial" w:cs="Arial"/>
        </w:rPr>
      </w:pPr>
    </w:p>
    <w:p w:rsidR="00BB0002" w:rsidRDefault="003F618C" w:rsidP="003F618C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Segundo </w:t>
      </w:r>
      <w:proofErr w:type="spellStart"/>
      <w:r w:rsidR="00992C00">
        <w:rPr>
          <w:rFonts w:ascii="Arial" w:hAnsi="Arial" w:cs="Arial"/>
        </w:rPr>
        <w:t>Gitman</w:t>
      </w:r>
      <w:proofErr w:type="spellEnd"/>
      <w:r w:rsidRPr="00F31154">
        <w:rPr>
          <w:rFonts w:ascii="Arial" w:hAnsi="Arial" w:cs="Arial"/>
        </w:rPr>
        <w:t xml:space="preserve"> (2010</w:t>
      </w:r>
      <w:r w:rsidR="00C26F5B" w:rsidRPr="00F31154">
        <w:rPr>
          <w:rFonts w:ascii="Arial" w:hAnsi="Arial" w:cs="Arial"/>
        </w:rPr>
        <w:t>, p. 58</w:t>
      </w:r>
      <w:r w:rsidRPr="00F31154">
        <w:rPr>
          <w:rFonts w:ascii="Arial" w:hAnsi="Arial" w:cs="Arial"/>
        </w:rPr>
        <w:t xml:space="preserve">), essa margem mede a porcentagem de cada unidade monetária de vendas que resta após o pagamento do custo dos produtos vendidos. </w:t>
      </w:r>
    </w:p>
    <w:p w:rsidR="003F618C" w:rsidRPr="00F31154" w:rsidRDefault="003F618C" w:rsidP="003F618C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>É calculada da seguinte forma:</w:t>
      </w:r>
    </w:p>
    <w:p w:rsidR="003F618C" w:rsidRPr="00F31154" w:rsidRDefault="003F618C" w:rsidP="003B5366">
      <w:pPr>
        <w:widowControl w:val="0"/>
        <w:spacing w:line="480" w:lineRule="auto"/>
        <w:jc w:val="both"/>
        <w:rPr>
          <w:rFonts w:ascii="Arial" w:hAnsi="Arial" w:cs="Arial"/>
        </w:rPr>
      </w:pPr>
    </w:p>
    <w:tbl>
      <w:tblPr>
        <w:tblW w:w="446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4"/>
        <w:gridCol w:w="3740"/>
      </w:tblGrid>
      <w:tr w:rsidR="00C50796" w:rsidRPr="00F31154" w:rsidTr="00AD494B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796" w:rsidRPr="00B74941" w:rsidRDefault="00CC67B3" w:rsidP="00B74941">
            <w:pPr>
              <w:pStyle w:val="PargrafodaLista"/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B74941">
              <w:rPr>
                <w:rFonts w:ascii="Arial" w:hAnsi="Arial" w:cs="Arial"/>
                <w:color w:val="000000"/>
              </w:rPr>
              <w:t>MLB=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0796" w:rsidRPr="00F31154" w:rsidRDefault="00C50796" w:rsidP="00A169D5">
            <w:pPr>
              <w:jc w:val="center"/>
              <w:rPr>
                <w:rFonts w:ascii="Arial" w:hAnsi="Arial" w:cs="Arial"/>
                <w:color w:val="000000"/>
              </w:rPr>
            </w:pPr>
            <w:r w:rsidRPr="00F31154">
              <w:rPr>
                <w:rFonts w:ascii="Arial" w:hAnsi="Arial" w:cs="Arial"/>
                <w:color w:val="000000"/>
              </w:rPr>
              <w:t>Lucro Bruto</w:t>
            </w:r>
          </w:p>
        </w:tc>
      </w:tr>
      <w:tr w:rsidR="00C50796" w:rsidRPr="00F31154" w:rsidTr="00AD494B">
        <w:trPr>
          <w:trHeight w:val="300"/>
        </w:trPr>
        <w:tc>
          <w:tcPr>
            <w:tcW w:w="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796" w:rsidRPr="00F31154" w:rsidRDefault="00C50796" w:rsidP="00A169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796" w:rsidRPr="00F31154" w:rsidRDefault="00C50796" w:rsidP="00A169D5">
            <w:pPr>
              <w:jc w:val="center"/>
              <w:rPr>
                <w:rFonts w:ascii="Arial" w:hAnsi="Arial" w:cs="Arial"/>
                <w:color w:val="000000"/>
              </w:rPr>
            </w:pPr>
            <w:r w:rsidRPr="00F31154">
              <w:rPr>
                <w:rFonts w:ascii="Arial" w:hAnsi="Arial" w:cs="Arial"/>
                <w:color w:val="000000"/>
              </w:rPr>
              <w:t>Receitas de Vendas</w:t>
            </w:r>
          </w:p>
        </w:tc>
      </w:tr>
    </w:tbl>
    <w:p w:rsidR="003F618C" w:rsidRPr="00F31154" w:rsidRDefault="003F618C" w:rsidP="002C2A1A">
      <w:pPr>
        <w:widowControl w:val="0"/>
        <w:spacing w:line="480" w:lineRule="auto"/>
        <w:jc w:val="both"/>
        <w:rPr>
          <w:rFonts w:ascii="Arial" w:hAnsi="Arial" w:cs="Arial"/>
        </w:rPr>
      </w:pPr>
    </w:p>
    <w:p w:rsidR="00CC67B3" w:rsidRPr="00F31154" w:rsidRDefault="00CC67B3" w:rsidP="00CC67B3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>Quanto maior a margem do lucro bruto melhor, ou seja</w:t>
      </w:r>
      <w:r w:rsidR="00C26F5B" w:rsidRPr="00F31154">
        <w:rPr>
          <w:rFonts w:ascii="Arial" w:hAnsi="Arial" w:cs="Arial"/>
        </w:rPr>
        <w:t>,</w:t>
      </w:r>
      <w:r w:rsidRPr="00F31154">
        <w:rPr>
          <w:rFonts w:ascii="Arial" w:hAnsi="Arial" w:cs="Arial"/>
        </w:rPr>
        <w:t xml:space="preserve"> a empresa tem menor custo de mercadoria.</w:t>
      </w:r>
    </w:p>
    <w:p w:rsidR="00CC67B3" w:rsidRDefault="00CC67B3" w:rsidP="00C372C6">
      <w:pPr>
        <w:widowControl w:val="0"/>
        <w:spacing w:line="480" w:lineRule="auto"/>
        <w:ind w:firstLine="1134"/>
        <w:jc w:val="both"/>
        <w:rPr>
          <w:rFonts w:ascii="Arial" w:hAnsi="Arial" w:cs="Arial"/>
        </w:rPr>
      </w:pPr>
    </w:p>
    <w:p w:rsidR="00C50796" w:rsidRPr="00F31154" w:rsidRDefault="009A6BB9" w:rsidP="003F618C">
      <w:pPr>
        <w:widowControl w:val="0"/>
        <w:spacing w:line="360" w:lineRule="auto"/>
        <w:jc w:val="both"/>
        <w:rPr>
          <w:rFonts w:ascii="Arial" w:hAnsi="Arial" w:cs="Arial"/>
          <w:b/>
        </w:rPr>
      </w:pPr>
      <w:r w:rsidRPr="00F31154">
        <w:rPr>
          <w:rFonts w:ascii="Arial" w:hAnsi="Arial" w:cs="Arial"/>
          <w:b/>
        </w:rPr>
        <w:t>2.6</w:t>
      </w:r>
      <w:r w:rsidR="00C50796" w:rsidRPr="00F31154">
        <w:rPr>
          <w:rFonts w:ascii="Arial" w:hAnsi="Arial" w:cs="Arial"/>
          <w:b/>
        </w:rPr>
        <w:t>.3.2 Margem do Lucro Operacional (MLO)</w:t>
      </w:r>
    </w:p>
    <w:p w:rsidR="00C50796" w:rsidRPr="00F31154" w:rsidRDefault="00C50796" w:rsidP="00C372C6">
      <w:pPr>
        <w:widowControl w:val="0"/>
        <w:spacing w:line="480" w:lineRule="auto"/>
        <w:jc w:val="both"/>
        <w:rPr>
          <w:rFonts w:ascii="Arial" w:hAnsi="Arial" w:cs="Arial"/>
        </w:rPr>
      </w:pPr>
    </w:p>
    <w:p w:rsidR="00C50796" w:rsidRPr="00F31154" w:rsidRDefault="00EE2527" w:rsidP="00EE2527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>Mede a porcentagem de cada unidade monetária de</w:t>
      </w:r>
      <w:r w:rsidR="00955DBE">
        <w:rPr>
          <w:rFonts w:ascii="Arial" w:hAnsi="Arial" w:cs="Arial"/>
        </w:rPr>
        <w:t xml:space="preserve"> </w:t>
      </w:r>
      <w:r w:rsidRPr="00F31154">
        <w:rPr>
          <w:rFonts w:ascii="Arial" w:hAnsi="Arial" w:cs="Arial"/>
        </w:rPr>
        <w:t>vendas remanescente após a dedução de todos os custos e despesas excet</w:t>
      </w:r>
      <w:r w:rsidR="00CC67B3" w:rsidRPr="00F31154">
        <w:rPr>
          <w:rFonts w:ascii="Arial" w:hAnsi="Arial" w:cs="Arial"/>
        </w:rPr>
        <w:t xml:space="preserve">o juros, imposto de renda e </w:t>
      </w:r>
      <w:r w:rsidRPr="00F31154">
        <w:rPr>
          <w:rFonts w:ascii="Arial" w:hAnsi="Arial" w:cs="Arial"/>
        </w:rPr>
        <w:t>divi</w:t>
      </w:r>
      <w:r w:rsidR="00CC67B3" w:rsidRPr="00F31154">
        <w:rPr>
          <w:rFonts w:ascii="Arial" w:hAnsi="Arial" w:cs="Arial"/>
        </w:rPr>
        <w:t>dendos de ações preferenciais, (GITMAN 2010</w:t>
      </w:r>
      <w:r w:rsidR="00C26F5B" w:rsidRPr="00F31154">
        <w:rPr>
          <w:rFonts w:ascii="Arial" w:hAnsi="Arial" w:cs="Arial"/>
        </w:rPr>
        <w:t>, p. 58</w:t>
      </w:r>
      <w:r w:rsidR="00992C00" w:rsidRPr="00F31154">
        <w:rPr>
          <w:rFonts w:ascii="Arial" w:hAnsi="Arial" w:cs="Arial"/>
        </w:rPr>
        <w:t xml:space="preserve">). </w:t>
      </w:r>
      <w:r w:rsidRPr="00F31154">
        <w:rPr>
          <w:rFonts w:ascii="Arial" w:hAnsi="Arial" w:cs="Arial"/>
        </w:rPr>
        <w:t>É calculada por:</w:t>
      </w:r>
    </w:p>
    <w:p w:rsidR="003A172A" w:rsidRPr="00F31154" w:rsidRDefault="003A172A" w:rsidP="002C2A1A">
      <w:pPr>
        <w:widowControl w:val="0"/>
        <w:spacing w:line="480" w:lineRule="auto"/>
        <w:jc w:val="both"/>
        <w:rPr>
          <w:rFonts w:ascii="Arial" w:hAnsi="Arial" w:cs="Arial"/>
        </w:rPr>
      </w:pPr>
    </w:p>
    <w:tbl>
      <w:tblPr>
        <w:tblW w:w="446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3740"/>
      </w:tblGrid>
      <w:tr w:rsidR="00A501E1" w:rsidRPr="00F31154" w:rsidTr="00AD494B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1E1" w:rsidRPr="00B74941" w:rsidRDefault="00C26F5B" w:rsidP="00B74941">
            <w:pPr>
              <w:pStyle w:val="PargrafodaLista"/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B74941">
              <w:rPr>
                <w:rFonts w:ascii="Arial" w:hAnsi="Arial" w:cs="Arial"/>
                <w:color w:val="000000"/>
              </w:rPr>
              <w:t>MLO=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01E1" w:rsidRPr="00F31154" w:rsidRDefault="00A501E1" w:rsidP="00A501E1">
            <w:pPr>
              <w:jc w:val="center"/>
              <w:rPr>
                <w:rFonts w:ascii="Arial" w:hAnsi="Arial" w:cs="Arial"/>
                <w:color w:val="000000"/>
              </w:rPr>
            </w:pPr>
            <w:r w:rsidRPr="00F31154">
              <w:rPr>
                <w:rFonts w:ascii="Arial" w:hAnsi="Arial" w:cs="Arial"/>
                <w:color w:val="000000"/>
              </w:rPr>
              <w:t>Lucro Operacional</w:t>
            </w:r>
          </w:p>
        </w:tc>
      </w:tr>
      <w:tr w:rsidR="00A501E1" w:rsidRPr="00F31154" w:rsidTr="00AD494B">
        <w:trPr>
          <w:trHeight w:val="300"/>
        </w:trPr>
        <w:tc>
          <w:tcPr>
            <w:tcW w:w="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1E1" w:rsidRPr="00F31154" w:rsidRDefault="00A501E1" w:rsidP="00A501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1E1" w:rsidRPr="00F31154" w:rsidRDefault="00A501E1" w:rsidP="00A501E1">
            <w:pPr>
              <w:jc w:val="center"/>
              <w:rPr>
                <w:rFonts w:ascii="Arial" w:hAnsi="Arial" w:cs="Arial"/>
                <w:color w:val="000000"/>
              </w:rPr>
            </w:pPr>
            <w:r w:rsidRPr="00F31154">
              <w:rPr>
                <w:rFonts w:ascii="Arial" w:hAnsi="Arial" w:cs="Arial"/>
                <w:color w:val="000000"/>
              </w:rPr>
              <w:t>Receitas de Vendas</w:t>
            </w:r>
          </w:p>
        </w:tc>
      </w:tr>
    </w:tbl>
    <w:p w:rsidR="004C3232" w:rsidRPr="00F31154" w:rsidRDefault="004C3232" w:rsidP="002C2A1A">
      <w:pPr>
        <w:widowControl w:val="0"/>
        <w:spacing w:line="480" w:lineRule="auto"/>
        <w:jc w:val="both"/>
        <w:rPr>
          <w:rFonts w:ascii="Arial" w:hAnsi="Arial" w:cs="Arial"/>
        </w:rPr>
      </w:pPr>
    </w:p>
    <w:p w:rsidR="00CC67B3" w:rsidRPr="00F31154" w:rsidRDefault="00441012" w:rsidP="00CC67B3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Para um melhor desempenho operacional da empresa é preferível que a margem do lucro operacional seja </w:t>
      </w:r>
      <w:r w:rsidR="00C26F5B" w:rsidRPr="00F31154">
        <w:rPr>
          <w:rFonts w:ascii="Arial" w:hAnsi="Arial" w:cs="Arial"/>
        </w:rPr>
        <w:t>elevada, dessa forma a operação da empresa</w:t>
      </w:r>
      <w:r w:rsidRPr="00F31154">
        <w:rPr>
          <w:rFonts w:ascii="Arial" w:hAnsi="Arial" w:cs="Arial"/>
        </w:rPr>
        <w:t xml:space="preserve"> é saudável.</w:t>
      </w:r>
    </w:p>
    <w:p w:rsidR="00441012" w:rsidRPr="00F31154" w:rsidRDefault="00441012" w:rsidP="00C372C6">
      <w:pPr>
        <w:widowControl w:val="0"/>
        <w:spacing w:line="480" w:lineRule="auto"/>
        <w:ind w:firstLine="1134"/>
        <w:jc w:val="both"/>
        <w:rPr>
          <w:rFonts w:ascii="Arial" w:hAnsi="Arial" w:cs="Arial"/>
        </w:rPr>
      </w:pPr>
    </w:p>
    <w:p w:rsidR="00D27782" w:rsidRPr="00F31154" w:rsidRDefault="009A6BB9" w:rsidP="003A172A">
      <w:pPr>
        <w:widowControl w:val="0"/>
        <w:spacing w:line="360" w:lineRule="auto"/>
        <w:jc w:val="both"/>
        <w:rPr>
          <w:rFonts w:ascii="Arial" w:hAnsi="Arial" w:cs="Arial"/>
          <w:b/>
        </w:rPr>
      </w:pPr>
      <w:r w:rsidRPr="00F31154">
        <w:rPr>
          <w:rFonts w:ascii="Arial" w:hAnsi="Arial" w:cs="Arial"/>
          <w:b/>
        </w:rPr>
        <w:t>2.6</w:t>
      </w:r>
      <w:r w:rsidR="00D27782" w:rsidRPr="00F31154">
        <w:rPr>
          <w:rFonts w:ascii="Arial" w:hAnsi="Arial" w:cs="Arial"/>
          <w:b/>
        </w:rPr>
        <w:t>.3.3 Margem do Lucro Líquido (MLL)</w:t>
      </w:r>
    </w:p>
    <w:p w:rsidR="00D27782" w:rsidRPr="00F31154" w:rsidRDefault="00D27782" w:rsidP="00C372C6">
      <w:pPr>
        <w:widowControl w:val="0"/>
        <w:spacing w:line="480" w:lineRule="auto"/>
        <w:jc w:val="both"/>
        <w:rPr>
          <w:rFonts w:ascii="Arial" w:hAnsi="Arial" w:cs="Arial"/>
        </w:rPr>
      </w:pPr>
    </w:p>
    <w:p w:rsidR="002F2BA0" w:rsidRPr="00F31154" w:rsidRDefault="002F2BA0" w:rsidP="005539BE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Este Índice mede a renda por unidade monetária de vendas remanescente após a dedução de todos os custos e despesas; ele é calculado      </w:t>
      </w:r>
      <w:r w:rsidRPr="00F31154">
        <w:rPr>
          <w:rFonts w:ascii="Arial" w:hAnsi="Arial" w:cs="Arial"/>
        </w:rPr>
        <w:lastRenderedPageBreak/>
        <w:t xml:space="preserve">dividindo-se a </w:t>
      </w:r>
      <w:r w:rsidR="00D741EF" w:rsidRPr="00F31154">
        <w:rPr>
          <w:rFonts w:ascii="Arial" w:hAnsi="Arial" w:cs="Arial"/>
        </w:rPr>
        <w:t>renda líquida pelas vendas, (GI</w:t>
      </w:r>
      <w:r w:rsidRPr="00F31154">
        <w:rPr>
          <w:rFonts w:ascii="Arial" w:hAnsi="Arial" w:cs="Arial"/>
        </w:rPr>
        <w:t>TMAN 2010</w:t>
      </w:r>
      <w:r w:rsidR="00C26F5B" w:rsidRPr="00F31154">
        <w:rPr>
          <w:rFonts w:ascii="Arial" w:hAnsi="Arial" w:cs="Arial"/>
        </w:rPr>
        <w:t>, p. 59</w:t>
      </w:r>
      <w:r w:rsidRPr="00F31154">
        <w:rPr>
          <w:rFonts w:ascii="Arial" w:hAnsi="Arial" w:cs="Arial"/>
        </w:rPr>
        <w:t>). Calcula-se da seguinte forma:</w:t>
      </w:r>
    </w:p>
    <w:p w:rsidR="003014BD" w:rsidRPr="00F31154" w:rsidRDefault="003014BD" w:rsidP="002C2A1A">
      <w:pPr>
        <w:widowControl w:val="0"/>
        <w:spacing w:line="480" w:lineRule="auto"/>
        <w:ind w:firstLine="1134"/>
        <w:jc w:val="both"/>
        <w:rPr>
          <w:rFonts w:ascii="Arial" w:hAnsi="Arial" w:cs="Arial"/>
        </w:rPr>
      </w:pPr>
    </w:p>
    <w:tbl>
      <w:tblPr>
        <w:tblW w:w="36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8"/>
        <w:gridCol w:w="2883"/>
      </w:tblGrid>
      <w:tr w:rsidR="002F2BA0" w:rsidRPr="00F31154" w:rsidTr="00AD494B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BA0" w:rsidRPr="00B74941" w:rsidRDefault="00C26F5B" w:rsidP="00B74941">
            <w:pPr>
              <w:pStyle w:val="PargrafodaLista"/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B74941">
              <w:rPr>
                <w:rFonts w:ascii="Arial" w:hAnsi="Arial" w:cs="Arial"/>
                <w:color w:val="000000"/>
              </w:rPr>
              <w:t>MLL=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2BA0" w:rsidRPr="00F31154" w:rsidRDefault="002F2BA0" w:rsidP="004853DA">
            <w:pPr>
              <w:jc w:val="center"/>
              <w:rPr>
                <w:rFonts w:ascii="Arial" w:hAnsi="Arial" w:cs="Arial"/>
                <w:color w:val="000000"/>
              </w:rPr>
            </w:pPr>
            <w:r w:rsidRPr="00F31154">
              <w:rPr>
                <w:rFonts w:ascii="Arial" w:hAnsi="Arial" w:cs="Arial"/>
                <w:color w:val="000000"/>
              </w:rPr>
              <w:t>Lucro Líquido</w:t>
            </w:r>
          </w:p>
        </w:tc>
      </w:tr>
      <w:tr w:rsidR="002F2BA0" w:rsidRPr="00F31154" w:rsidTr="00AD494B">
        <w:trPr>
          <w:trHeight w:val="300"/>
        </w:trPr>
        <w:tc>
          <w:tcPr>
            <w:tcW w:w="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BA0" w:rsidRPr="00F31154" w:rsidRDefault="002F2BA0" w:rsidP="004853D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BA0" w:rsidRPr="00F31154" w:rsidRDefault="002F2BA0" w:rsidP="004853DA">
            <w:pPr>
              <w:jc w:val="center"/>
              <w:rPr>
                <w:rFonts w:ascii="Arial" w:hAnsi="Arial" w:cs="Arial"/>
                <w:color w:val="000000"/>
              </w:rPr>
            </w:pPr>
            <w:r w:rsidRPr="00F31154">
              <w:rPr>
                <w:rFonts w:ascii="Arial" w:hAnsi="Arial" w:cs="Arial"/>
                <w:color w:val="000000"/>
              </w:rPr>
              <w:t>Receitas de Vendas</w:t>
            </w:r>
          </w:p>
        </w:tc>
      </w:tr>
    </w:tbl>
    <w:p w:rsidR="002F2BA0" w:rsidRPr="00F31154" w:rsidRDefault="002F2BA0" w:rsidP="002C2A1A">
      <w:pPr>
        <w:widowControl w:val="0"/>
        <w:spacing w:line="480" w:lineRule="auto"/>
        <w:jc w:val="both"/>
        <w:rPr>
          <w:rFonts w:ascii="Arial" w:hAnsi="Arial" w:cs="Arial"/>
        </w:rPr>
      </w:pPr>
    </w:p>
    <w:p w:rsidR="00441012" w:rsidRDefault="00644EFE" w:rsidP="00441012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>Quanto mais elevada essa margem, melhor o resultado da empresa, mostrando o sucesso da empresa em relação ao lucro líquido obtido</w:t>
      </w:r>
      <w:r w:rsidR="00175A19" w:rsidRPr="00F31154">
        <w:rPr>
          <w:rFonts w:ascii="Arial" w:hAnsi="Arial" w:cs="Arial"/>
        </w:rPr>
        <w:t xml:space="preserve"> das vendas.</w:t>
      </w:r>
    </w:p>
    <w:p w:rsidR="003B5366" w:rsidRPr="00F31154" w:rsidRDefault="003B5366" w:rsidP="003B5366">
      <w:pPr>
        <w:widowControl w:val="0"/>
        <w:spacing w:line="480" w:lineRule="auto"/>
        <w:ind w:firstLine="1134"/>
        <w:jc w:val="both"/>
        <w:rPr>
          <w:rFonts w:ascii="Arial" w:hAnsi="Arial" w:cs="Arial"/>
        </w:rPr>
      </w:pPr>
    </w:p>
    <w:p w:rsidR="002F2BA0" w:rsidRDefault="002F2BA0" w:rsidP="002F2BA0">
      <w:pPr>
        <w:widowControl w:val="0"/>
        <w:spacing w:line="360" w:lineRule="auto"/>
        <w:jc w:val="both"/>
        <w:rPr>
          <w:rFonts w:ascii="Arial" w:hAnsi="Arial" w:cs="Arial"/>
          <w:b/>
        </w:rPr>
      </w:pPr>
      <w:r w:rsidRPr="00F31154">
        <w:rPr>
          <w:rFonts w:ascii="Arial" w:hAnsi="Arial" w:cs="Arial"/>
          <w:b/>
        </w:rPr>
        <w:t>2.</w:t>
      </w:r>
      <w:r w:rsidR="009A6BB9" w:rsidRPr="00F31154">
        <w:rPr>
          <w:rFonts w:ascii="Arial" w:hAnsi="Arial" w:cs="Arial"/>
          <w:b/>
        </w:rPr>
        <w:t>6</w:t>
      </w:r>
      <w:r w:rsidRPr="00F31154">
        <w:rPr>
          <w:rFonts w:ascii="Arial" w:hAnsi="Arial" w:cs="Arial"/>
          <w:b/>
        </w:rPr>
        <w:t>.3.4 Lucro por Ação (LPA)</w:t>
      </w:r>
    </w:p>
    <w:p w:rsidR="009B621E" w:rsidRPr="00F31154" w:rsidRDefault="009B621E" w:rsidP="009B621E">
      <w:pPr>
        <w:widowControl w:val="0"/>
        <w:spacing w:line="480" w:lineRule="auto"/>
        <w:jc w:val="both"/>
        <w:rPr>
          <w:rFonts w:ascii="Arial" w:hAnsi="Arial" w:cs="Arial"/>
          <w:b/>
        </w:rPr>
      </w:pPr>
    </w:p>
    <w:p w:rsidR="002F2BA0" w:rsidRPr="00F31154" w:rsidRDefault="002F2BA0" w:rsidP="002F2BA0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>Representa o valor em dinheiro ganho por ação ordinária em circulação. É calculado da seguinte forma:</w:t>
      </w:r>
    </w:p>
    <w:p w:rsidR="002F2BA0" w:rsidRPr="00F31154" w:rsidRDefault="002F2BA0" w:rsidP="002C2A1A">
      <w:pPr>
        <w:widowControl w:val="0"/>
        <w:spacing w:line="480" w:lineRule="auto"/>
        <w:jc w:val="both"/>
        <w:rPr>
          <w:rFonts w:ascii="Arial" w:hAnsi="Arial" w:cs="Arial"/>
        </w:rPr>
      </w:pPr>
    </w:p>
    <w:tbl>
      <w:tblPr>
        <w:tblW w:w="576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4"/>
        <w:gridCol w:w="5040"/>
      </w:tblGrid>
      <w:tr w:rsidR="002F2BA0" w:rsidRPr="00F31154" w:rsidTr="00ED705A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BA0" w:rsidRPr="00B74941" w:rsidRDefault="001A742C" w:rsidP="00B74941">
            <w:pPr>
              <w:pStyle w:val="PargrafodaLista"/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B74941">
              <w:rPr>
                <w:rFonts w:ascii="Arial" w:hAnsi="Arial" w:cs="Arial"/>
                <w:color w:val="000000"/>
              </w:rPr>
              <w:t>LPA=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2BA0" w:rsidRPr="00F31154" w:rsidRDefault="002F2BA0" w:rsidP="002F2BA0">
            <w:pPr>
              <w:jc w:val="center"/>
              <w:rPr>
                <w:rFonts w:ascii="Arial" w:hAnsi="Arial" w:cs="Arial"/>
                <w:color w:val="000000"/>
              </w:rPr>
            </w:pPr>
            <w:r w:rsidRPr="00F31154">
              <w:rPr>
                <w:rFonts w:ascii="Arial" w:hAnsi="Arial" w:cs="Arial"/>
                <w:color w:val="000000"/>
              </w:rPr>
              <w:t>Lucro disponível para os acionistas ordinários</w:t>
            </w:r>
          </w:p>
        </w:tc>
      </w:tr>
      <w:tr w:rsidR="002F2BA0" w:rsidRPr="00F31154" w:rsidTr="00ED705A">
        <w:trPr>
          <w:trHeight w:val="300"/>
        </w:trPr>
        <w:tc>
          <w:tcPr>
            <w:tcW w:w="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BA0" w:rsidRPr="00F31154" w:rsidRDefault="002F2BA0" w:rsidP="002F2BA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BA0" w:rsidRPr="00F31154" w:rsidRDefault="002F2BA0" w:rsidP="002F2BA0">
            <w:pPr>
              <w:jc w:val="center"/>
              <w:rPr>
                <w:rFonts w:ascii="Arial" w:hAnsi="Arial" w:cs="Arial"/>
                <w:color w:val="000000"/>
              </w:rPr>
            </w:pPr>
            <w:r w:rsidRPr="00F31154">
              <w:rPr>
                <w:rFonts w:ascii="Arial" w:hAnsi="Arial" w:cs="Arial"/>
                <w:color w:val="000000"/>
              </w:rPr>
              <w:t>Nº de Ações Ordinárias</w:t>
            </w:r>
          </w:p>
        </w:tc>
      </w:tr>
      <w:tr w:rsidR="005539BE" w:rsidRPr="00F31154" w:rsidTr="00ED705A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39BE" w:rsidRPr="00F31154" w:rsidRDefault="005539BE" w:rsidP="003B5366">
            <w:pPr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5A19" w:rsidRPr="00F31154" w:rsidRDefault="00175A19" w:rsidP="002C2A1A">
            <w:pPr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175A19" w:rsidRDefault="00175A19" w:rsidP="00175A19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Segundo </w:t>
      </w:r>
      <w:proofErr w:type="spellStart"/>
      <w:r w:rsidRPr="00F31154">
        <w:rPr>
          <w:rFonts w:ascii="Arial" w:hAnsi="Arial" w:cs="Arial"/>
        </w:rPr>
        <w:t>Gitman</w:t>
      </w:r>
      <w:proofErr w:type="spellEnd"/>
      <w:r w:rsidRPr="00F31154">
        <w:rPr>
          <w:rFonts w:ascii="Arial" w:hAnsi="Arial" w:cs="Arial"/>
        </w:rPr>
        <w:t xml:space="preserve"> (2010</w:t>
      </w:r>
      <w:r w:rsidR="001A742C" w:rsidRPr="00F31154">
        <w:rPr>
          <w:rFonts w:ascii="Arial" w:hAnsi="Arial" w:cs="Arial"/>
        </w:rPr>
        <w:t>, p. 60</w:t>
      </w:r>
      <w:r w:rsidRPr="00F31154">
        <w:rPr>
          <w:rFonts w:ascii="Arial" w:hAnsi="Arial" w:cs="Arial"/>
        </w:rPr>
        <w:t>), o lucro por ação representa o número de unidades monetárias ganhas durante o período para cada ação ordinária em circulação.</w:t>
      </w:r>
    </w:p>
    <w:p w:rsidR="004C59A5" w:rsidRPr="00F31154" w:rsidRDefault="004C59A5" w:rsidP="00C372C6">
      <w:pPr>
        <w:widowControl w:val="0"/>
        <w:spacing w:line="480" w:lineRule="auto"/>
        <w:ind w:firstLine="1134"/>
        <w:jc w:val="both"/>
        <w:rPr>
          <w:rFonts w:ascii="Arial" w:hAnsi="Arial" w:cs="Arial"/>
        </w:rPr>
      </w:pPr>
    </w:p>
    <w:p w:rsidR="008E684A" w:rsidRPr="00F31154" w:rsidRDefault="00175A19" w:rsidP="002F2BA0">
      <w:pPr>
        <w:widowControl w:val="0"/>
        <w:spacing w:line="360" w:lineRule="auto"/>
        <w:jc w:val="both"/>
        <w:rPr>
          <w:rFonts w:ascii="Arial" w:hAnsi="Arial" w:cs="Arial"/>
          <w:b/>
        </w:rPr>
      </w:pPr>
      <w:r w:rsidRPr="00F31154">
        <w:rPr>
          <w:rFonts w:ascii="Arial" w:hAnsi="Arial" w:cs="Arial"/>
          <w:b/>
        </w:rPr>
        <w:t>2.</w:t>
      </w:r>
      <w:r w:rsidR="009A6BB9" w:rsidRPr="00F31154">
        <w:rPr>
          <w:rFonts w:ascii="Arial" w:hAnsi="Arial" w:cs="Arial"/>
          <w:b/>
        </w:rPr>
        <w:t>6</w:t>
      </w:r>
      <w:r w:rsidR="008E684A" w:rsidRPr="00F31154">
        <w:rPr>
          <w:rFonts w:ascii="Arial" w:hAnsi="Arial" w:cs="Arial"/>
          <w:b/>
        </w:rPr>
        <w:t>.3.5 Retorno sobre o Ativo Total (ROA)</w:t>
      </w:r>
    </w:p>
    <w:p w:rsidR="008E684A" w:rsidRPr="00F31154" w:rsidRDefault="008E684A" w:rsidP="00C372C6">
      <w:pPr>
        <w:widowControl w:val="0"/>
        <w:spacing w:line="480" w:lineRule="auto"/>
        <w:jc w:val="both"/>
        <w:rPr>
          <w:rFonts w:ascii="Arial" w:hAnsi="Arial" w:cs="Arial"/>
        </w:rPr>
      </w:pPr>
    </w:p>
    <w:p w:rsidR="008E684A" w:rsidRPr="00F31154" w:rsidRDefault="008E684A" w:rsidP="008E684A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Segundo </w:t>
      </w:r>
      <w:proofErr w:type="spellStart"/>
      <w:r w:rsidR="00992C00">
        <w:rPr>
          <w:rFonts w:ascii="Arial" w:hAnsi="Arial" w:cs="Arial"/>
        </w:rPr>
        <w:t>Gitman</w:t>
      </w:r>
      <w:proofErr w:type="spellEnd"/>
      <w:r w:rsidRPr="00F31154">
        <w:rPr>
          <w:rFonts w:ascii="Arial" w:hAnsi="Arial" w:cs="Arial"/>
        </w:rPr>
        <w:t xml:space="preserve"> (2010</w:t>
      </w:r>
      <w:r w:rsidR="001A742C" w:rsidRPr="00F31154">
        <w:rPr>
          <w:rFonts w:ascii="Arial" w:hAnsi="Arial" w:cs="Arial"/>
        </w:rPr>
        <w:t>, p. 60</w:t>
      </w:r>
      <w:r w:rsidRPr="00F31154">
        <w:rPr>
          <w:rFonts w:ascii="Arial" w:hAnsi="Arial" w:cs="Arial"/>
        </w:rPr>
        <w:t>), mede a eficácia geral da administração na geração de lucros a partir dos ativos disponíveis, também chamado de retorno do investimento (ROI).</w:t>
      </w:r>
    </w:p>
    <w:p w:rsidR="00A501E1" w:rsidRPr="00F31154" w:rsidRDefault="00A501E1" w:rsidP="002C2A1A">
      <w:pPr>
        <w:widowControl w:val="0"/>
        <w:spacing w:line="480" w:lineRule="auto"/>
        <w:jc w:val="both"/>
        <w:rPr>
          <w:rFonts w:ascii="Arial" w:hAnsi="Arial" w:cs="Arial"/>
        </w:rPr>
      </w:pPr>
    </w:p>
    <w:tbl>
      <w:tblPr>
        <w:tblW w:w="776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2"/>
        <w:gridCol w:w="5487"/>
      </w:tblGrid>
      <w:tr w:rsidR="008E684A" w:rsidRPr="00F31154" w:rsidTr="00B74941">
        <w:trPr>
          <w:trHeight w:val="350"/>
        </w:trPr>
        <w:tc>
          <w:tcPr>
            <w:tcW w:w="22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84A" w:rsidRPr="00B74941" w:rsidRDefault="001A742C" w:rsidP="00B74941">
            <w:pPr>
              <w:pStyle w:val="PargrafodaLista"/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B74941">
              <w:rPr>
                <w:rFonts w:ascii="Arial" w:hAnsi="Arial" w:cs="Arial"/>
                <w:color w:val="000000"/>
              </w:rPr>
              <w:t>ROA=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684A" w:rsidRPr="00F31154" w:rsidRDefault="008E684A" w:rsidP="008E684A">
            <w:pPr>
              <w:jc w:val="center"/>
              <w:rPr>
                <w:rFonts w:ascii="Arial" w:hAnsi="Arial" w:cs="Arial"/>
                <w:color w:val="000000"/>
              </w:rPr>
            </w:pPr>
            <w:r w:rsidRPr="00F31154">
              <w:rPr>
                <w:rFonts w:ascii="Arial" w:hAnsi="Arial" w:cs="Arial"/>
                <w:color w:val="000000"/>
              </w:rPr>
              <w:t>Lucro disponível para os acionistas ordinários</w:t>
            </w:r>
          </w:p>
        </w:tc>
      </w:tr>
      <w:tr w:rsidR="008E684A" w:rsidRPr="00F31154" w:rsidTr="00B74941">
        <w:trPr>
          <w:trHeight w:val="350"/>
        </w:trPr>
        <w:tc>
          <w:tcPr>
            <w:tcW w:w="22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684A" w:rsidRPr="00F31154" w:rsidRDefault="008E684A" w:rsidP="008E684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84A" w:rsidRPr="00F31154" w:rsidRDefault="008E684A" w:rsidP="008E684A">
            <w:pPr>
              <w:jc w:val="center"/>
              <w:rPr>
                <w:rFonts w:ascii="Arial" w:hAnsi="Arial" w:cs="Arial"/>
                <w:color w:val="000000"/>
              </w:rPr>
            </w:pPr>
            <w:r w:rsidRPr="00F31154">
              <w:rPr>
                <w:rFonts w:ascii="Arial" w:hAnsi="Arial" w:cs="Arial"/>
                <w:color w:val="000000"/>
              </w:rPr>
              <w:t>Ativo Total</w:t>
            </w:r>
          </w:p>
        </w:tc>
      </w:tr>
    </w:tbl>
    <w:p w:rsidR="008E684A" w:rsidRPr="00F31154" w:rsidRDefault="008E684A" w:rsidP="002C2A1A">
      <w:pPr>
        <w:widowControl w:val="0"/>
        <w:spacing w:line="480" w:lineRule="auto"/>
        <w:jc w:val="both"/>
        <w:rPr>
          <w:rFonts w:ascii="Arial" w:hAnsi="Arial" w:cs="Arial"/>
        </w:rPr>
      </w:pPr>
    </w:p>
    <w:p w:rsidR="00175A19" w:rsidRPr="00F31154" w:rsidRDefault="00175A19" w:rsidP="00175A19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Quanto mais alto esse retorno do ativo, melhor para os proprietários. Ou </w:t>
      </w:r>
      <w:r w:rsidRPr="00F31154">
        <w:rPr>
          <w:rFonts w:ascii="Arial" w:hAnsi="Arial" w:cs="Arial"/>
        </w:rPr>
        <w:lastRenderedPageBreak/>
        <w:t>seja, os empresários estão ganhando n vezes em cada valor investido na empresa.</w:t>
      </w:r>
    </w:p>
    <w:p w:rsidR="00175A19" w:rsidRPr="00F31154" w:rsidRDefault="00175A19" w:rsidP="00C372C6">
      <w:pPr>
        <w:widowControl w:val="0"/>
        <w:spacing w:line="480" w:lineRule="auto"/>
        <w:ind w:firstLine="1134"/>
        <w:jc w:val="both"/>
        <w:rPr>
          <w:rFonts w:ascii="Arial" w:hAnsi="Arial" w:cs="Arial"/>
        </w:rPr>
      </w:pPr>
    </w:p>
    <w:p w:rsidR="008E684A" w:rsidRPr="00F31154" w:rsidRDefault="00175A19" w:rsidP="003A172A">
      <w:pPr>
        <w:widowControl w:val="0"/>
        <w:spacing w:line="360" w:lineRule="auto"/>
        <w:jc w:val="both"/>
        <w:rPr>
          <w:rFonts w:ascii="Arial" w:hAnsi="Arial" w:cs="Arial"/>
          <w:b/>
        </w:rPr>
      </w:pPr>
      <w:r w:rsidRPr="00F31154">
        <w:rPr>
          <w:rFonts w:ascii="Arial" w:hAnsi="Arial" w:cs="Arial"/>
          <w:b/>
        </w:rPr>
        <w:t>2.</w:t>
      </w:r>
      <w:r w:rsidR="009A6BB9" w:rsidRPr="00F31154">
        <w:rPr>
          <w:rFonts w:ascii="Arial" w:hAnsi="Arial" w:cs="Arial"/>
          <w:b/>
        </w:rPr>
        <w:t>6</w:t>
      </w:r>
      <w:r w:rsidR="008E684A" w:rsidRPr="00F31154">
        <w:rPr>
          <w:rFonts w:ascii="Arial" w:hAnsi="Arial" w:cs="Arial"/>
          <w:b/>
        </w:rPr>
        <w:t>.3.6 Retorno sobre o Capital Próprio (ROE)</w:t>
      </w:r>
    </w:p>
    <w:p w:rsidR="008E684A" w:rsidRPr="00F31154" w:rsidRDefault="008E684A" w:rsidP="00C372C6">
      <w:pPr>
        <w:widowControl w:val="0"/>
        <w:spacing w:line="480" w:lineRule="auto"/>
        <w:jc w:val="both"/>
        <w:rPr>
          <w:rFonts w:ascii="Arial" w:hAnsi="Arial" w:cs="Arial"/>
        </w:rPr>
      </w:pPr>
    </w:p>
    <w:p w:rsidR="009A3087" w:rsidRPr="00F31154" w:rsidRDefault="006A655C" w:rsidP="00377281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É um dos </w:t>
      </w:r>
      <w:r w:rsidR="009B621E">
        <w:rPr>
          <w:rFonts w:ascii="Arial" w:hAnsi="Arial" w:cs="Arial"/>
        </w:rPr>
        <w:t>índices</w:t>
      </w:r>
      <w:r w:rsidRPr="00F31154">
        <w:rPr>
          <w:rFonts w:ascii="Arial" w:hAnsi="Arial" w:cs="Arial"/>
        </w:rPr>
        <w:t xml:space="preserve"> mais </w:t>
      </w:r>
      <w:r w:rsidR="009B621E">
        <w:rPr>
          <w:rFonts w:ascii="Arial" w:hAnsi="Arial" w:cs="Arial"/>
        </w:rPr>
        <w:t>observado</w:t>
      </w:r>
      <w:r w:rsidRPr="00F31154">
        <w:rPr>
          <w:rFonts w:ascii="Arial" w:hAnsi="Arial" w:cs="Arial"/>
        </w:rPr>
        <w:t xml:space="preserve"> pelos acionistas da empresa por se tratar de uma análise de rentabilidade de investimentos, ou seja, do capital próprio. </w:t>
      </w:r>
    </w:p>
    <w:p w:rsidR="008E684A" w:rsidRPr="00F31154" w:rsidRDefault="006A655C" w:rsidP="00377281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>M</w:t>
      </w:r>
      <w:r w:rsidR="004C3232" w:rsidRPr="00F31154">
        <w:rPr>
          <w:rFonts w:ascii="Arial" w:hAnsi="Arial" w:cs="Arial"/>
        </w:rPr>
        <w:t>ede a eficácia geral da administração de uma empresa em termos de geração de lucros com os ativos disponíveis, (MARION</w:t>
      </w:r>
      <w:r w:rsidR="00072976" w:rsidRPr="00F31154">
        <w:rPr>
          <w:rFonts w:ascii="Arial" w:hAnsi="Arial" w:cs="Arial"/>
        </w:rPr>
        <w:t>, 2012 p. 132</w:t>
      </w:r>
      <w:r w:rsidR="004C3232" w:rsidRPr="00F31154">
        <w:rPr>
          <w:rFonts w:ascii="Arial" w:hAnsi="Arial" w:cs="Arial"/>
        </w:rPr>
        <w:t>).</w:t>
      </w:r>
    </w:p>
    <w:p w:rsidR="008E684A" w:rsidRPr="00F31154" w:rsidRDefault="008E684A" w:rsidP="003B5366">
      <w:pPr>
        <w:widowControl w:val="0"/>
        <w:spacing w:line="480" w:lineRule="auto"/>
        <w:jc w:val="both"/>
        <w:rPr>
          <w:rFonts w:ascii="Arial" w:hAnsi="Arial" w:cs="Arial"/>
        </w:rPr>
      </w:pPr>
    </w:p>
    <w:tbl>
      <w:tblPr>
        <w:tblW w:w="73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5040"/>
      </w:tblGrid>
      <w:tr w:rsidR="008E684A" w:rsidRPr="00F31154" w:rsidTr="00B74941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84A" w:rsidRPr="00B74941" w:rsidRDefault="0050611D" w:rsidP="00B74941">
            <w:pPr>
              <w:pStyle w:val="PargrafodaLista"/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B74941">
              <w:rPr>
                <w:rFonts w:ascii="Arial" w:hAnsi="Arial" w:cs="Arial"/>
                <w:color w:val="000000"/>
              </w:rPr>
              <w:t>ROE=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684A" w:rsidRPr="00F31154" w:rsidRDefault="008E684A" w:rsidP="008E684A">
            <w:pPr>
              <w:jc w:val="center"/>
              <w:rPr>
                <w:rFonts w:ascii="Arial" w:hAnsi="Arial" w:cs="Arial"/>
                <w:color w:val="000000"/>
              </w:rPr>
            </w:pPr>
            <w:r w:rsidRPr="00F31154">
              <w:rPr>
                <w:rFonts w:ascii="Arial" w:hAnsi="Arial" w:cs="Arial"/>
                <w:color w:val="000000"/>
              </w:rPr>
              <w:t>Lucro disponível para os acionistas ordinários</w:t>
            </w:r>
          </w:p>
        </w:tc>
      </w:tr>
      <w:tr w:rsidR="008E684A" w:rsidRPr="00F31154" w:rsidTr="00B74941">
        <w:trPr>
          <w:trHeight w:val="300"/>
        </w:trPr>
        <w:tc>
          <w:tcPr>
            <w:tcW w:w="2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684A" w:rsidRPr="00F31154" w:rsidRDefault="008E684A" w:rsidP="008E684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84A" w:rsidRPr="00F31154" w:rsidRDefault="008E684A" w:rsidP="008E684A">
            <w:pPr>
              <w:jc w:val="center"/>
              <w:rPr>
                <w:rFonts w:ascii="Arial" w:hAnsi="Arial" w:cs="Arial"/>
                <w:color w:val="000000"/>
              </w:rPr>
            </w:pPr>
            <w:r w:rsidRPr="00F31154">
              <w:rPr>
                <w:rFonts w:ascii="Arial" w:hAnsi="Arial" w:cs="Arial"/>
                <w:color w:val="000000"/>
              </w:rPr>
              <w:t>Patrimônio líquido dos acionistas ordinários</w:t>
            </w:r>
          </w:p>
        </w:tc>
      </w:tr>
    </w:tbl>
    <w:p w:rsidR="002C2A1A" w:rsidRDefault="002C2A1A" w:rsidP="002C2A1A">
      <w:pPr>
        <w:widowControl w:val="0"/>
        <w:spacing w:line="480" w:lineRule="auto"/>
        <w:ind w:firstLine="1134"/>
        <w:jc w:val="both"/>
        <w:rPr>
          <w:rFonts w:ascii="Arial" w:hAnsi="Arial" w:cs="Arial"/>
        </w:rPr>
      </w:pPr>
    </w:p>
    <w:p w:rsidR="00BA3A91" w:rsidRDefault="006A4A47" w:rsidP="00175A19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Quanto </w:t>
      </w:r>
      <w:r w:rsidR="009B621E">
        <w:rPr>
          <w:rFonts w:ascii="Arial" w:hAnsi="Arial" w:cs="Arial"/>
        </w:rPr>
        <w:t>mais elevado</w:t>
      </w:r>
      <w:r w:rsidRPr="00F31154">
        <w:rPr>
          <w:rFonts w:ascii="Arial" w:hAnsi="Arial" w:cs="Arial"/>
        </w:rPr>
        <w:t xml:space="preserve"> o valor desse retorno melhor, os seja os acionista</w:t>
      </w:r>
      <w:r w:rsidR="00C27795" w:rsidRPr="00F31154">
        <w:rPr>
          <w:rFonts w:ascii="Arial" w:hAnsi="Arial" w:cs="Arial"/>
        </w:rPr>
        <w:t>s</w:t>
      </w:r>
      <w:r w:rsidRPr="00F31154">
        <w:rPr>
          <w:rFonts w:ascii="Arial" w:hAnsi="Arial" w:cs="Arial"/>
        </w:rPr>
        <w:t xml:space="preserve"> recupera mais </w:t>
      </w:r>
      <w:proofErr w:type="gramStart"/>
      <w:r w:rsidR="00AB43A0">
        <w:rPr>
          <w:rFonts w:ascii="Arial" w:hAnsi="Arial" w:cs="Arial"/>
        </w:rPr>
        <w:t>rápido</w:t>
      </w:r>
      <w:proofErr w:type="gramEnd"/>
      <w:r w:rsidRPr="00F31154">
        <w:rPr>
          <w:rFonts w:ascii="Arial" w:hAnsi="Arial" w:cs="Arial"/>
        </w:rPr>
        <w:t xml:space="preserve"> o valor investido de seu capital próprio.</w:t>
      </w:r>
    </w:p>
    <w:p w:rsidR="009B621E" w:rsidRDefault="009B621E" w:rsidP="009B621E">
      <w:pPr>
        <w:widowControl w:val="0"/>
        <w:spacing w:line="480" w:lineRule="auto"/>
        <w:jc w:val="both"/>
        <w:rPr>
          <w:rFonts w:ascii="Arial" w:hAnsi="Arial" w:cs="Arial"/>
        </w:rPr>
      </w:pPr>
    </w:p>
    <w:p w:rsidR="00F31154" w:rsidRPr="00F31154" w:rsidRDefault="00DE1B92" w:rsidP="00F31154">
      <w:pPr>
        <w:pStyle w:val="PargrafodaLista"/>
        <w:numPr>
          <w:ilvl w:val="0"/>
          <w:numId w:val="37"/>
        </w:numPr>
        <w:rPr>
          <w:rFonts w:ascii="Arial" w:hAnsi="Arial" w:cs="Arial"/>
          <w:b/>
        </w:rPr>
      </w:pPr>
      <w:r w:rsidRPr="00F31154">
        <w:rPr>
          <w:rFonts w:ascii="Arial" w:hAnsi="Arial" w:cs="Arial"/>
          <w:b/>
        </w:rPr>
        <w:t>METODOLOGIA</w:t>
      </w:r>
    </w:p>
    <w:p w:rsidR="007D31DB" w:rsidRPr="00F31154" w:rsidRDefault="007D31DB" w:rsidP="00C372C6">
      <w:pPr>
        <w:tabs>
          <w:tab w:val="left" w:pos="2393"/>
          <w:tab w:val="left" w:pos="3600"/>
        </w:tabs>
        <w:spacing w:line="480" w:lineRule="auto"/>
        <w:contextualSpacing/>
        <w:rPr>
          <w:rFonts w:ascii="Arial" w:hAnsi="Arial" w:cs="Arial"/>
          <w:b/>
        </w:rPr>
      </w:pPr>
    </w:p>
    <w:p w:rsidR="005C0A50" w:rsidRDefault="008E507F" w:rsidP="005659F3">
      <w:pPr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>O</w:t>
      </w:r>
      <w:r w:rsidR="00955DBE">
        <w:rPr>
          <w:rFonts w:ascii="Arial" w:hAnsi="Arial" w:cs="Arial"/>
        </w:rPr>
        <w:t xml:space="preserve"> </w:t>
      </w:r>
      <w:r w:rsidRPr="00F31154">
        <w:rPr>
          <w:rFonts w:ascii="Arial" w:hAnsi="Arial" w:cs="Arial"/>
        </w:rPr>
        <w:t xml:space="preserve">presente </w:t>
      </w:r>
      <w:r w:rsidR="00BB28E0">
        <w:rPr>
          <w:rFonts w:ascii="Arial" w:hAnsi="Arial" w:cs="Arial"/>
        </w:rPr>
        <w:t>trabalho</w:t>
      </w:r>
      <w:r w:rsidRPr="00F31154">
        <w:rPr>
          <w:rFonts w:ascii="Arial" w:hAnsi="Arial" w:cs="Arial"/>
        </w:rPr>
        <w:t xml:space="preserve"> </w:t>
      </w:r>
      <w:r w:rsidR="00BB28E0">
        <w:rPr>
          <w:rFonts w:ascii="Arial" w:hAnsi="Arial" w:cs="Arial"/>
        </w:rPr>
        <w:t>refere</w:t>
      </w:r>
      <w:r w:rsidR="005659F3" w:rsidRPr="00F31154">
        <w:rPr>
          <w:rFonts w:ascii="Arial" w:hAnsi="Arial" w:cs="Arial"/>
        </w:rPr>
        <w:t>-se de uma pesquisa</w:t>
      </w:r>
      <w:r w:rsidR="005D5D4F" w:rsidRPr="00F31154">
        <w:rPr>
          <w:rFonts w:ascii="Arial" w:hAnsi="Arial" w:cs="Arial"/>
        </w:rPr>
        <w:t>, documental</w:t>
      </w:r>
      <w:r w:rsidR="003256B7" w:rsidRPr="00F31154">
        <w:rPr>
          <w:rFonts w:ascii="Arial" w:hAnsi="Arial" w:cs="Arial"/>
        </w:rPr>
        <w:t>,</w:t>
      </w:r>
      <w:r w:rsidR="005659F3" w:rsidRPr="00F31154">
        <w:rPr>
          <w:rFonts w:ascii="Arial" w:hAnsi="Arial" w:cs="Arial"/>
        </w:rPr>
        <w:t xml:space="preserve"> </w:t>
      </w:r>
      <w:r w:rsidR="00E21273">
        <w:rPr>
          <w:rFonts w:ascii="Arial" w:hAnsi="Arial" w:cs="Arial"/>
        </w:rPr>
        <w:t xml:space="preserve">tendo como base de relatórios </w:t>
      </w:r>
      <w:r w:rsidR="00B71525">
        <w:rPr>
          <w:rFonts w:ascii="Arial" w:hAnsi="Arial" w:cs="Arial"/>
        </w:rPr>
        <w:t xml:space="preserve">do Balanço Patrimonial (BP) e Demonstrativo do Resultado do Exercício (DRE), </w:t>
      </w:r>
      <w:r w:rsidR="00E21273">
        <w:rPr>
          <w:rFonts w:ascii="Arial" w:hAnsi="Arial" w:cs="Arial"/>
        </w:rPr>
        <w:t xml:space="preserve">obtidos </w:t>
      </w:r>
      <w:r w:rsidR="00B71525">
        <w:rPr>
          <w:rFonts w:ascii="Arial" w:hAnsi="Arial" w:cs="Arial"/>
        </w:rPr>
        <w:t>do</w:t>
      </w:r>
      <w:r w:rsidR="00E21273">
        <w:rPr>
          <w:rFonts w:ascii="Arial" w:hAnsi="Arial" w:cs="Arial"/>
        </w:rPr>
        <w:t xml:space="preserve"> site da BOVESPA de uma empresa de cosméticos e perfumaria, como também uma pesquisa </w:t>
      </w:r>
      <w:r w:rsidR="005659F3" w:rsidRPr="00F31154">
        <w:rPr>
          <w:rFonts w:ascii="Arial" w:hAnsi="Arial" w:cs="Arial"/>
        </w:rPr>
        <w:t>descritiva,</w:t>
      </w:r>
      <w:r w:rsidR="00C326DE" w:rsidRPr="00F31154">
        <w:rPr>
          <w:rFonts w:ascii="Arial" w:hAnsi="Arial" w:cs="Arial"/>
        </w:rPr>
        <w:t xml:space="preserve"> quati-</w:t>
      </w:r>
      <w:r w:rsidR="00AF5000" w:rsidRPr="00F31154">
        <w:rPr>
          <w:rFonts w:ascii="Arial" w:hAnsi="Arial" w:cs="Arial"/>
        </w:rPr>
        <w:t>quantitativa</w:t>
      </w:r>
      <w:r w:rsidR="003256B7" w:rsidRPr="00F31154">
        <w:rPr>
          <w:rFonts w:ascii="Arial" w:hAnsi="Arial" w:cs="Arial"/>
        </w:rPr>
        <w:t xml:space="preserve"> e estudo de caso,</w:t>
      </w:r>
      <w:r w:rsidR="00955DBE">
        <w:rPr>
          <w:rFonts w:ascii="Arial" w:hAnsi="Arial" w:cs="Arial"/>
        </w:rPr>
        <w:t xml:space="preserve"> </w:t>
      </w:r>
      <w:r w:rsidR="00BB28E0">
        <w:rPr>
          <w:rFonts w:ascii="Arial" w:hAnsi="Arial" w:cs="Arial"/>
        </w:rPr>
        <w:t xml:space="preserve">que </w:t>
      </w:r>
      <w:proofErr w:type="gramStart"/>
      <w:r w:rsidR="00BB28E0">
        <w:rPr>
          <w:rFonts w:ascii="Arial" w:hAnsi="Arial" w:cs="Arial"/>
        </w:rPr>
        <w:t>basei</w:t>
      </w:r>
      <w:r w:rsidR="00BB28E0" w:rsidRPr="00F31154">
        <w:rPr>
          <w:rFonts w:ascii="Arial" w:hAnsi="Arial" w:cs="Arial"/>
        </w:rPr>
        <w:t>a-se</w:t>
      </w:r>
      <w:proofErr w:type="gramEnd"/>
      <w:r w:rsidR="005D5D4F" w:rsidRPr="00F31154">
        <w:rPr>
          <w:rFonts w:ascii="Arial" w:hAnsi="Arial" w:cs="Arial"/>
        </w:rPr>
        <w:t xml:space="preserve"> no que Martins (1989) apud Marconi e </w:t>
      </w:r>
      <w:proofErr w:type="spellStart"/>
      <w:r w:rsidR="005D5D4F" w:rsidRPr="00F31154">
        <w:rPr>
          <w:rFonts w:ascii="Arial" w:hAnsi="Arial" w:cs="Arial"/>
        </w:rPr>
        <w:t>Lakatus</w:t>
      </w:r>
      <w:proofErr w:type="spellEnd"/>
      <w:r w:rsidR="005D5D4F" w:rsidRPr="00F31154">
        <w:rPr>
          <w:rFonts w:ascii="Arial" w:hAnsi="Arial" w:cs="Arial"/>
        </w:rPr>
        <w:t xml:space="preserve"> (2011), diz: “a descrição constitui importância significativa no desenvolvimento da pesquisa qualitativa.” </w:t>
      </w:r>
      <w:r w:rsidR="005C0A50" w:rsidRPr="00F31154">
        <w:rPr>
          <w:rFonts w:ascii="Arial" w:hAnsi="Arial" w:cs="Arial"/>
        </w:rPr>
        <w:t xml:space="preserve">Já para Cervo; </w:t>
      </w:r>
      <w:proofErr w:type="spellStart"/>
      <w:r w:rsidR="005C0A50" w:rsidRPr="00F31154">
        <w:rPr>
          <w:rFonts w:ascii="Arial" w:hAnsi="Arial" w:cs="Arial"/>
        </w:rPr>
        <w:t>Bervian</w:t>
      </w:r>
      <w:proofErr w:type="spellEnd"/>
      <w:r w:rsidR="005C0A50" w:rsidRPr="00F31154">
        <w:rPr>
          <w:rFonts w:ascii="Arial" w:hAnsi="Arial" w:cs="Arial"/>
        </w:rPr>
        <w:t xml:space="preserve"> e Silva (2007</w:t>
      </w:r>
      <w:r w:rsidR="00370F1B" w:rsidRPr="00F31154">
        <w:rPr>
          <w:rFonts w:ascii="Arial" w:hAnsi="Arial" w:cs="Arial"/>
        </w:rPr>
        <w:t xml:space="preserve"> p. 32</w:t>
      </w:r>
      <w:r w:rsidR="005C0A50" w:rsidRPr="00F31154">
        <w:rPr>
          <w:rFonts w:ascii="Arial" w:hAnsi="Arial" w:cs="Arial"/>
        </w:rPr>
        <w:t>), “a pesquisa descritiva observa, analisa e correlaciona fatos</w:t>
      </w:r>
      <w:r w:rsidR="00992C00">
        <w:rPr>
          <w:rFonts w:ascii="Arial" w:hAnsi="Arial" w:cs="Arial"/>
        </w:rPr>
        <w:t xml:space="preserve"> ou fenômenos sem manipulá-los”.</w:t>
      </w:r>
    </w:p>
    <w:p w:rsidR="005659F3" w:rsidRPr="00F31154" w:rsidRDefault="005C0A50" w:rsidP="005659F3">
      <w:pPr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>E</w:t>
      </w:r>
      <w:r w:rsidR="00B36CF2" w:rsidRPr="00F31154">
        <w:rPr>
          <w:rFonts w:ascii="Arial" w:hAnsi="Arial" w:cs="Arial"/>
        </w:rPr>
        <w:t xml:space="preserve">ssa pesquisa </w:t>
      </w:r>
      <w:r w:rsidR="005659F3" w:rsidRPr="00F31154">
        <w:rPr>
          <w:rFonts w:ascii="Arial" w:hAnsi="Arial" w:cs="Arial"/>
        </w:rPr>
        <w:t xml:space="preserve">busca o entendimento de índices financeiros através de dados das demonstrações contábeis abordados para uma análise econômica - financeira de uma empresa de cosmético e perfumaria. </w:t>
      </w:r>
      <w:r w:rsidR="00BB28E0">
        <w:rPr>
          <w:rFonts w:ascii="Arial" w:hAnsi="Arial" w:cs="Arial"/>
        </w:rPr>
        <w:t>Segundo</w:t>
      </w:r>
      <w:r w:rsidR="005659F3" w:rsidRPr="00F31154">
        <w:rPr>
          <w:rFonts w:ascii="Arial" w:hAnsi="Arial" w:cs="Arial"/>
        </w:rPr>
        <w:t xml:space="preserve"> </w:t>
      </w:r>
      <w:proofErr w:type="spellStart"/>
      <w:r w:rsidR="005659F3" w:rsidRPr="00F31154">
        <w:rPr>
          <w:rFonts w:ascii="Arial" w:hAnsi="Arial" w:cs="Arial"/>
        </w:rPr>
        <w:t>Gitman</w:t>
      </w:r>
      <w:proofErr w:type="spellEnd"/>
      <w:r w:rsidR="005659F3" w:rsidRPr="00F31154">
        <w:rPr>
          <w:rFonts w:ascii="Arial" w:hAnsi="Arial" w:cs="Arial"/>
        </w:rPr>
        <w:t xml:space="preserve"> (2010</w:t>
      </w:r>
      <w:r w:rsidR="00370F1B" w:rsidRPr="00F31154">
        <w:rPr>
          <w:rFonts w:ascii="Arial" w:hAnsi="Arial" w:cs="Arial"/>
        </w:rPr>
        <w:t xml:space="preserve"> p. 48</w:t>
      </w:r>
      <w:r w:rsidR="005659F3" w:rsidRPr="00F31154">
        <w:rPr>
          <w:rFonts w:ascii="Arial" w:hAnsi="Arial" w:cs="Arial"/>
        </w:rPr>
        <w:t>) diz sobre análise de índice: “envolve métodos de cálculo e interpretação de índices financeiros para analisar e mo</w:t>
      </w:r>
      <w:r w:rsidR="007E38D0" w:rsidRPr="00F31154">
        <w:rPr>
          <w:rFonts w:ascii="Arial" w:hAnsi="Arial" w:cs="Arial"/>
        </w:rPr>
        <w:t>nitorar o desempenho da empresa”.</w:t>
      </w:r>
    </w:p>
    <w:p w:rsidR="005659F3" w:rsidRPr="00F31154" w:rsidRDefault="005659F3" w:rsidP="005659F3">
      <w:pPr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Dessa forma, </w:t>
      </w:r>
      <w:r w:rsidR="008B4402" w:rsidRPr="00F31154">
        <w:rPr>
          <w:rFonts w:ascii="Arial" w:hAnsi="Arial" w:cs="Arial"/>
        </w:rPr>
        <w:t>este</w:t>
      </w:r>
      <w:r w:rsidRPr="00F31154">
        <w:rPr>
          <w:rFonts w:ascii="Arial" w:hAnsi="Arial" w:cs="Arial"/>
        </w:rPr>
        <w:t xml:space="preserve"> artigo pretende </w:t>
      </w:r>
      <w:r w:rsidR="00126D9C">
        <w:rPr>
          <w:rFonts w:ascii="Arial" w:hAnsi="Arial" w:cs="Arial"/>
        </w:rPr>
        <w:t>explanar</w:t>
      </w:r>
      <w:r w:rsidRPr="00F31154">
        <w:rPr>
          <w:rFonts w:ascii="Arial" w:hAnsi="Arial" w:cs="Arial"/>
        </w:rPr>
        <w:t xml:space="preserve"> e </w:t>
      </w:r>
      <w:r w:rsidR="00126D9C">
        <w:rPr>
          <w:rFonts w:ascii="Arial" w:hAnsi="Arial" w:cs="Arial"/>
        </w:rPr>
        <w:t>confrontar</w:t>
      </w:r>
      <w:r w:rsidRPr="00F31154">
        <w:rPr>
          <w:rFonts w:ascii="Arial" w:hAnsi="Arial" w:cs="Arial"/>
        </w:rPr>
        <w:t xml:space="preserve"> dados das demonstrações financeiras da empresa em estudo, para uma análise desses dados </w:t>
      </w:r>
      <w:r w:rsidRPr="00F31154">
        <w:rPr>
          <w:rFonts w:ascii="Arial" w:hAnsi="Arial" w:cs="Arial"/>
        </w:rPr>
        <w:lastRenderedPageBreak/>
        <w:t>onde haja um entendimento de monitorar o desempenho da empresa em estudo de um período para o outro.</w:t>
      </w:r>
    </w:p>
    <w:p w:rsidR="005659F3" w:rsidRPr="00F31154" w:rsidRDefault="005659F3" w:rsidP="005659F3">
      <w:pPr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>A empresa em estudo refere-se uma indústria de cosmético e perfumaria de grande porte nacional, onde foi realizado um levantamento de dados com o objetivo de descrever os resultados alcançados da empresa acima citada.</w:t>
      </w:r>
    </w:p>
    <w:p w:rsidR="0096096E" w:rsidRDefault="005659F3" w:rsidP="003014BD">
      <w:pPr>
        <w:spacing w:line="360" w:lineRule="auto"/>
        <w:ind w:firstLine="1134"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Essa pesquisa </w:t>
      </w:r>
      <w:r w:rsidR="00E21273">
        <w:rPr>
          <w:rFonts w:ascii="Arial" w:hAnsi="Arial" w:cs="Arial"/>
        </w:rPr>
        <w:t xml:space="preserve">procurou colher dados precisos </w:t>
      </w:r>
      <w:r w:rsidRPr="00F31154">
        <w:rPr>
          <w:rFonts w:ascii="Arial" w:hAnsi="Arial" w:cs="Arial"/>
        </w:rPr>
        <w:t xml:space="preserve">através de </w:t>
      </w:r>
      <w:r w:rsidR="00E21273">
        <w:rPr>
          <w:rFonts w:ascii="Arial" w:hAnsi="Arial" w:cs="Arial"/>
        </w:rPr>
        <w:t>elementos</w:t>
      </w:r>
      <w:r w:rsidRPr="00F31154">
        <w:rPr>
          <w:rFonts w:ascii="Arial" w:hAnsi="Arial" w:cs="Arial"/>
        </w:rPr>
        <w:t xml:space="preserve"> </w:t>
      </w:r>
      <w:r w:rsidR="00E21273">
        <w:rPr>
          <w:rFonts w:ascii="Arial" w:hAnsi="Arial" w:cs="Arial"/>
        </w:rPr>
        <w:t>b</w:t>
      </w:r>
      <w:r w:rsidRPr="00F31154">
        <w:rPr>
          <w:rFonts w:ascii="Arial" w:hAnsi="Arial" w:cs="Arial"/>
        </w:rPr>
        <w:t xml:space="preserve">ibliográficos junto à literatura nacional brasileira </w:t>
      </w:r>
      <w:r w:rsidR="00E21273">
        <w:rPr>
          <w:rFonts w:ascii="Arial" w:hAnsi="Arial" w:cs="Arial"/>
        </w:rPr>
        <w:t>por meio de</w:t>
      </w:r>
      <w:r w:rsidR="00955DBE">
        <w:rPr>
          <w:rFonts w:ascii="Arial" w:hAnsi="Arial" w:cs="Arial"/>
        </w:rPr>
        <w:t xml:space="preserve"> livros</w:t>
      </w:r>
      <w:r w:rsidR="00A326F5">
        <w:rPr>
          <w:rFonts w:ascii="Arial" w:hAnsi="Arial" w:cs="Arial"/>
        </w:rPr>
        <w:t>, artigos</w:t>
      </w:r>
      <w:r w:rsidRPr="00F31154">
        <w:rPr>
          <w:rFonts w:ascii="Arial" w:hAnsi="Arial" w:cs="Arial"/>
        </w:rPr>
        <w:t xml:space="preserve"> e revistas com o intuito de obter um referencial teórico e </w:t>
      </w:r>
      <w:r w:rsidR="006A4ECD" w:rsidRPr="00F31154">
        <w:rPr>
          <w:rFonts w:ascii="Arial" w:hAnsi="Arial" w:cs="Arial"/>
        </w:rPr>
        <w:t>poder desenvolver esse material. Como também uma pesquisa documental</w:t>
      </w:r>
      <w:r w:rsidR="00955DBE">
        <w:rPr>
          <w:rFonts w:ascii="Arial" w:hAnsi="Arial" w:cs="Arial"/>
        </w:rPr>
        <w:t xml:space="preserve"> </w:t>
      </w:r>
      <w:r w:rsidR="006A4ECD" w:rsidRPr="00F31154">
        <w:rPr>
          <w:rFonts w:ascii="Arial" w:hAnsi="Arial" w:cs="Arial"/>
        </w:rPr>
        <w:t>colhida pelo site oficial da BOVESPA</w:t>
      </w:r>
      <w:r w:rsidR="00DD6D4B">
        <w:rPr>
          <w:rFonts w:ascii="Arial" w:hAnsi="Arial" w:cs="Arial"/>
        </w:rPr>
        <w:t xml:space="preserve"> os relatórios acima citados</w:t>
      </w:r>
      <w:r w:rsidR="006A4ECD" w:rsidRPr="00F31154">
        <w:rPr>
          <w:rFonts w:ascii="Arial" w:hAnsi="Arial" w:cs="Arial"/>
        </w:rPr>
        <w:t>, por se tratar de uma empresa de capital aberto, onde pode realizar os cálculos dos índices financeiros em análise através da série temporal e horizontal do ano de 20</w:t>
      </w:r>
      <w:r w:rsidR="00465593" w:rsidRPr="00F31154">
        <w:rPr>
          <w:rFonts w:ascii="Arial" w:hAnsi="Arial" w:cs="Arial"/>
        </w:rPr>
        <w:t>10</w:t>
      </w:r>
      <w:r w:rsidR="00330D9A">
        <w:rPr>
          <w:rFonts w:ascii="Arial" w:hAnsi="Arial" w:cs="Arial"/>
        </w:rPr>
        <w:t xml:space="preserve"> </w:t>
      </w:r>
      <w:r w:rsidR="00EE2527" w:rsidRPr="00F31154">
        <w:rPr>
          <w:rFonts w:ascii="Arial" w:hAnsi="Arial" w:cs="Arial"/>
        </w:rPr>
        <w:t>a</w:t>
      </w:r>
      <w:r w:rsidR="00370F1B" w:rsidRPr="00F31154">
        <w:rPr>
          <w:rFonts w:ascii="Arial" w:hAnsi="Arial" w:cs="Arial"/>
        </w:rPr>
        <w:t xml:space="preserve"> 2013</w:t>
      </w:r>
      <w:r w:rsidR="006A4ECD" w:rsidRPr="00F31154">
        <w:rPr>
          <w:rFonts w:ascii="Arial" w:hAnsi="Arial" w:cs="Arial"/>
        </w:rPr>
        <w:t>.</w:t>
      </w:r>
    </w:p>
    <w:p w:rsidR="00DF5772" w:rsidRDefault="00DF5772" w:rsidP="002C2A1A">
      <w:pPr>
        <w:spacing w:line="480" w:lineRule="auto"/>
        <w:ind w:firstLine="1134"/>
        <w:jc w:val="both"/>
        <w:rPr>
          <w:rFonts w:ascii="Arial" w:hAnsi="Arial" w:cs="Arial"/>
        </w:rPr>
      </w:pPr>
    </w:p>
    <w:p w:rsidR="00F31154" w:rsidRPr="00F31154" w:rsidRDefault="00640782" w:rsidP="00F31154">
      <w:pPr>
        <w:pStyle w:val="PargrafodaLista"/>
        <w:numPr>
          <w:ilvl w:val="0"/>
          <w:numId w:val="37"/>
        </w:numPr>
        <w:tabs>
          <w:tab w:val="left" w:pos="2393"/>
          <w:tab w:val="left" w:pos="3600"/>
        </w:tabs>
        <w:spacing w:line="360" w:lineRule="auto"/>
        <w:rPr>
          <w:rFonts w:ascii="Arial" w:hAnsi="Arial" w:cs="Arial"/>
          <w:b/>
        </w:rPr>
      </w:pPr>
      <w:r w:rsidRPr="00F31154">
        <w:rPr>
          <w:rFonts w:ascii="Arial" w:hAnsi="Arial" w:cs="Arial"/>
          <w:b/>
        </w:rPr>
        <w:t>RESULTADOS E DISCUSSÕES</w:t>
      </w:r>
    </w:p>
    <w:p w:rsidR="008A0FBD" w:rsidRPr="00F31154" w:rsidRDefault="008A0FBD" w:rsidP="00C372C6">
      <w:pPr>
        <w:tabs>
          <w:tab w:val="left" w:pos="2393"/>
          <w:tab w:val="left" w:pos="3600"/>
        </w:tabs>
        <w:spacing w:line="480" w:lineRule="auto"/>
        <w:contextualSpacing/>
        <w:rPr>
          <w:rFonts w:ascii="Arial" w:hAnsi="Arial" w:cs="Arial"/>
          <w:b/>
        </w:rPr>
      </w:pPr>
    </w:p>
    <w:p w:rsidR="008A0FBD" w:rsidRDefault="003752E4" w:rsidP="00926254">
      <w:pPr>
        <w:tabs>
          <w:tab w:val="left" w:pos="2393"/>
          <w:tab w:val="left" w:pos="3600"/>
        </w:tabs>
        <w:spacing w:line="360" w:lineRule="auto"/>
        <w:ind w:firstLine="113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 presente</w:t>
      </w:r>
      <w:r w:rsidR="008A0FBD" w:rsidRPr="00F31154">
        <w:rPr>
          <w:rFonts w:ascii="Arial" w:hAnsi="Arial" w:cs="Arial"/>
        </w:rPr>
        <w:t xml:space="preserve"> estudo será apresentado os resultados obtidos </w:t>
      </w:r>
      <w:r>
        <w:rPr>
          <w:rFonts w:ascii="Arial" w:hAnsi="Arial" w:cs="Arial"/>
        </w:rPr>
        <w:t>dos relatórios Balanço Patrimonial e Demonstrativo do Resultado do Exercício disponíveis n</w:t>
      </w:r>
      <w:r w:rsidR="008A0FBD" w:rsidRPr="00F31154">
        <w:rPr>
          <w:rFonts w:ascii="Arial" w:hAnsi="Arial" w:cs="Arial"/>
        </w:rPr>
        <w:t>o site da BOVESPA da empresa de cosméticos e perfum</w:t>
      </w:r>
      <w:r w:rsidR="00330D9A">
        <w:rPr>
          <w:rFonts w:ascii="Arial" w:hAnsi="Arial" w:cs="Arial"/>
        </w:rPr>
        <w:t xml:space="preserve">aria </w:t>
      </w:r>
      <w:r w:rsidR="00926254" w:rsidRPr="00F31154">
        <w:rPr>
          <w:rFonts w:ascii="Arial" w:hAnsi="Arial" w:cs="Arial"/>
        </w:rPr>
        <w:t>dos exercíci</w:t>
      </w:r>
      <w:r w:rsidR="00370F1B" w:rsidRPr="00F31154">
        <w:rPr>
          <w:rFonts w:ascii="Arial" w:hAnsi="Arial" w:cs="Arial"/>
        </w:rPr>
        <w:t>os 31 de dezembro de 2010 a 2013</w:t>
      </w:r>
      <w:r w:rsidR="00926254" w:rsidRPr="00F31154">
        <w:rPr>
          <w:rFonts w:ascii="Arial" w:hAnsi="Arial" w:cs="Arial"/>
        </w:rPr>
        <w:t>.</w:t>
      </w:r>
      <w:r w:rsidR="00330D9A">
        <w:rPr>
          <w:rFonts w:ascii="Arial" w:hAnsi="Arial" w:cs="Arial"/>
        </w:rPr>
        <w:t xml:space="preserve"> </w:t>
      </w:r>
    </w:p>
    <w:p w:rsidR="004853DA" w:rsidRPr="00F31154" w:rsidRDefault="004853DA" w:rsidP="003752E4">
      <w:pPr>
        <w:tabs>
          <w:tab w:val="left" w:pos="2393"/>
          <w:tab w:val="left" w:pos="3600"/>
        </w:tabs>
        <w:spacing w:line="480" w:lineRule="auto"/>
        <w:contextualSpacing/>
        <w:jc w:val="both"/>
        <w:rPr>
          <w:rFonts w:ascii="Arial" w:hAnsi="Arial" w:cs="Arial"/>
        </w:rPr>
      </w:pPr>
    </w:p>
    <w:p w:rsidR="001C3023" w:rsidRDefault="00325B92" w:rsidP="00926254">
      <w:pPr>
        <w:tabs>
          <w:tab w:val="left" w:pos="2393"/>
          <w:tab w:val="left" w:pos="3600"/>
        </w:tabs>
        <w:spacing w:line="360" w:lineRule="auto"/>
        <w:contextualSpacing/>
        <w:jc w:val="both"/>
        <w:rPr>
          <w:rFonts w:ascii="Arial" w:hAnsi="Arial" w:cs="Arial"/>
          <w:b/>
        </w:rPr>
      </w:pPr>
      <w:r w:rsidRPr="00F31154">
        <w:rPr>
          <w:rFonts w:ascii="Arial" w:hAnsi="Arial" w:cs="Arial"/>
          <w:b/>
        </w:rPr>
        <w:t xml:space="preserve">4.1 </w:t>
      </w:r>
      <w:r>
        <w:rPr>
          <w:rFonts w:ascii="Arial" w:hAnsi="Arial" w:cs="Arial"/>
          <w:b/>
        </w:rPr>
        <w:t>Análises</w:t>
      </w:r>
      <w:r w:rsidR="00007F75">
        <w:rPr>
          <w:rFonts w:ascii="Arial" w:hAnsi="Arial" w:cs="Arial"/>
          <w:b/>
        </w:rPr>
        <w:t xml:space="preserve"> dos Índices de Liquidez</w:t>
      </w:r>
    </w:p>
    <w:p w:rsidR="003752E4" w:rsidRDefault="003752E4" w:rsidP="003752E4">
      <w:pPr>
        <w:tabs>
          <w:tab w:val="left" w:pos="2393"/>
          <w:tab w:val="left" w:pos="3600"/>
        </w:tabs>
        <w:spacing w:line="480" w:lineRule="auto"/>
        <w:contextualSpacing/>
        <w:jc w:val="both"/>
        <w:rPr>
          <w:rFonts w:ascii="Arial" w:hAnsi="Arial" w:cs="Arial"/>
          <w:b/>
        </w:rPr>
      </w:pPr>
    </w:p>
    <w:p w:rsidR="003752E4" w:rsidRDefault="003752E4" w:rsidP="00292490">
      <w:pPr>
        <w:tabs>
          <w:tab w:val="left" w:pos="2393"/>
          <w:tab w:val="left" w:pos="3600"/>
        </w:tabs>
        <w:spacing w:line="360" w:lineRule="auto"/>
        <w:ind w:firstLine="113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cálculos dos índices de liquidez estão representados na tabela 1.1 </w:t>
      </w:r>
      <w:r w:rsidR="00292490">
        <w:rPr>
          <w:rFonts w:ascii="Arial" w:hAnsi="Arial" w:cs="Arial"/>
        </w:rPr>
        <w:t>abaixo, onde representará se a empresa em estudo tem a capacidade de saldar seus compromissos.</w:t>
      </w:r>
    </w:p>
    <w:p w:rsidR="00292490" w:rsidRPr="003752E4" w:rsidRDefault="00292490" w:rsidP="003B5366">
      <w:pPr>
        <w:tabs>
          <w:tab w:val="left" w:pos="2393"/>
          <w:tab w:val="left" w:pos="3600"/>
        </w:tabs>
        <w:spacing w:line="360" w:lineRule="auto"/>
        <w:ind w:firstLine="1134"/>
        <w:contextualSpacing/>
        <w:jc w:val="both"/>
        <w:rPr>
          <w:rFonts w:ascii="Arial" w:hAnsi="Arial" w:cs="Arial"/>
        </w:rPr>
      </w:pPr>
    </w:p>
    <w:tbl>
      <w:tblPr>
        <w:tblW w:w="8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1360"/>
        <w:gridCol w:w="1420"/>
        <w:gridCol w:w="1360"/>
        <w:gridCol w:w="1420"/>
      </w:tblGrid>
      <w:tr w:rsidR="003823FD" w:rsidRPr="003823FD" w:rsidTr="003752E4">
        <w:trPr>
          <w:trHeight w:val="390"/>
        </w:trPr>
        <w:tc>
          <w:tcPr>
            <w:tcW w:w="8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3FD" w:rsidRPr="003823FD" w:rsidRDefault="003823FD" w:rsidP="003823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3FD">
              <w:rPr>
                <w:rFonts w:ascii="Arial" w:hAnsi="Arial" w:cs="Arial"/>
                <w:b/>
                <w:bCs/>
                <w:sz w:val="20"/>
                <w:szCs w:val="20"/>
              </w:rPr>
              <w:t>Tabela 1.1 - Índices de Liquidez de uma Empresa de Cosméticos e Perfumaria</w:t>
            </w:r>
          </w:p>
        </w:tc>
      </w:tr>
      <w:tr w:rsidR="003823FD" w:rsidRPr="003823FD" w:rsidTr="003823FD">
        <w:trPr>
          <w:trHeight w:val="405"/>
        </w:trPr>
        <w:tc>
          <w:tcPr>
            <w:tcW w:w="2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CCFD1"/>
            <w:vAlign w:val="center"/>
            <w:hideMark/>
          </w:tcPr>
          <w:p w:rsidR="003823FD" w:rsidRPr="003823FD" w:rsidRDefault="003823FD" w:rsidP="003823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3FD">
              <w:rPr>
                <w:rFonts w:ascii="Arial" w:hAnsi="Arial" w:cs="Arial"/>
                <w:b/>
                <w:bCs/>
                <w:sz w:val="20"/>
                <w:szCs w:val="20"/>
              </w:rPr>
              <w:t>ÍNDICES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CCFD1"/>
            <w:vAlign w:val="center"/>
            <w:hideMark/>
          </w:tcPr>
          <w:p w:rsidR="003823FD" w:rsidRPr="003823FD" w:rsidRDefault="003823FD" w:rsidP="00686E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3F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="00686EA1">
              <w:rPr>
                <w:rFonts w:ascii="Arial" w:hAnsi="Arial" w:cs="Arial"/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CCFD1"/>
            <w:vAlign w:val="center"/>
            <w:hideMark/>
          </w:tcPr>
          <w:p w:rsidR="003823FD" w:rsidRPr="003823FD" w:rsidRDefault="003823FD" w:rsidP="00686E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3FD">
              <w:rPr>
                <w:rFonts w:ascii="Arial" w:hAnsi="Arial" w:cs="Arial"/>
                <w:b/>
                <w:bCs/>
                <w:sz w:val="20"/>
                <w:szCs w:val="20"/>
              </w:rPr>
              <w:t> 201</w:t>
            </w:r>
            <w:r w:rsidR="00686EA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3823F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CCFD1"/>
            <w:vAlign w:val="center"/>
            <w:hideMark/>
          </w:tcPr>
          <w:p w:rsidR="003823FD" w:rsidRPr="003823FD" w:rsidRDefault="003823FD" w:rsidP="00686E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3FD">
              <w:rPr>
                <w:rFonts w:ascii="Arial" w:hAnsi="Arial" w:cs="Arial"/>
                <w:b/>
                <w:bCs/>
                <w:sz w:val="20"/>
                <w:szCs w:val="20"/>
              </w:rPr>
              <w:t>201</w:t>
            </w:r>
            <w:r w:rsidR="00686EA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3823F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CCFD1"/>
            <w:vAlign w:val="center"/>
            <w:hideMark/>
          </w:tcPr>
          <w:p w:rsidR="003823FD" w:rsidRPr="003823FD" w:rsidRDefault="003823FD" w:rsidP="00686E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3FD">
              <w:rPr>
                <w:rFonts w:ascii="Arial" w:hAnsi="Arial" w:cs="Arial"/>
                <w:b/>
                <w:bCs/>
                <w:sz w:val="20"/>
                <w:szCs w:val="20"/>
              </w:rPr>
              <w:t> 201</w:t>
            </w:r>
            <w:r w:rsidR="00686EA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3823F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823FD" w:rsidRPr="003823FD" w:rsidTr="00686EA1">
        <w:trPr>
          <w:trHeight w:val="51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23FD" w:rsidRPr="003823FD" w:rsidRDefault="003823FD" w:rsidP="00382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3FD">
              <w:rPr>
                <w:rFonts w:ascii="Arial" w:hAnsi="Arial" w:cs="Arial"/>
                <w:sz w:val="20"/>
                <w:szCs w:val="20"/>
              </w:rPr>
              <w:t>Liquidez Corrente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823FD" w:rsidRPr="003823FD" w:rsidRDefault="00686EA1" w:rsidP="00382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823FD" w:rsidRPr="003823FD" w:rsidRDefault="00686EA1" w:rsidP="00382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823FD" w:rsidRPr="003823FD" w:rsidRDefault="00686EA1" w:rsidP="00382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823FD" w:rsidRPr="003823FD" w:rsidRDefault="00686EA1" w:rsidP="00382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1,51</w:t>
            </w:r>
          </w:p>
        </w:tc>
      </w:tr>
      <w:tr w:rsidR="003823FD" w:rsidRPr="003823FD" w:rsidTr="00686EA1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23FD" w:rsidRPr="003823FD" w:rsidRDefault="003823FD" w:rsidP="00382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3FD">
              <w:rPr>
                <w:rFonts w:ascii="Arial" w:hAnsi="Arial" w:cs="Arial"/>
                <w:sz w:val="20"/>
                <w:szCs w:val="20"/>
              </w:rPr>
              <w:t>Liquidez Seca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823FD" w:rsidRPr="003823FD" w:rsidRDefault="00686EA1" w:rsidP="00382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823FD" w:rsidRPr="003823FD" w:rsidRDefault="00686EA1" w:rsidP="00382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823FD" w:rsidRPr="003823FD" w:rsidRDefault="00686EA1" w:rsidP="00382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823FD" w:rsidRPr="003823FD" w:rsidRDefault="00686EA1" w:rsidP="00382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1,17</w:t>
            </w:r>
          </w:p>
        </w:tc>
      </w:tr>
      <w:tr w:rsidR="003823FD" w:rsidRPr="003823FD" w:rsidTr="00686EA1">
        <w:trPr>
          <w:trHeight w:val="510"/>
        </w:trPr>
        <w:tc>
          <w:tcPr>
            <w:tcW w:w="27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3823FD" w:rsidRPr="003823FD" w:rsidRDefault="003823FD" w:rsidP="00382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3FD">
              <w:rPr>
                <w:rFonts w:ascii="Arial" w:hAnsi="Arial" w:cs="Arial"/>
                <w:sz w:val="20"/>
                <w:szCs w:val="20"/>
              </w:rPr>
              <w:t>Liquidez Geral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:rsidR="003823FD" w:rsidRPr="003823FD" w:rsidRDefault="00686EA1" w:rsidP="00382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:rsidR="003823FD" w:rsidRPr="003823FD" w:rsidRDefault="00686EA1" w:rsidP="00382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:rsidR="003823FD" w:rsidRPr="003823FD" w:rsidRDefault="00686EA1" w:rsidP="00382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:rsidR="003823FD" w:rsidRPr="003823FD" w:rsidRDefault="00686EA1" w:rsidP="00382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0,85</w:t>
            </w:r>
          </w:p>
        </w:tc>
      </w:tr>
    </w:tbl>
    <w:p w:rsidR="003823FD" w:rsidRDefault="003823FD" w:rsidP="007C537A">
      <w:pPr>
        <w:tabs>
          <w:tab w:val="left" w:pos="2393"/>
          <w:tab w:val="center" w:pos="4535"/>
        </w:tabs>
        <w:spacing w:line="48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Fonte: Dados da pesquisa em 2014</w:t>
      </w:r>
      <w:r w:rsidR="007C537A">
        <w:rPr>
          <w:rFonts w:ascii="Arial" w:hAnsi="Arial" w:cs="Arial"/>
          <w:sz w:val="20"/>
          <w:szCs w:val="20"/>
        </w:rPr>
        <w:tab/>
      </w:r>
    </w:p>
    <w:p w:rsidR="00146611" w:rsidRDefault="00146611" w:rsidP="00146611">
      <w:pPr>
        <w:tabs>
          <w:tab w:val="left" w:pos="2393"/>
          <w:tab w:val="left" w:pos="3600"/>
        </w:tabs>
        <w:spacing w:line="480" w:lineRule="auto"/>
        <w:ind w:firstLine="113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Repr</w:t>
      </w:r>
      <w:r w:rsidR="00512E94">
        <w:rPr>
          <w:rFonts w:ascii="Arial" w:hAnsi="Arial" w:cs="Arial"/>
        </w:rPr>
        <w:t>esentação gráfica da tabela 1.1 dos índices de liquidez</w:t>
      </w:r>
      <w:r>
        <w:rPr>
          <w:rFonts w:ascii="Arial" w:hAnsi="Arial" w:cs="Arial"/>
        </w:rPr>
        <w:t>.</w:t>
      </w:r>
    </w:p>
    <w:p w:rsidR="00146611" w:rsidRDefault="00146611" w:rsidP="003B5366">
      <w:pPr>
        <w:tabs>
          <w:tab w:val="left" w:pos="2393"/>
          <w:tab w:val="left" w:pos="3600"/>
        </w:tabs>
        <w:spacing w:line="480" w:lineRule="auto"/>
        <w:ind w:firstLine="1134"/>
        <w:contextualSpacing/>
        <w:jc w:val="both"/>
        <w:rPr>
          <w:rFonts w:ascii="Arial" w:hAnsi="Arial" w:cs="Arial"/>
        </w:rPr>
      </w:pPr>
    </w:p>
    <w:p w:rsidR="00686EA1" w:rsidRDefault="00686EA1" w:rsidP="00595C13">
      <w:pPr>
        <w:tabs>
          <w:tab w:val="left" w:pos="2393"/>
          <w:tab w:val="left" w:pos="3600"/>
        </w:tabs>
        <w:spacing w:line="480" w:lineRule="auto"/>
        <w:contextualSpacing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28CC314" wp14:editId="24F1DD0F">
            <wp:extent cx="5284381" cy="2456120"/>
            <wp:effectExtent l="0" t="0" r="12065" b="2095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46611" w:rsidRPr="00DC4245" w:rsidRDefault="00146611" w:rsidP="00146611">
      <w:pPr>
        <w:tabs>
          <w:tab w:val="left" w:pos="2393"/>
          <w:tab w:val="left" w:pos="3600"/>
        </w:tabs>
        <w:contextualSpacing/>
        <w:jc w:val="both"/>
        <w:rPr>
          <w:rFonts w:ascii="Arial" w:hAnsi="Arial" w:cs="Arial"/>
          <w:sz w:val="20"/>
        </w:rPr>
      </w:pPr>
      <w:r w:rsidRPr="00DC4245">
        <w:rPr>
          <w:rFonts w:ascii="Arial" w:hAnsi="Arial" w:cs="Arial"/>
          <w:b/>
          <w:bCs/>
          <w:sz w:val="20"/>
        </w:rPr>
        <w:t>Gráfico 01: Índices de Liquidez</w:t>
      </w:r>
    </w:p>
    <w:p w:rsidR="00146611" w:rsidRPr="00DC4245" w:rsidRDefault="00146611" w:rsidP="00146611">
      <w:pPr>
        <w:tabs>
          <w:tab w:val="left" w:pos="2393"/>
          <w:tab w:val="left" w:pos="3600"/>
        </w:tabs>
        <w:contextualSpacing/>
        <w:jc w:val="both"/>
        <w:rPr>
          <w:rFonts w:ascii="Arial" w:hAnsi="Arial" w:cs="Arial"/>
          <w:sz w:val="20"/>
        </w:rPr>
      </w:pPr>
      <w:r w:rsidRPr="00DC4245">
        <w:rPr>
          <w:rFonts w:ascii="Arial" w:hAnsi="Arial" w:cs="Arial"/>
          <w:sz w:val="20"/>
        </w:rPr>
        <w:t>Fonte: Dados da Pesquisa em 2014</w:t>
      </w:r>
    </w:p>
    <w:p w:rsidR="00215930" w:rsidRDefault="00215930" w:rsidP="003B5366">
      <w:pPr>
        <w:tabs>
          <w:tab w:val="left" w:pos="2393"/>
          <w:tab w:val="left" w:pos="3600"/>
        </w:tabs>
        <w:spacing w:line="480" w:lineRule="auto"/>
        <w:ind w:firstLine="1134"/>
        <w:contextualSpacing/>
        <w:jc w:val="both"/>
        <w:rPr>
          <w:rFonts w:ascii="Arial" w:hAnsi="Arial" w:cs="Arial"/>
        </w:rPr>
      </w:pPr>
    </w:p>
    <w:p w:rsidR="00215930" w:rsidRPr="003829E5" w:rsidRDefault="00215930" w:rsidP="00215930">
      <w:pPr>
        <w:tabs>
          <w:tab w:val="left" w:pos="2393"/>
          <w:tab w:val="left" w:pos="3600"/>
        </w:tabs>
        <w:spacing w:line="360" w:lineRule="auto"/>
        <w:ind w:firstLine="1134"/>
        <w:contextualSpacing/>
        <w:jc w:val="both"/>
        <w:rPr>
          <w:rFonts w:ascii="Arial" w:hAnsi="Arial" w:cs="Arial"/>
        </w:rPr>
      </w:pPr>
      <w:r w:rsidRPr="003829E5">
        <w:rPr>
          <w:rFonts w:ascii="Arial" w:hAnsi="Arial" w:cs="Arial"/>
        </w:rPr>
        <w:t>De acordo com os resultados obtidos e a partir dos cálculos dos índices financeiros com base nas demonstrações contábeis, observa-se uma queda acentuada na liquidez corrente e seca da empresa, entre o ano de 2010 e 2011 atingindo o seu menor valor em 2011</w:t>
      </w:r>
      <w:r w:rsidR="00B27FB5">
        <w:rPr>
          <w:rFonts w:ascii="Arial" w:hAnsi="Arial" w:cs="Arial"/>
        </w:rPr>
        <w:t>, uma das causas para esse baixo desempenho é a redução do ativo circulante neste período</w:t>
      </w:r>
      <w:r w:rsidRPr="003829E5">
        <w:rPr>
          <w:rFonts w:ascii="Arial" w:hAnsi="Arial" w:cs="Arial"/>
        </w:rPr>
        <w:t>. No período seguinte, percebe-se uma melhora significativa na capacidade de pagamento da empresa, porém encerra o ano de 2013 com valores abaixo dos verificados no inicio do período estudado.</w:t>
      </w:r>
    </w:p>
    <w:p w:rsidR="00215930" w:rsidRPr="00905541" w:rsidRDefault="00215930" w:rsidP="00215930">
      <w:pPr>
        <w:tabs>
          <w:tab w:val="left" w:pos="2393"/>
          <w:tab w:val="left" w:pos="3600"/>
        </w:tabs>
        <w:spacing w:line="360" w:lineRule="auto"/>
        <w:ind w:firstLine="1134"/>
        <w:contextualSpacing/>
        <w:jc w:val="both"/>
        <w:rPr>
          <w:rFonts w:ascii="Arial" w:hAnsi="Arial" w:cs="Arial"/>
          <w:b/>
          <w:color w:val="4F6228" w:themeColor="accent3" w:themeShade="80"/>
        </w:rPr>
      </w:pPr>
      <w:r w:rsidRPr="003829E5">
        <w:rPr>
          <w:rFonts w:ascii="Arial" w:hAnsi="Arial" w:cs="Arial"/>
        </w:rPr>
        <w:t>Este comportamento demonstrado pelos índices de liquidez corrente e seca reflete de forma imediata na liquidez geral da empresa, reduzindo a capacidade de pagamento no curto e no longo prazo.</w:t>
      </w:r>
      <w:r w:rsidR="00B27FB5">
        <w:rPr>
          <w:rFonts w:ascii="Arial" w:hAnsi="Arial" w:cs="Arial"/>
        </w:rPr>
        <w:t xml:space="preserve"> Observa-se também que em 2013 o índice de liquidez geral obteve o menor resultado devido o aumento do passivo </w:t>
      </w:r>
      <w:proofErr w:type="gramStart"/>
      <w:r w:rsidR="00B27FB5">
        <w:rPr>
          <w:rFonts w:ascii="Arial" w:hAnsi="Arial" w:cs="Arial"/>
        </w:rPr>
        <w:t>a longo prazo</w:t>
      </w:r>
      <w:proofErr w:type="gramEnd"/>
      <w:r w:rsidR="00B27FB5">
        <w:rPr>
          <w:rFonts w:ascii="Arial" w:hAnsi="Arial" w:cs="Arial"/>
        </w:rPr>
        <w:t>.</w:t>
      </w:r>
    </w:p>
    <w:p w:rsidR="00007F75" w:rsidRDefault="00007F75" w:rsidP="00007F75">
      <w:pPr>
        <w:tabs>
          <w:tab w:val="left" w:pos="2393"/>
          <w:tab w:val="left" w:pos="3600"/>
        </w:tabs>
        <w:spacing w:line="480" w:lineRule="auto"/>
        <w:contextualSpacing/>
        <w:jc w:val="both"/>
        <w:rPr>
          <w:rFonts w:ascii="Arial" w:hAnsi="Arial" w:cs="Arial"/>
        </w:rPr>
      </w:pPr>
    </w:p>
    <w:p w:rsidR="00007F75" w:rsidRDefault="00325B92" w:rsidP="00007F75">
      <w:pPr>
        <w:tabs>
          <w:tab w:val="left" w:pos="2393"/>
          <w:tab w:val="left" w:pos="3600"/>
        </w:tabs>
        <w:spacing w:line="36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4.2 Análises</w:t>
      </w:r>
      <w:r w:rsidR="00007F75">
        <w:rPr>
          <w:rFonts w:ascii="Arial" w:hAnsi="Arial" w:cs="Arial"/>
          <w:b/>
        </w:rPr>
        <w:t xml:space="preserve"> dos Índices de Endividamento</w:t>
      </w:r>
    </w:p>
    <w:p w:rsidR="00C95847" w:rsidRDefault="00C95847" w:rsidP="00007F75">
      <w:pPr>
        <w:tabs>
          <w:tab w:val="left" w:pos="2393"/>
          <w:tab w:val="left" w:pos="3600"/>
        </w:tabs>
        <w:spacing w:line="360" w:lineRule="auto"/>
        <w:contextualSpacing/>
        <w:jc w:val="both"/>
        <w:rPr>
          <w:rFonts w:ascii="Arial" w:hAnsi="Arial" w:cs="Arial"/>
          <w:b/>
        </w:rPr>
      </w:pPr>
    </w:p>
    <w:p w:rsidR="003752E4" w:rsidRDefault="007E7D50" w:rsidP="007E7D50">
      <w:pPr>
        <w:tabs>
          <w:tab w:val="left" w:pos="2393"/>
          <w:tab w:val="left" w:pos="3600"/>
        </w:tabs>
        <w:spacing w:line="360" w:lineRule="auto"/>
        <w:ind w:firstLine="113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Os índices de endividamento mostram o quanto à empresa está utilizando de recursos de terceiros. Por tanto a tabela 1.2 abaixo, mostrará o desempenho desses índices no período em estudo.</w:t>
      </w:r>
    </w:p>
    <w:tbl>
      <w:tblPr>
        <w:tblW w:w="8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1360"/>
        <w:gridCol w:w="1420"/>
        <w:gridCol w:w="1360"/>
        <w:gridCol w:w="1420"/>
      </w:tblGrid>
      <w:tr w:rsidR="003823FD" w:rsidRPr="003823FD" w:rsidTr="003752E4">
        <w:trPr>
          <w:trHeight w:val="419"/>
        </w:trPr>
        <w:tc>
          <w:tcPr>
            <w:tcW w:w="8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3FD" w:rsidRPr="003823FD" w:rsidRDefault="003823FD" w:rsidP="003823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3F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Tabela 1.2 - Índices de Endividamento de uma Empresa de Cosméticos e Perfumaria</w:t>
            </w:r>
          </w:p>
        </w:tc>
      </w:tr>
      <w:tr w:rsidR="00185036" w:rsidRPr="003823FD" w:rsidTr="003823FD">
        <w:trPr>
          <w:trHeight w:val="405"/>
        </w:trPr>
        <w:tc>
          <w:tcPr>
            <w:tcW w:w="2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CCFD1"/>
            <w:vAlign w:val="center"/>
            <w:hideMark/>
          </w:tcPr>
          <w:p w:rsidR="00185036" w:rsidRPr="003823FD" w:rsidRDefault="00185036" w:rsidP="00B01C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3FD">
              <w:rPr>
                <w:rFonts w:ascii="Arial" w:hAnsi="Arial" w:cs="Arial"/>
                <w:b/>
                <w:bCs/>
                <w:sz w:val="20"/>
                <w:szCs w:val="20"/>
              </w:rPr>
              <w:t>ÍNDICES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CCFD1"/>
            <w:vAlign w:val="center"/>
            <w:hideMark/>
          </w:tcPr>
          <w:p w:rsidR="00185036" w:rsidRPr="003823FD" w:rsidRDefault="00087086" w:rsidP="00B01C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2010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CCFD1"/>
            <w:vAlign w:val="center"/>
            <w:hideMark/>
          </w:tcPr>
          <w:p w:rsidR="00185036" w:rsidRPr="003823FD" w:rsidRDefault="00185036" w:rsidP="000870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3FD">
              <w:rPr>
                <w:rFonts w:ascii="Arial" w:hAnsi="Arial" w:cs="Arial"/>
                <w:b/>
                <w:bCs/>
                <w:sz w:val="20"/>
                <w:szCs w:val="20"/>
              </w:rPr>
              <w:t> 201</w:t>
            </w:r>
            <w:r w:rsidR="0008708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3823F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CCFD1"/>
            <w:vAlign w:val="center"/>
            <w:hideMark/>
          </w:tcPr>
          <w:p w:rsidR="00185036" w:rsidRPr="003823FD" w:rsidRDefault="00185036" w:rsidP="000870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3FD">
              <w:rPr>
                <w:rFonts w:ascii="Arial" w:hAnsi="Arial" w:cs="Arial"/>
                <w:b/>
                <w:bCs/>
                <w:sz w:val="20"/>
                <w:szCs w:val="20"/>
              </w:rPr>
              <w:t>201</w:t>
            </w:r>
            <w:r w:rsidR="0008708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3823F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CCFD1"/>
            <w:vAlign w:val="center"/>
            <w:hideMark/>
          </w:tcPr>
          <w:p w:rsidR="00185036" w:rsidRPr="003823FD" w:rsidRDefault="00185036" w:rsidP="000870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3FD">
              <w:rPr>
                <w:rFonts w:ascii="Arial" w:hAnsi="Arial" w:cs="Arial"/>
                <w:b/>
                <w:bCs/>
                <w:sz w:val="20"/>
                <w:szCs w:val="20"/>
              </w:rPr>
              <w:t> 201</w:t>
            </w:r>
            <w:r w:rsidR="0008708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3823F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823FD" w:rsidRPr="003823FD" w:rsidTr="00087086">
        <w:trPr>
          <w:trHeight w:val="255"/>
        </w:trPr>
        <w:tc>
          <w:tcPr>
            <w:tcW w:w="2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23FD" w:rsidRPr="003823FD" w:rsidRDefault="003823FD" w:rsidP="00382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3FD">
              <w:rPr>
                <w:rFonts w:ascii="Arial" w:hAnsi="Arial" w:cs="Arial"/>
                <w:sz w:val="20"/>
                <w:szCs w:val="20"/>
              </w:rPr>
              <w:t>Endividamento Geral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823FD" w:rsidRPr="003823FD" w:rsidRDefault="00087086" w:rsidP="00382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61%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823FD" w:rsidRPr="003823FD" w:rsidRDefault="00087086" w:rsidP="00382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67%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823FD" w:rsidRPr="003823FD" w:rsidRDefault="00087086" w:rsidP="00382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76%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823FD" w:rsidRPr="003823FD" w:rsidRDefault="00087086" w:rsidP="00382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81%</w:t>
            </w:r>
          </w:p>
        </w:tc>
      </w:tr>
      <w:tr w:rsidR="003823FD" w:rsidRPr="003823FD" w:rsidTr="00087086">
        <w:trPr>
          <w:trHeight w:val="255"/>
        </w:trPr>
        <w:tc>
          <w:tcPr>
            <w:tcW w:w="2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23FD" w:rsidRPr="003823FD" w:rsidRDefault="003823FD" w:rsidP="003823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23FD" w:rsidRPr="003823FD" w:rsidRDefault="003823FD" w:rsidP="003823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23FD" w:rsidRPr="003823FD" w:rsidRDefault="003823FD" w:rsidP="003823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23FD" w:rsidRPr="003823FD" w:rsidRDefault="003823FD" w:rsidP="003823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23FD" w:rsidRPr="003823FD" w:rsidRDefault="003823FD" w:rsidP="003823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3FD" w:rsidRPr="003823FD" w:rsidTr="00087086">
        <w:trPr>
          <w:trHeight w:val="255"/>
        </w:trPr>
        <w:tc>
          <w:tcPr>
            <w:tcW w:w="27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3823FD" w:rsidRPr="003823FD" w:rsidRDefault="003823FD" w:rsidP="00382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3FD">
              <w:rPr>
                <w:rFonts w:ascii="Arial" w:hAnsi="Arial" w:cs="Arial"/>
                <w:sz w:val="20"/>
                <w:szCs w:val="20"/>
              </w:rPr>
              <w:t>Co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3823FD">
              <w:rPr>
                <w:rFonts w:ascii="Arial" w:hAnsi="Arial" w:cs="Arial"/>
                <w:sz w:val="20"/>
                <w:szCs w:val="20"/>
              </w:rPr>
              <w:t>ertura de Juros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:rsidR="003823FD" w:rsidRPr="003823FD" w:rsidRDefault="00087086" w:rsidP="00382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1130%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:rsidR="003823FD" w:rsidRPr="003823FD" w:rsidRDefault="00087086" w:rsidP="00382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657%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:rsidR="003823FD" w:rsidRPr="003823FD" w:rsidRDefault="00087086" w:rsidP="00382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585%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:rsidR="003823FD" w:rsidRPr="003823FD" w:rsidRDefault="00087086" w:rsidP="00382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271%</w:t>
            </w:r>
          </w:p>
        </w:tc>
      </w:tr>
      <w:tr w:rsidR="003823FD" w:rsidRPr="003823FD" w:rsidTr="00087086">
        <w:trPr>
          <w:trHeight w:val="270"/>
        </w:trPr>
        <w:tc>
          <w:tcPr>
            <w:tcW w:w="27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823FD" w:rsidRPr="003823FD" w:rsidRDefault="003823FD" w:rsidP="003823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823FD" w:rsidRPr="003823FD" w:rsidRDefault="003823FD" w:rsidP="003823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823FD" w:rsidRPr="003823FD" w:rsidRDefault="003823FD" w:rsidP="003823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823FD" w:rsidRPr="003823FD" w:rsidRDefault="003823FD" w:rsidP="003823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823FD" w:rsidRPr="003823FD" w:rsidRDefault="003823FD" w:rsidP="003823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23FD" w:rsidRDefault="003823FD" w:rsidP="003823FD">
      <w:pPr>
        <w:tabs>
          <w:tab w:val="left" w:pos="2393"/>
          <w:tab w:val="left" w:pos="3600"/>
        </w:tabs>
        <w:spacing w:line="48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Fonte: Dados da pesquisa em 2014</w:t>
      </w:r>
    </w:p>
    <w:p w:rsidR="00146611" w:rsidRDefault="00146611" w:rsidP="00C95847">
      <w:pPr>
        <w:tabs>
          <w:tab w:val="left" w:pos="2393"/>
          <w:tab w:val="left" w:pos="360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D329CD" w:rsidRDefault="00146611" w:rsidP="00146611">
      <w:pPr>
        <w:tabs>
          <w:tab w:val="left" w:pos="2393"/>
          <w:tab w:val="left" w:pos="3600"/>
        </w:tabs>
        <w:spacing w:line="480" w:lineRule="auto"/>
        <w:ind w:firstLine="1134"/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Representação gráfica da tabela 1.2 acima ilustrada.</w:t>
      </w:r>
    </w:p>
    <w:p w:rsidR="002F0CC1" w:rsidRDefault="002F0CC1" w:rsidP="00C95847">
      <w:pPr>
        <w:tabs>
          <w:tab w:val="left" w:pos="2393"/>
          <w:tab w:val="left" w:pos="3600"/>
        </w:tabs>
        <w:spacing w:line="360" w:lineRule="auto"/>
        <w:ind w:right="709"/>
        <w:contextualSpacing/>
        <w:jc w:val="both"/>
        <w:rPr>
          <w:rFonts w:ascii="Arial" w:hAnsi="Arial" w:cs="Arial"/>
          <w:szCs w:val="20"/>
        </w:rPr>
      </w:pPr>
    </w:p>
    <w:p w:rsidR="00F279D5" w:rsidRDefault="00F279D5" w:rsidP="002F0CC1">
      <w:pPr>
        <w:tabs>
          <w:tab w:val="left" w:pos="2393"/>
          <w:tab w:val="left" w:pos="3600"/>
        </w:tabs>
        <w:spacing w:line="480" w:lineRule="auto"/>
        <w:ind w:right="707"/>
        <w:contextualSpacing/>
        <w:jc w:val="both"/>
        <w:rPr>
          <w:rFonts w:ascii="Arial" w:hAnsi="Arial" w:cs="Arial"/>
          <w:szCs w:val="20"/>
        </w:rPr>
      </w:pPr>
      <w:r>
        <w:rPr>
          <w:noProof/>
        </w:rPr>
        <w:drawing>
          <wp:inline distT="0" distB="0" distL="0" distR="0" wp14:anchorId="1E536DF7" wp14:editId="16B81965">
            <wp:extent cx="5286375" cy="2114550"/>
            <wp:effectExtent l="0" t="0" r="9525" b="1905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C4245" w:rsidRPr="00DC4245" w:rsidRDefault="00DC4245" w:rsidP="00DC4245">
      <w:pPr>
        <w:tabs>
          <w:tab w:val="left" w:pos="2393"/>
          <w:tab w:val="left" w:pos="3600"/>
        </w:tabs>
        <w:ind w:right="709"/>
        <w:contextualSpacing/>
        <w:jc w:val="both"/>
        <w:rPr>
          <w:rFonts w:ascii="Arial" w:hAnsi="Arial" w:cs="Arial"/>
          <w:sz w:val="20"/>
          <w:szCs w:val="20"/>
        </w:rPr>
      </w:pPr>
      <w:r w:rsidRPr="00DC4245">
        <w:rPr>
          <w:rFonts w:ascii="Arial" w:hAnsi="Arial" w:cs="Arial"/>
          <w:b/>
          <w:bCs/>
          <w:sz w:val="20"/>
          <w:szCs w:val="20"/>
          <w:lang w:val="pt-PT"/>
        </w:rPr>
        <w:t>Gráfico 02: Indices Endividamento</w:t>
      </w:r>
    </w:p>
    <w:p w:rsidR="00DC4245" w:rsidRPr="00DC4245" w:rsidRDefault="00DC4245" w:rsidP="00DC4245">
      <w:pPr>
        <w:tabs>
          <w:tab w:val="left" w:pos="2393"/>
          <w:tab w:val="left" w:pos="3600"/>
        </w:tabs>
        <w:ind w:right="709"/>
        <w:contextualSpacing/>
        <w:jc w:val="both"/>
        <w:rPr>
          <w:rFonts w:ascii="Arial" w:hAnsi="Arial" w:cs="Arial"/>
          <w:sz w:val="20"/>
          <w:szCs w:val="20"/>
        </w:rPr>
      </w:pPr>
      <w:r w:rsidRPr="00DC4245">
        <w:rPr>
          <w:rFonts w:ascii="Arial" w:hAnsi="Arial" w:cs="Arial"/>
          <w:sz w:val="20"/>
          <w:szCs w:val="20"/>
          <w:lang w:val="pt-PT"/>
        </w:rPr>
        <w:t>Fonte: Dados da Pesquisa em 2014</w:t>
      </w:r>
    </w:p>
    <w:p w:rsidR="002F0CC1" w:rsidRDefault="002F0CC1" w:rsidP="002F0CC1">
      <w:pPr>
        <w:tabs>
          <w:tab w:val="left" w:pos="2393"/>
          <w:tab w:val="left" w:pos="3600"/>
        </w:tabs>
        <w:spacing w:line="480" w:lineRule="auto"/>
        <w:ind w:right="709"/>
        <w:contextualSpacing/>
        <w:jc w:val="both"/>
        <w:rPr>
          <w:rFonts w:ascii="Arial" w:hAnsi="Arial" w:cs="Arial"/>
          <w:szCs w:val="20"/>
        </w:rPr>
      </w:pPr>
    </w:p>
    <w:p w:rsidR="002610AD" w:rsidRDefault="00D329CD" w:rsidP="00D329CD">
      <w:pPr>
        <w:tabs>
          <w:tab w:val="left" w:pos="2393"/>
          <w:tab w:val="left" w:pos="3600"/>
        </w:tabs>
        <w:spacing w:line="360" w:lineRule="auto"/>
        <w:ind w:firstLine="1134"/>
        <w:contextualSpacing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Durante o período </w:t>
      </w:r>
      <w:r>
        <w:rPr>
          <w:rFonts w:ascii="Arial" w:hAnsi="Arial" w:cs="Arial"/>
        </w:rPr>
        <w:t>analisado</w:t>
      </w:r>
      <w:r w:rsidRPr="00F31154">
        <w:rPr>
          <w:rFonts w:ascii="Arial" w:hAnsi="Arial" w:cs="Arial"/>
        </w:rPr>
        <w:t xml:space="preserve"> nesta pesquisa, o índice de endividamento da empresa </w:t>
      </w:r>
      <w:r w:rsidR="00644CDB">
        <w:rPr>
          <w:rFonts w:ascii="Arial" w:hAnsi="Arial" w:cs="Arial"/>
        </w:rPr>
        <w:t xml:space="preserve">obteve um aumento durante o período analisado, onde há um aumento no seu passivo </w:t>
      </w:r>
      <w:proofErr w:type="gramStart"/>
      <w:r w:rsidR="00644CDB">
        <w:rPr>
          <w:rFonts w:ascii="Arial" w:hAnsi="Arial" w:cs="Arial"/>
        </w:rPr>
        <w:t>a longo prazo</w:t>
      </w:r>
      <w:proofErr w:type="gramEnd"/>
      <w:r w:rsidR="00644CDB">
        <w:rPr>
          <w:rFonts w:ascii="Arial" w:hAnsi="Arial" w:cs="Arial"/>
        </w:rPr>
        <w:t xml:space="preserve"> ocasionando esse crescimento no seu endividamento</w:t>
      </w:r>
      <w:r w:rsidRPr="00F31154">
        <w:rPr>
          <w:rFonts w:ascii="Arial" w:hAnsi="Arial" w:cs="Arial"/>
        </w:rPr>
        <w:t xml:space="preserve">, </w:t>
      </w:r>
      <w:r w:rsidR="00644CDB">
        <w:rPr>
          <w:rFonts w:ascii="Arial" w:hAnsi="Arial" w:cs="Arial"/>
        </w:rPr>
        <w:t xml:space="preserve">outro ponto relevante é </w:t>
      </w:r>
      <w:r w:rsidR="00B814E6">
        <w:rPr>
          <w:rFonts w:ascii="Arial" w:hAnsi="Arial" w:cs="Arial"/>
        </w:rPr>
        <w:t xml:space="preserve">um aumento no volume de </w:t>
      </w:r>
      <w:r w:rsidRPr="00F31154">
        <w:rPr>
          <w:rFonts w:ascii="Arial" w:hAnsi="Arial" w:cs="Arial"/>
        </w:rPr>
        <w:t>recursos financeiros de terceiros em relação ao seu ativo</w:t>
      </w:r>
      <w:r w:rsidR="00644CDB">
        <w:rPr>
          <w:rFonts w:ascii="Arial" w:hAnsi="Arial" w:cs="Arial"/>
        </w:rPr>
        <w:t xml:space="preserve"> aumentando suas despesas financeiras</w:t>
      </w:r>
      <w:r w:rsidRPr="00F31154">
        <w:rPr>
          <w:rFonts w:ascii="Arial" w:hAnsi="Arial" w:cs="Arial"/>
        </w:rPr>
        <w:t xml:space="preserve">. </w:t>
      </w:r>
    </w:p>
    <w:p w:rsidR="00D329CD" w:rsidRPr="00F31154" w:rsidRDefault="002610AD" w:rsidP="00D329CD">
      <w:pPr>
        <w:tabs>
          <w:tab w:val="left" w:pos="2393"/>
          <w:tab w:val="left" w:pos="3600"/>
        </w:tabs>
        <w:spacing w:line="360" w:lineRule="auto"/>
        <w:ind w:firstLine="113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329CD" w:rsidRPr="00F31154">
        <w:rPr>
          <w:rFonts w:ascii="Arial" w:hAnsi="Arial" w:cs="Arial"/>
        </w:rPr>
        <w:t xml:space="preserve"> índice de cobertura de juros </w:t>
      </w:r>
      <w:r w:rsidR="00D329CD">
        <w:rPr>
          <w:rFonts w:ascii="Arial" w:hAnsi="Arial" w:cs="Arial"/>
        </w:rPr>
        <w:t>percebe</w:t>
      </w:r>
      <w:r w:rsidR="00D329CD" w:rsidRPr="00F31154">
        <w:rPr>
          <w:rFonts w:ascii="Arial" w:hAnsi="Arial" w:cs="Arial"/>
        </w:rPr>
        <w:t>-se uma</w:t>
      </w:r>
      <w:r w:rsidR="00D329CD">
        <w:rPr>
          <w:rFonts w:ascii="Arial" w:hAnsi="Arial" w:cs="Arial"/>
        </w:rPr>
        <w:t xml:space="preserve"> </w:t>
      </w:r>
      <w:r w:rsidR="00D329CD" w:rsidRPr="00F31154">
        <w:rPr>
          <w:rFonts w:ascii="Arial" w:hAnsi="Arial" w:cs="Arial"/>
        </w:rPr>
        <w:t>redução</w:t>
      </w:r>
      <w:r w:rsidR="00D329CD">
        <w:rPr>
          <w:rFonts w:ascii="Arial" w:hAnsi="Arial" w:cs="Arial"/>
        </w:rPr>
        <w:t xml:space="preserve"> na solvência de </w:t>
      </w:r>
      <w:r w:rsidR="00D329CD" w:rsidRPr="00F31154">
        <w:rPr>
          <w:rFonts w:ascii="Arial" w:hAnsi="Arial" w:cs="Arial"/>
        </w:rPr>
        <w:t xml:space="preserve">pagamento de juros, devido o aumento de despesas financeiras </w:t>
      </w:r>
      <w:r>
        <w:rPr>
          <w:rFonts w:ascii="Arial" w:hAnsi="Arial" w:cs="Arial"/>
        </w:rPr>
        <w:t xml:space="preserve">de </w:t>
      </w:r>
      <w:proofErr w:type="gramStart"/>
      <w:r>
        <w:rPr>
          <w:rFonts w:ascii="Arial" w:hAnsi="Arial" w:cs="Arial"/>
        </w:rPr>
        <w:t>cinco vez</w:t>
      </w:r>
      <w:proofErr w:type="gramEnd"/>
      <w:r>
        <w:rPr>
          <w:rFonts w:ascii="Arial" w:hAnsi="Arial" w:cs="Arial"/>
        </w:rPr>
        <w:t xml:space="preserve"> mais no período analisado, enquanto</w:t>
      </w:r>
      <w:r w:rsidR="00D329CD" w:rsidRPr="00F31154">
        <w:rPr>
          <w:rFonts w:ascii="Arial" w:hAnsi="Arial" w:cs="Arial"/>
        </w:rPr>
        <w:t xml:space="preserve"> o seu resultado </w:t>
      </w:r>
      <w:r>
        <w:rPr>
          <w:rFonts w:ascii="Arial" w:hAnsi="Arial" w:cs="Arial"/>
        </w:rPr>
        <w:t xml:space="preserve">do lucro antes das despesas financeiras e </w:t>
      </w:r>
      <w:r w:rsidR="00D329CD" w:rsidRPr="00F31154">
        <w:rPr>
          <w:rFonts w:ascii="Arial" w:hAnsi="Arial" w:cs="Arial"/>
        </w:rPr>
        <w:t>imposto de renda</w:t>
      </w:r>
      <w:r>
        <w:rPr>
          <w:rFonts w:ascii="Arial" w:hAnsi="Arial" w:cs="Arial"/>
        </w:rPr>
        <w:t xml:space="preserve"> há um crescimento apenas de vinte por cento no mesmo período</w:t>
      </w:r>
      <w:r w:rsidR="00D329CD" w:rsidRPr="00F3115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desta forma </w:t>
      </w:r>
      <w:r w:rsidRPr="00F31154">
        <w:rPr>
          <w:rFonts w:ascii="Arial" w:hAnsi="Arial" w:cs="Arial"/>
        </w:rPr>
        <w:t>contribui</w:t>
      </w:r>
      <w:r>
        <w:rPr>
          <w:rFonts w:ascii="Arial" w:hAnsi="Arial" w:cs="Arial"/>
        </w:rPr>
        <w:t>-o</w:t>
      </w:r>
      <w:r w:rsidR="00D329CD" w:rsidRPr="00F31154">
        <w:rPr>
          <w:rFonts w:ascii="Arial" w:hAnsi="Arial" w:cs="Arial"/>
        </w:rPr>
        <w:t xml:space="preserve"> para</w:t>
      </w:r>
      <w:r w:rsidR="00D329CD">
        <w:rPr>
          <w:rFonts w:ascii="Arial" w:hAnsi="Arial" w:cs="Arial"/>
        </w:rPr>
        <w:t xml:space="preserve"> </w:t>
      </w:r>
      <w:r w:rsidR="00D329CD" w:rsidRPr="00F31154">
        <w:rPr>
          <w:rFonts w:ascii="Arial" w:hAnsi="Arial" w:cs="Arial"/>
        </w:rPr>
        <w:t>uma queda no desempenho na cobertura de juros.</w:t>
      </w:r>
    </w:p>
    <w:p w:rsidR="00D329CD" w:rsidRDefault="00D329CD" w:rsidP="00007F75">
      <w:pPr>
        <w:tabs>
          <w:tab w:val="left" w:pos="2393"/>
          <w:tab w:val="left" w:pos="3600"/>
        </w:tabs>
        <w:spacing w:line="360" w:lineRule="auto"/>
        <w:ind w:firstLine="1134"/>
        <w:contextualSpacing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Os índices de endividamento </w:t>
      </w:r>
      <w:r>
        <w:rPr>
          <w:rFonts w:ascii="Arial" w:hAnsi="Arial" w:cs="Arial"/>
        </w:rPr>
        <w:t>expõem</w:t>
      </w:r>
      <w:r w:rsidRPr="00F31154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>grau</w:t>
      </w:r>
      <w:r w:rsidRPr="00F31154">
        <w:rPr>
          <w:rFonts w:ascii="Arial" w:hAnsi="Arial" w:cs="Arial"/>
        </w:rPr>
        <w:t xml:space="preserve"> de obrigações </w:t>
      </w:r>
      <w:r>
        <w:rPr>
          <w:rFonts w:ascii="Arial" w:hAnsi="Arial" w:cs="Arial"/>
        </w:rPr>
        <w:t>em relação ao</w:t>
      </w:r>
      <w:r w:rsidRPr="00F31154">
        <w:rPr>
          <w:rFonts w:ascii="Arial" w:hAnsi="Arial" w:cs="Arial"/>
        </w:rPr>
        <w:t xml:space="preserve"> capital de terceiros, mensurando o desempenho da estrutura de financiamento da </w:t>
      </w:r>
      <w:r w:rsidRPr="00F31154">
        <w:rPr>
          <w:rFonts w:ascii="Arial" w:hAnsi="Arial" w:cs="Arial"/>
        </w:rPr>
        <w:lastRenderedPageBreak/>
        <w:t>empresa, ou seja, quanto à empresa está utilizando de capital de terceiros ou próprio para financiar seus ativos.</w:t>
      </w:r>
    </w:p>
    <w:p w:rsidR="00007F75" w:rsidRDefault="00007F75" w:rsidP="00C95847">
      <w:pPr>
        <w:tabs>
          <w:tab w:val="left" w:pos="2393"/>
          <w:tab w:val="left" w:pos="3600"/>
        </w:tabs>
        <w:spacing w:line="360" w:lineRule="auto"/>
        <w:ind w:firstLine="1134"/>
        <w:contextualSpacing/>
        <w:jc w:val="both"/>
        <w:rPr>
          <w:rFonts w:ascii="Arial" w:hAnsi="Arial" w:cs="Arial"/>
        </w:rPr>
      </w:pPr>
    </w:p>
    <w:p w:rsidR="00007F75" w:rsidRDefault="00325B92" w:rsidP="00007F75">
      <w:pPr>
        <w:tabs>
          <w:tab w:val="left" w:pos="2393"/>
          <w:tab w:val="left" w:pos="3600"/>
        </w:tabs>
        <w:spacing w:line="36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4.3 Análises</w:t>
      </w:r>
      <w:r w:rsidR="00007F75">
        <w:rPr>
          <w:rFonts w:ascii="Arial" w:hAnsi="Arial" w:cs="Arial"/>
          <w:b/>
        </w:rPr>
        <w:t xml:space="preserve"> dos Índices de Rentabilidade</w:t>
      </w:r>
    </w:p>
    <w:p w:rsidR="00007F75" w:rsidRDefault="00007F75" w:rsidP="00C95847">
      <w:pPr>
        <w:tabs>
          <w:tab w:val="left" w:pos="2393"/>
          <w:tab w:val="left" w:pos="3600"/>
        </w:tabs>
        <w:spacing w:line="360" w:lineRule="auto"/>
        <w:contextualSpacing/>
        <w:jc w:val="both"/>
        <w:rPr>
          <w:rFonts w:ascii="Arial" w:hAnsi="Arial" w:cs="Arial"/>
          <w:szCs w:val="20"/>
        </w:rPr>
      </w:pPr>
    </w:p>
    <w:p w:rsidR="00A03711" w:rsidRDefault="009C43D8" w:rsidP="009C43D8">
      <w:pPr>
        <w:tabs>
          <w:tab w:val="left" w:pos="2393"/>
          <w:tab w:val="left" w:pos="3600"/>
        </w:tabs>
        <w:spacing w:line="360" w:lineRule="auto"/>
        <w:ind w:firstLine="1134"/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tabela 1.3 abaixo apresenta o desenvolvimento dos índices de rentabilidade no período em estudo, mostrando a sua habilidade de gerar lucros.</w:t>
      </w:r>
    </w:p>
    <w:p w:rsidR="008E1413" w:rsidRDefault="008E1413" w:rsidP="00C95847">
      <w:pPr>
        <w:tabs>
          <w:tab w:val="left" w:pos="2393"/>
          <w:tab w:val="left" w:pos="3600"/>
        </w:tabs>
        <w:spacing w:line="360" w:lineRule="auto"/>
        <w:ind w:firstLine="1134"/>
        <w:contextualSpacing/>
        <w:jc w:val="both"/>
        <w:rPr>
          <w:rFonts w:ascii="Arial" w:hAnsi="Arial" w:cs="Arial"/>
          <w:szCs w:val="20"/>
        </w:rPr>
      </w:pPr>
    </w:p>
    <w:tbl>
      <w:tblPr>
        <w:tblW w:w="8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1360"/>
        <w:gridCol w:w="1420"/>
        <w:gridCol w:w="1360"/>
        <w:gridCol w:w="1420"/>
      </w:tblGrid>
      <w:tr w:rsidR="003823FD" w:rsidRPr="003823FD" w:rsidTr="003752E4">
        <w:trPr>
          <w:trHeight w:val="425"/>
        </w:trPr>
        <w:tc>
          <w:tcPr>
            <w:tcW w:w="8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3FD" w:rsidRPr="003823FD" w:rsidRDefault="003823FD" w:rsidP="003823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3FD">
              <w:rPr>
                <w:rFonts w:ascii="Arial" w:hAnsi="Arial" w:cs="Arial"/>
                <w:b/>
                <w:bCs/>
                <w:sz w:val="20"/>
                <w:szCs w:val="20"/>
              </w:rPr>
              <w:t>Tabel</w:t>
            </w:r>
            <w:r w:rsidR="00007F75">
              <w:rPr>
                <w:rFonts w:ascii="Arial" w:hAnsi="Arial" w:cs="Arial"/>
                <w:b/>
                <w:bCs/>
                <w:sz w:val="20"/>
                <w:szCs w:val="20"/>
              </w:rPr>
              <w:t>a 1.3 - Índices de Rentabilidade</w:t>
            </w:r>
            <w:r w:rsidRPr="003823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uma Empresa de Cosméticos e Perfumaria</w:t>
            </w:r>
          </w:p>
        </w:tc>
      </w:tr>
      <w:tr w:rsidR="00185036" w:rsidRPr="003823FD" w:rsidTr="003823FD">
        <w:trPr>
          <w:trHeight w:val="405"/>
        </w:trPr>
        <w:tc>
          <w:tcPr>
            <w:tcW w:w="2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CCFD1"/>
            <w:vAlign w:val="center"/>
            <w:hideMark/>
          </w:tcPr>
          <w:p w:rsidR="00185036" w:rsidRPr="003823FD" w:rsidRDefault="00185036" w:rsidP="00B01C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3FD">
              <w:rPr>
                <w:rFonts w:ascii="Arial" w:hAnsi="Arial" w:cs="Arial"/>
                <w:b/>
                <w:bCs/>
                <w:sz w:val="20"/>
                <w:szCs w:val="20"/>
              </w:rPr>
              <w:t>ÍNDICES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CCFD1"/>
            <w:vAlign w:val="center"/>
            <w:hideMark/>
          </w:tcPr>
          <w:p w:rsidR="00185036" w:rsidRPr="003823FD" w:rsidRDefault="00F22E28" w:rsidP="00B01C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2010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CCFD1"/>
            <w:vAlign w:val="center"/>
            <w:hideMark/>
          </w:tcPr>
          <w:p w:rsidR="00185036" w:rsidRPr="003823FD" w:rsidRDefault="00185036" w:rsidP="00F22E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3FD">
              <w:rPr>
                <w:rFonts w:ascii="Arial" w:hAnsi="Arial" w:cs="Arial"/>
                <w:b/>
                <w:bCs/>
                <w:sz w:val="20"/>
                <w:szCs w:val="20"/>
              </w:rPr>
              <w:t> 201</w:t>
            </w:r>
            <w:r w:rsidR="00F22E2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3823F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CCFD1"/>
            <w:vAlign w:val="center"/>
            <w:hideMark/>
          </w:tcPr>
          <w:p w:rsidR="00185036" w:rsidRPr="003823FD" w:rsidRDefault="00185036" w:rsidP="00F22E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3FD">
              <w:rPr>
                <w:rFonts w:ascii="Arial" w:hAnsi="Arial" w:cs="Arial"/>
                <w:b/>
                <w:bCs/>
                <w:sz w:val="20"/>
                <w:szCs w:val="20"/>
              </w:rPr>
              <w:t>201</w:t>
            </w:r>
            <w:r w:rsidR="00F22E2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3823F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CCFD1"/>
            <w:vAlign w:val="center"/>
            <w:hideMark/>
          </w:tcPr>
          <w:p w:rsidR="00185036" w:rsidRPr="003823FD" w:rsidRDefault="00185036" w:rsidP="00F22E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3FD">
              <w:rPr>
                <w:rFonts w:ascii="Arial" w:hAnsi="Arial" w:cs="Arial"/>
                <w:b/>
                <w:bCs/>
                <w:sz w:val="20"/>
                <w:szCs w:val="20"/>
              </w:rPr>
              <w:t> 201</w:t>
            </w:r>
            <w:r w:rsidR="00F22E2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3823F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22E28" w:rsidRPr="003823FD" w:rsidTr="00F22E28">
        <w:trPr>
          <w:trHeight w:val="255"/>
        </w:trPr>
        <w:tc>
          <w:tcPr>
            <w:tcW w:w="2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2E28" w:rsidRPr="003823FD" w:rsidRDefault="00F22E28" w:rsidP="00382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3FD">
              <w:rPr>
                <w:rFonts w:ascii="Arial" w:hAnsi="Arial" w:cs="Arial"/>
                <w:sz w:val="20"/>
                <w:szCs w:val="20"/>
              </w:rPr>
              <w:t>Margem Lucro Bruto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2E28" w:rsidRPr="003823FD" w:rsidRDefault="00F22E28" w:rsidP="00610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3FD">
              <w:rPr>
                <w:rFonts w:ascii="Arial" w:hAnsi="Arial" w:cs="Arial"/>
                <w:sz w:val="20"/>
                <w:szCs w:val="20"/>
              </w:rPr>
              <w:t>70%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2E28" w:rsidRPr="003823FD" w:rsidRDefault="00F22E28" w:rsidP="00610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3FD">
              <w:rPr>
                <w:rFonts w:ascii="Arial" w:hAnsi="Arial" w:cs="Arial"/>
                <w:sz w:val="20"/>
                <w:szCs w:val="20"/>
              </w:rPr>
              <w:t>70%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22E28" w:rsidRPr="003823FD" w:rsidRDefault="00FE549F" w:rsidP="00382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71%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22E28" w:rsidRPr="003823FD" w:rsidRDefault="00FE549F" w:rsidP="00382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70%</w:t>
            </w:r>
          </w:p>
        </w:tc>
      </w:tr>
      <w:tr w:rsidR="00F22E28" w:rsidRPr="003823FD" w:rsidTr="00F22E28">
        <w:trPr>
          <w:trHeight w:val="255"/>
        </w:trPr>
        <w:tc>
          <w:tcPr>
            <w:tcW w:w="2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2E28" w:rsidRPr="003823FD" w:rsidRDefault="00F22E28" w:rsidP="003823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2E28" w:rsidRPr="003823FD" w:rsidRDefault="00F22E28" w:rsidP="003823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2E28" w:rsidRPr="003823FD" w:rsidRDefault="00F22E28" w:rsidP="003823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E28" w:rsidRPr="003823FD" w:rsidRDefault="00F22E28" w:rsidP="003823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E28" w:rsidRPr="003823FD" w:rsidRDefault="00F22E28" w:rsidP="003823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E28" w:rsidRPr="003823FD" w:rsidTr="00F22E28">
        <w:trPr>
          <w:trHeight w:val="255"/>
        </w:trPr>
        <w:tc>
          <w:tcPr>
            <w:tcW w:w="2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2E28" w:rsidRPr="003823FD" w:rsidRDefault="00F22E28" w:rsidP="00382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3FD">
              <w:rPr>
                <w:rFonts w:ascii="Arial" w:hAnsi="Arial" w:cs="Arial"/>
                <w:sz w:val="20"/>
                <w:szCs w:val="20"/>
              </w:rPr>
              <w:t>Margem Lucro Operacional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2E28" w:rsidRPr="003823FD" w:rsidRDefault="00F22E28" w:rsidP="00610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3FD">
              <w:rPr>
                <w:rFonts w:ascii="Arial" w:hAnsi="Arial" w:cs="Arial"/>
                <w:sz w:val="20"/>
                <w:szCs w:val="20"/>
              </w:rPr>
              <w:t>23%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2E28" w:rsidRPr="003823FD" w:rsidRDefault="00F22E28" w:rsidP="00610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3FD">
              <w:rPr>
                <w:rFonts w:ascii="Arial" w:hAnsi="Arial" w:cs="Arial"/>
                <w:sz w:val="20"/>
                <w:szCs w:val="20"/>
              </w:rPr>
              <w:t>24%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22E28" w:rsidRPr="003823FD" w:rsidRDefault="00FE549F" w:rsidP="00382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22%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22E28" w:rsidRPr="003823FD" w:rsidRDefault="00FE549F" w:rsidP="00382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</w:t>
            </w:r>
          </w:p>
        </w:tc>
      </w:tr>
      <w:tr w:rsidR="00F22E28" w:rsidRPr="003823FD" w:rsidTr="00F22E28">
        <w:trPr>
          <w:trHeight w:val="255"/>
        </w:trPr>
        <w:tc>
          <w:tcPr>
            <w:tcW w:w="2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2E28" w:rsidRPr="003823FD" w:rsidRDefault="00F22E28" w:rsidP="003823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2E28" w:rsidRPr="003823FD" w:rsidRDefault="00F22E28" w:rsidP="003823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2E28" w:rsidRPr="003823FD" w:rsidRDefault="00F22E28" w:rsidP="003823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E28" w:rsidRPr="003823FD" w:rsidRDefault="00F22E28" w:rsidP="003823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E28" w:rsidRPr="003823FD" w:rsidRDefault="00F22E28" w:rsidP="003823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E28" w:rsidRPr="003823FD" w:rsidTr="00F22E28">
        <w:trPr>
          <w:trHeight w:val="255"/>
        </w:trPr>
        <w:tc>
          <w:tcPr>
            <w:tcW w:w="2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2E28" w:rsidRPr="003823FD" w:rsidRDefault="00F22E28" w:rsidP="00382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3FD">
              <w:rPr>
                <w:rFonts w:ascii="Arial" w:hAnsi="Arial" w:cs="Arial"/>
                <w:sz w:val="20"/>
                <w:szCs w:val="20"/>
              </w:rPr>
              <w:t>Margem Lucro Líquido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2E28" w:rsidRPr="003823FD" w:rsidRDefault="00F22E28" w:rsidP="00610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3FD">
              <w:rPr>
                <w:rFonts w:ascii="Arial" w:hAnsi="Arial" w:cs="Arial"/>
                <w:sz w:val="20"/>
                <w:szCs w:val="20"/>
              </w:rPr>
              <w:t>14%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2E28" w:rsidRPr="003823FD" w:rsidRDefault="00F22E28" w:rsidP="00610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3FD">
              <w:rPr>
                <w:rFonts w:ascii="Arial" w:hAnsi="Arial" w:cs="Arial"/>
                <w:sz w:val="20"/>
                <w:szCs w:val="20"/>
              </w:rPr>
              <w:t>15%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22E28" w:rsidRPr="003823FD" w:rsidRDefault="00FE549F" w:rsidP="00382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14%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22E28" w:rsidRPr="003823FD" w:rsidRDefault="00FE549F" w:rsidP="00382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12%</w:t>
            </w:r>
          </w:p>
        </w:tc>
      </w:tr>
      <w:tr w:rsidR="00F22E28" w:rsidRPr="003823FD" w:rsidTr="00F22E28">
        <w:trPr>
          <w:trHeight w:val="255"/>
        </w:trPr>
        <w:tc>
          <w:tcPr>
            <w:tcW w:w="2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2E28" w:rsidRPr="003823FD" w:rsidRDefault="00F22E28" w:rsidP="003823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2E28" w:rsidRPr="003823FD" w:rsidRDefault="00F22E28" w:rsidP="003823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2E28" w:rsidRPr="003823FD" w:rsidRDefault="00F22E28" w:rsidP="003823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E28" w:rsidRPr="003823FD" w:rsidRDefault="00F22E28" w:rsidP="003823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E28" w:rsidRPr="003823FD" w:rsidRDefault="00F22E28" w:rsidP="003823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E28" w:rsidRPr="003823FD" w:rsidTr="00F22E28">
        <w:trPr>
          <w:trHeight w:val="255"/>
        </w:trPr>
        <w:tc>
          <w:tcPr>
            <w:tcW w:w="2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2E28" w:rsidRPr="003823FD" w:rsidRDefault="00F22E28" w:rsidP="00382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3FD">
              <w:rPr>
                <w:rFonts w:ascii="Arial" w:hAnsi="Arial" w:cs="Arial"/>
                <w:sz w:val="20"/>
                <w:szCs w:val="20"/>
              </w:rPr>
              <w:t>Lucro por Ação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2E28" w:rsidRPr="003823FD" w:rsidRDefault="00F22E28" w:rsidP="00610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3FD">
              <w:rPr>
                <w:rFonts w:ascii="Arial" w:hAnsi="Arial" w:cs="Arial"/>
                <w:sz w:val="20"/>
                <w:szCs w:val="20"/>
              </w:rPr>
              <w:t>1,73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2E28" w:rsidRPr="003823FD" w:rsidRDefault="00F22E28" w:rsidP="00610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3FD">
              <w:rPr>
                <w:rFonts w:ascii="Arial" w:hAnsi="Arial" w:cs="Arial"/>
                <w:sz w:val="20"/>
                <w:szCs w:val="20"/>
              </w:rPr>
              <w:t>1,93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22E28" w:rsidRPr="003823FD" w:rsidRDefault="00FE549F" w:rsidP="00382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2,03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22E28" w:rsidRPr="003823FD" w:rsidRDefault="00FE549F" w:rsidP="00382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1,97</w:t>
            </w:r>
          </w:p>
        </w:tc>
      </w:tr>
      <w:tr w:rsidR="00F22E28" w:rsidRPr="003823FD" w:rsidTr="00F22E28">
        <w:trPr>
          <w:trHeight w:val="255"/>
        </w:trPr>
        <w:tc>
          <w:tcPr>
            <w:tcW w:w="2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2E28" w:rsidRPr="003823FD" w:rsidRDefault="00F22E28" w:rsidP="003823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2E28" w:rsidRPr="003823FD" w:rsidRDefault="00F22E28" w:rsidP="003823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2E28" w:rsidRPr="003823FD" w:rsidRDefault="00F22E28" w:rsidP="003823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E28" w:rsidRPr="003823FD" w:rsidRDefault="00F22E28" w:rsidP="003823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E28" w:rsidRPr="003823FD" w:rsidRDefault="00F22E28" w:rsidP="003823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E28" w:rsidRPr="003823FD" w:rsidTr="00F22E28">
        <w:trPr>
          <w:trHeight w:val="255"/>
        </w:trPr>
        <w:tc>
          <w:tcPr>
            <w:tcW w:w="2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2E28" w:rsidRPr="003823FD" w:rsidRDefault="00F22E28" w:rsidP="00382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3FD">
              <w:rPr>
                <w:rFonts w:ascii="Arial" w:hAnsi="Arial" w:cs="Arial"/>
                <w:sz w:val="20"/>
                <w:szCs w:val="20"/>
              </w:rPr>
              <w:t>Retorno sobre Ativo Total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2E28" w:rsidRPr="003823FD" w:rsidRDefault="00F22E28" w:rsidP="00610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3FD">
              <w:rPr>
                <w:rFonts w:ascii="Arial" w:hAnsi="Arial" w:cs="Arial"/>
                <w:sz w:val="20"/>
                <w:szCs w:val="20"/>
              </w:rPr>
              <w:t>0,23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2E28" w:rsidRPr="003823FD" w:rsidRDefault="00F22E28" w:rsidP="00610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3FD">
              <w:rPr>
                <w:rFonts w:ascii="Arial" w:hAnsi="Arial" w:cs="Arial"/>
                <w:sz w:val="20"/>
                <w:szCs w:val="20"/>
              </w:rPr>
              <w:t>0,22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22E28" w:rsidRPr="003823FD" w:rsidRDefault="00FE549F" w:rsidP="00382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0,16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22E28" w:rsidRPr="003823FD" w:rsidRDefault="00FE549F" w:rsidP="00382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0,14</w:t>
            </w:r>
          </w:p>
        </w:tc>
      </w:tr>
      <w:tr w:rsidR="00F22E28" w:rsidRPr="003823FD" w:rsidTr="00F22E28">
        <w:trPr>
          <w:trHeight w:val="255"/>
        </w:trPr>
        <w:tc>
          <w:tcPr>
            <w:tcW w:w="2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2E28" w:rsidRPr="003823FD" w:rsidRDefault="00F22E28" w:rsidP="003823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2E28" w:rsidRPr="003823FD" w:rsidRDefault="00F22E28" w:rsidP="003823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2E28" w:rsidRPr="003823FD" w:rsidRDefault="00F22E28" w:rsidP="003823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E28" w:rsidRPr="003823FD" w:rsidRDefault="00F22E28" w:rsidP="003823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E28" w:rsidRPr="003823FD" w:rsidRDefault="00F22E28" w:rsidP="003823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E28" w:rsidRPr="003823FD" w:rsidTr="00F22E28">
        <w:trPr>
          <w:trHeight w:val="255"/>
        </w:trPr>
        <w:tc>
          <w:tcPr>
            <w:tcW w:w="27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22E28" w:rsidRPr="003823FD" w:rsidRDefault="00F22E28" w:rsidP="00382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3FD">
              <w:rPr>
                <w:rFonts w:ascii="Arial" w:hAnsi="Arial" w:cs="Arial"/>
                <w:sz w:val="20"/>
                <w:szCs w:val="20"/>
              </w:rPr>
              <w:t>Retorno sobre Capital Próprio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22E28" w:rsidRPr="003823FD" w:rsidRDefault="00F22E28" w:rsidP="00610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3FD">
              <w:rPr>
                <w:rFonts w:ascii="Arial" w:hAnsi="Arial" w:cs="Arial"/>
                <w:sz w:val="20"/>
                <w:szCs w:val="20"/>
              </w:rPr>
              <w:t>0,59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22E28" w:rsidRPr="003823FD" w:rsidRDefault="00F22E28" w:rsidP="00610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3FD">
              <w:rPr>
                <w:rFonts w:ascii="Arial" w:hAnsi="Arial" w:cs="Arial"/>
                <w:sz w:val="20"/>
                <w:szCs w:val="20"/>
              </w:rPr>
              <w:t>0,66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:rsidR="00F22E28" w:rsidRPr="003823FD" w:rsidRDefault="00FE549F" w:rsidP="00382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0,68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:rsidR="00F22E28" w:rsidRPr="003823FD" w:rsidRDefault="00FE549F" w:rsidP="00382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0,73</w:t>
            </w:r>
          </w:p>
        </w:tc>
      </w:tr>
      <w:tr w:rsidR="003823FD" w:rsidRPr="003823FD" w:rsidTr="00F22E28">
        <w:trPr>
          <w:trHeight w:val="270"/>
        </w:trPr>
        <w:tc>
          <w:tcPr>
            <w:tcW w:w="27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823FD" w:rsidRPr="003823FD" w:rsidRDefault="003823FD" w:rsidP="003823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823FD" w:rsidRPr="003823FD" w:rsidRDefault="003823FD" w:rsidP="003823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823FD" w:rsidRPr="003823FD" w:rsidRDefault="003823FD" w:rsidP="003823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823FD" w:rsidRPr="003823FD" w:rsidRDefault="003823FD" w:rsidP="003823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823FD" w:rsidRPr="003823FD" w:rsidRDefault="003823FD" w:rsidP="003823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23FD" w:rsidRPr="003823FD" w:rsidRDefault="003823FD" w:rsidP="003823FD">
      <w:pPr>
        <w:tabs>
          <w:tab w:val="left" w:pos="2393"/>
          <w:tab w:val="left" w:pos="3600"/>
        </w:tabs>
        <w:spacing w:line="48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Fonte: Dados da pesquisa em 2014</w:t>
      </w:r>
    </w:p>
    <w:p w:rsidR="003823FD" w:rsidRDefault="003823FD" w:rsidP="00C95847">
      <w:pPr>
        <w:tabs>
          <w:tab w:val="left" w:pos="2393"/>
          <w:tab w:val="left" w:pos="3600"/>
        </w:tabs>
        <w:spacing w:line="360" w:lineRule="auto"/>
        <w:contextualSpacing/>
        <w:jc w:val="both"/>
        <w:rPr>
          <w:rFonts w:ascii="Arial" w:hAnsi="Arial" w:cs="Arial"/>
        </w:rPr>
      </w:pPr>
    </w:p>
    <w:p w:rsidR="00490BEE" w:rsidRDefault="00490BEE" w:rsidP="00490BEE">
      <w:pPr>
        <w:tabs>
          <w:tab w:val="left" w:pos="2393"/>
          <w:tab w:val="left" w:pos="3600"/>
        </w:tabs>
        <w:spacing w:line="360" w:lineRule="auto"/>
        <w:ind w:firstLine="113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Representação gráfica referente </w:t>
      </w:r>
      <w:r w:rsidR="00D24895">
        <w:rPr>
          <w:rFonts w:ascii="Arial" w:hAnsi="Arial" w:cs="Arial"/>
        </w:rPr>
        <w:t>ao cálculo das</w:t>
      </w:r>
      <w:r>
        <w:rPr>
          <w:rFonts w:ascii="Arial" w:hAnsi="Arial" w:cs="Arial"/>
        </w:rPr>
        <w:t xml:space="preserve"> margens</w:t>
      </w:r>
      <w:r w:rsidR="00D24895">
        <w:rPr>
          <w:rFonts w:ascii="Arial" w:hAnsi="Arial" w:cs="Arial"/>
        </w:rPr>
        <w:t xml:space="preserve"> de lucro </w:t>
      </w:r>
      <w:r>
        <w:rPr>
          <w:rFonts w:ascii="Arial" w:hAnsi="Arial" w:cs="Arial"/>
        </w:rPr>
        <w:t>da tabela 1.3 acima ilustrada.</w:t>
      </w:r>
    </w:p>
    <w:p w:rsidR="00FE549F" w:rsidRDefault="00FE549F" w:rsidP="00C95847">
      <w:pPr>
        <w:tabs>
          <w:tab w:val="left" w:pos="2393"/>
          <w:tab w:val="left" w:pos="3600"/>
        </w:tabs>
        <w:spacing w:line="360" w:lineRule="auto"/>
        <w:ind w:firstLine="1134"/>
        <w:contextualSpacing/>
        <w:jc w:val="both"/>
        <w:rPr>
          <w:rFonts w:ascii="Arial" w:hAnsi="Arial" w:cs="Arial"/>
        </w:rPr>
      </w:pPr>
    </w:p>
    <w:p w:rsidR="00B44D26" w:rsidRDefault="00B44D26" w:rsidP="0088583D">
      <w:pPr>
        <w:tabs>
          <w:tab w:val="left" w:pos="2393"/>
          <w:tab w:val="left" w:pos="3600"/>
        </w:tabs>
        <w:spacing w:line="480" w:lineRule="auto"/>
        <w:contextualSpacing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CB752A6" wp14:editId="6FEA6AF7">
            <wp:extent cx="5276850" cy="2095500"/>
            <wp:effectExtent l="0" t="0" r="19050" b="1905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90BEE" w:rsidRPr="00490BEE" w:rsidRDefault="00490BEE" w:rsidP="00490BEE">
      <w:pPr>
        <w:tabs>
          <w:tab w:val="left" w:pos="2393"/>
          <w:tab w:val="left" w:pos="3600"/>
        </w:tabs>
        <w:contextualSpacing/>
        <w:jc w:val="both"/>
        <w:rPr>
          <w:rFonts w:ascii="Arial" w:hAnsi="Arial" w:cs="Arial"/>
          <w:sz w:val="20"/>
        </w:rPr>
      </w:pPr>
      <w:r w:rsidRPr="00490BEE">
        <w:rPr>
          <w:rFonts w:ascii="Arial" w:hAnsi="Arial" w:cs="Arial"/>
          <w:b/>
          <w:bCs/>
          <w:sz w:val="20"/>
          <w:lang w:val="pt-PT"/>
        </w:rPr>
        <w:t>Gráfico 03: Margem de Lucro</w:t>
      </w:r>
    </w:p>
    <w:p w:rsidR="00490BEE" w:rsidRPr="00490BEE" w:rsidRDefault="00490BEE" w:rsidP="00490BEE">
      <w:pPr>
        <w:tabs>
          <w:tab w:val="left" w:pos="2393"/>
          <w:tab w:val="left" w:pos="3600"/>
        </w:tabs>
        <w:contextualSpacing/>
        <w:jc w:val="both"/>
        <w:rPr>
          <w:rFonts w:ascii="Arial" w:hAnsi="Arial" w:cs="Arial"/>
          <w:sz w:val="20"/>
        </w:rPr>
      </w:pPr>
      <w:r w:rsidRPr="00490BEE">
        <w:rPr>
          <w:rFonts w:ascii="Arial" w:hAnsi="Arial" w:cs="Arial"/>
          <w:sz w:val="20"/>
          <w:lang w:val="pt-PT"/>
        </w:rPr>
        <w:t>Fonte: Dados da Pesquisa em 2014</w:t>
      </w:r>
    </w:p>
    <w:p w:rsidR="00B44D26" w:rsidRDefault="00B44D26" w:rsidP="00B44D26">
      <w:pPr>
        <w:tabs>
          <w:tab w:val="left" w:pos="2393"/>
          <w:tab w:val="left" w:pos="3600"/>
        </w:tabs>
        <w:spacing w:line="480" w:lineRule="auto"/>
        <w:contextualSpacing/>
        <w:jc w:val="both"/>
        <w:rPr>
          <w:rFonts w:ascii="Arial" w:hAnsi="Arial" w:cs="Arial"/>
        </w:rPr>
      </w:pPr>
    </w:p>
    <w:p w:rsidR="007B71EE" w:rsidRPr="00F31154" w:rsidRDefault="007B71EE" w:rsidP="00B109AB">
      <w:pPr>
        <w:tabs>
          <w:tab w:val="left" w:pos="2393"/>
          <w:tab w:val="left" w:pos="3600"/>
        </w:tabs>
        <w:spacing w:line="360" w:lineRule="auto"/>
        <w:ind w:firstLine="1134"/>
        <w:contextualSpacing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lastRenderedPageBreak/>
        <w:t xml:space="preserve">Em </w:t>
      </w:r>
      <w:r w:rsidR="00B44D26">
        <w:rPr>
          <w:rFonts w:ascii="Arial" w:hAnsi="Arial" w:cs="Arial"/>
        </w:rPr>
        <w:t>vista</w:t>
      </w:r>
      <w:r w:rsidRPr="00F31154">
        <w:rPr>
          <w:rFonts w:ascii="Arial" w:hAnsi="Arial" w:cs="Arial"/>
        </w:rPr>
        <w:t xml:space="preserve"> do período analisado é </w:t>
      </w:r>
      <w:proofErr w:type="gramStart"/>
      <w:r w:rsidR="00BA0112">
        <w:rPr>
          <w:rFonts w:ascii="Arial" w:hAnsi="Arial" w:cs="Arial"/>
        </w:rPr>
        <w:t>notório</w:t>
      </w:r>
      <w:proofErr w:type="gramEnd"/>
      <w:r w:rsidRPr="00F31154">
        <w:rPr>
          <w:rFonts w:ascii="Arial" w:hAnsi="Arial" w:cs="Arial"/>
        </w:rPr>
        <w:t xml:space="preserve"> uma constante</w:t>
      </w:r>
      <w:r w:rsidR="005F6666" w:rsidRPr="00F31154">
        <w:rPr>
          <w:rFonts w:ascii="Arial" w:hAnsi="Arial" w:cs="Arial"/>
        </w:rPr>
        <w:t xml:space="preserve"> nos resultados da sua margem do</w:t>
      </w:r>
      <w:r w:rsidRPr="00F31154">
        <w:rPr>
          <w:rFonts w:ascii="Arial" w:hAnsi="Arial" w:cs="Arial"/>
        </w:rPr>
        <w:t xml:space="preserve"> lucro </w:t>
      </w:r>
      <w:r w:rsidR="005F6666" w:rsidRPr="00F31154">
        <w:rPr>
          <w:rFonts w:ascii="Arial" w:hAnsi="Arial" w:cs="Arial"/>
        </w:rPr>
        <w:t xml:space="preserve">bruto </w:t>
      </w:r>
      <w:r w:rsidRPr="00F31154">
        <w:rPr>
          <w:rFonts w:ascii="Arial" w:hAnsi="Arial" w:cs="Arial"/>
        </w:rPr>
        <w:t xml:space="preserve">em relação à receita, ou seja, não houve um crescimento propenso, e sim houve um resultado avesso, aumentou a receita </w:t>
      </w:r>
      <w:r w:rsidR="00BF2505">
        <w:rPr>
          <w:rFonts w:ascii="Arial" w:hAnsi="Arial" w:cs="Arial"/>
        </w:rPr>
        <w:t xml:space="preserve">assim </w:t>
      </w:r>
      <w:r w:rsidRPr="00F31154">
        <w:rPr>
          <w:rFonts w:ascii="Arial" w:hAnsi="Arial" w:cs="Arial"/>
        </w:rPr>
        <w:t xml:space="preserve">como </w:t>
      </w:r>
      <w:r w:rsidR="00EF41E6">
        <w:rPr>
          <w:rFonts w:ascii="Arial" w:hAnsi="Arial" w:cs="Arial"/>
        </w:rPr>
        <w:t>seus</w:t>
      </w:r>
      <w:r w:rsidRPr="00F31154">
        <w:rPr>
          <w:rFonts w:ascii="Arial" w:hAnsi="Arial" w:cs="Arial"/>
        </w:rPr>
        <w:t xml:space="preserve"> </w:t>
      </w:r>
      <w:r w:rsidR="00EF41E6">
        <w:rPr>
          <w:rFonts w:ascii="Arial" w:hAnsi="Arial" w:cs="Arial"/>
        </w:rPr>
        <w:t>custos</w:t>
      </w:r>
      <w:r w:rsidRPr="00F31154">
        <w:rPr>
          <w:rFonts w:ascii="Arial" w:hAnsi="Arial" w:cs="Arial"/>
        </w:rPr>
        <w:t>, permanecendo constantes essas variáveis.</w:t>
      </w:r>
    </w:p>
    <w:p w:rsidR="004A18C2" w:rsidRDefault="00BA0112" w:rsidP="00B109AB">
      <w:pPr>
        <w:tabs>
          <w:tab w:val="left" w:pos="2393"/>
          <w:tab w:val="left" w:pos="3600"/>
        </w:tabs>
        <w:spacing w:line="360" w:lineRule="auto"/>
        <w:ind w:firstLine="113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Na</w:t>
      </w:r>
      <w:r w:rsidR="005F6666" w:rsidRPr="00F31154">
        <w:rPr>
          <w:rFonts w:ascii="Arial" w:hAnsi="Arial" w:cs="Arial"/>
        </w:rPr>
        <w:t xml:space="preserve"> marge</w:t>
      </w:r>
      <w:r>
        <w:rPr>
          <w:rFonts w:ascii="Arial" w:hAnsi="Arial" w:cs="Arial"/>
        </w:rPr>
        <w:t>m</w:t>
      </w:r>
      <w:r w:rsidR="00072FBD">
        <w:rPr>
          <w:rFonts w:ascii="Arial" w:hAnsi="Arial" w:cs="Arial"/>
        </w:rPr>
        <w:t xml:space="preserve"> do lucro o</w:t>
      </w:r>
      <w:r w:rsidR="005F6666" w:rsidRPr="00F31154">
        <w:rPr>
          <w:rFonts w:ascii="Arial" w:hAnsi="Arial" w:cs="Arial"/>
        </w:rPr>
        <w:t xml:space="preserve">peracional </w:t>
      </w:r>
      <w:r w:rsidR="0045674A" w:rsidRPr="00F31154">
        <w:rPr>
          <w:rFonts w:ascii="Arial" w:hAnsi="Arial" w:cs="Arial"/>
        </w:rPr>
        <w:t xml:space="preserve">há uma queda de </w:t>
      </w:r>
      <w:proofErr w:type="gramStart"/>
      <w:r w:rsidR="0045674A" w:rsidRPr="00F31154">
        <w:rPr>
          <w:rFonts w:ascii="Arial" w:hAnsi="Arial" w:cs="Arial"/>
        </w:rPr>
        <w:t>3</w:t>
      </w:r>
      <w:proofErr w:type="gramEnd"/>
      <w:r>
        <w:rPr>
          <w:rFonts w:ascii="Arial" w:hAnsi="Arial" w:cs="Arial"/>
        </w:rPr>
        <w:t xml:space="preserve"> (três)</w:t>
      </w:r>
      <w:r w:rsidR="0045674A" w:rsidRPr="00F31154">
        <w:rPr>
          <w:rFonts w:ascii="Arial" w:hAnsi="Arial" w:cs="Arial"/>
        </w:rPr>
        <w:t xml:space="preserve"> pontos percentuais, mostrando que houve um aumento em suas despesas e custos em relação a sua receita</w:t>
      </w:r>
      <w:r w:rsidR="00EF41E6">
        <w:rPr>
          <w:rFonts w:ascii="Arial" w:hAnsi="Arial" w:cs="Arial"/>
        </w:rPr>
        <w:t>, enquanto a receita há um aumento de 30% seus custos e despesas cresceram 40%, ocasionando essa queda.</w:t>
      </w:r>
      <w:r w:rsidR="0045674A" w:rsidRPr="00F31154">
        <w:rPr>
          <w:rFonts w:ascii="Arial" w:hAnsi="Arial" w:cs="Arial"/>
        </w:rPr>
        <w:t xml:space="preserve"> </w:t>
      </w:r>
      <w:r w:rsidR="00EF41E6">
        <w:rPr>
          <w:rFonts w:ascii="Arial" w:hAnsi="Arial" w:cs="Arial"/>
        </w:rPr>
        <w:t>E</w:t>
      </w:r>
      <w:r w:rsidR="00072FBD">
        <w:rPr>
          <w:rFonts w:ascii="Arial" w:hAnsi="Arial" w:cs="Arial"/>
        </w:rPr>
        <w:t>m relação a</w:t>
      </w:r>
      <w:r w:rsidR="0045674A" w:rsidRPr="00F31154">
        <w:rPr>
          <w:rFonts w:ascii="Arial" w:hAnsi="Arial" w:cs="Arial"/>
        </w:rPr>
        <w:t>o</w:t>
      </w:r>
      <w:r w:rsidR="005F6666" w:rsidRPr="00F31154">
        <w:rPr>
          <w:rFonts w:ascii="Arial" w:hAnsi="Arial" w:cs="Arial"/>
        </w:rPr>
        <w:t xml:space="preserve"> </w:t>
      </w:r>
      <w:r w:rsidR="00072FBD">
        <w:rPr>
          <w:rFonts w:ascii="Arial" w:hAnsi="Arial" w:cs="Arial"/>
        </w:rPr>
        <w:t>l</w:t>
      </w:r>
      <w:r w:rsidR="005F6666" w:rsidRPr="00F31154">
        <w:rPr>
          <w:rFonts w:ascii="Arial" w:hAnsi="Arial" w:cs="Arial"/>
        </w:rPr>
        <w:t xml:space="preserve">ucro </w:t>
      </w:r>
      <w:r w:rsidR="00072FBD">
        <w:rPr>
          <w:rFonts w:ascii="Arial" w:hAnsi="Arial" w:cs="Arial"/>
        </w:rPr>
        <w:t>l</w:t>
      </w:r>
      <w:r w:rsidR="005F6666" w:rsidRPr="00F31154">
        <w:rPr>
          <w:rFonts w:ascii="Arial" w:hAnsi="Arial" w:cs="Arial"/>
        </w:rPr>
        <w:t xml:space="preserve">íquido </w:t>
      </w:r>
      <w:r w:rsidR="00072FBD">
        <w:rPr>
          <w:rFonts w:ascii="Arial" w:hAnsi="Arial" w:cs="Arial"/>
        </w:rPr>
        <w:t xml:space="preserve">da empresa, </w:t>
      </w:r>
      <w:r w:rsidR="0045674A" w:rsidRPr="00F31154">
        <w:rPr>
          <w:rFonts w:ascii="Arial" w:hAnsi="Arial" w:cs="Arial"/>
        </w:rPr>
        <w:t xml:space="preserve">há uma queda de </w:t>
      </w:r>
      <w:proofErr w:type="gramStart"/>
      <w:r w:rsidR="0045674A" w:rsidRPr="00F31154">
        <w:rPr>
          <w:rFonts w:ascii="Arial" w:hAnsi="Arial" w:cs="Arial"/>
        </w:rPr>
        <w:t>2</w:t>
      </w:r>
      <w:proofErr w:type="gramEnd"/>
      <w:r w:rsidR="0045674A" w:rsidRPr="00F31154">
        <w:rPr>
          <w:rFonts w:ascii="Arial" w:hAnsi="Arial" w:cs="Arial"/>
        </w:rPr>
        <w:t xml:space="preserve"> </w:t>
      </w:r>
      <w:r w:rsidR="00FA1759">
        <w:rPr>
          <w:rFonts w:ascii="Arial" w:hAnsi="Arial" w:cs="Arial"/>
        </w:rPr>
        <w:t xml:space="preserve">(dois) </w:t>
      </w:r>
      <w:r w:rsidR="0045674A" w:rsidRPr="00F31154">
        <w:rPr>
          <w:rFonts w:ascii="Arial" w:hAnsi="Arial" w:cs="Arial"/>
        </w:rPr>
        <w:t>pontos percentuais, ou seja, além do aumento de suas despesas e custos, há também aumento nos juros e impostos.</w:t>
      </w:r>
    </w:p>
    <w:p w:rsidR="00755CBA" w:rsidRDefault="00755CBA" w:rsidP="00EF41E6">
      <w:pPr>
        <w:tabs>
          <w:tab w:val="left" w:pos="2393"/>
          <w:tab w:val="left" w:pos="3600"/>
        </w:tabs>
        <w:spacing w:line="360" w:lineRule="auto"/>
        <w:contextualSpacing/>
        <w:jc w:val="both"/>
        <w:rPr>
          <w:rFonts w:ascii="Arial" w:hAnsi="Arial" w:cs="Arial"/>
        </w:rPr>
      </w:pPr>
    </w:p>
    <w:p w:rsidR="003978F6" w:rsidRDefault="003978F6" w:rsidP="00B109AB">
      <w:pPr>
        <w:tabs>
          <w:tab w:val="left" w:pos="2393"/>
          <w:tab w:val="left" w:pos="3600"/>
        </w:tabs>
        <w:spacing w:line="360" w:lineRule="auto"/>
        <w:ind w:firstLine="113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Representação gráfica referente aos cálculos dos índices de retorno da tabela 1.3 ilustrada acima.</w:t>
      </w:r>
    </w:p>
    <w:p w:rsidR="00EF41E6" w:rsidRDefault="00EF41E6" w:rsidP="00B109AB">
      <w:pPr>
        <w:tabs>
          <w:tab w:val="left" w:pos="2393"/>
          <w:tab w:val="left" w:pos="3600"/>
        </w:tabs>
        <w:spacing w:line="360" w:lineRule="auto"/>
        <w:ind w:firstLine="1134"/>
        <w:contextualSpacing/>
        <w:jc w:val="both"/>
        <w:rPr>
          <w:rFonts w:ascii="Arial" w:hAnsi="Arial" w:cs="Arial"/>
        </w:rPr>
      </w:pPr>
    </w:p>
    <w:p w:rsidR="00B8606A" w:rsidRDefault="00B8606A" w:rsidP="00B8606A">
      <w:pPr>
        <w:tabs>
          <w:tab w:val="left" w:pos="2393"/>
          <w:tab w:val="left" w:pos="3600"/>
        </w:tabs>
        <w:spacing w:line="360" w:lineRule="auto"/>
        <w:contextualSpacing/>
        <w:jc w:val="both"/>
        <w:rPr>
          <w:rFonts w:ascii="Arial" w:hAnsi="Arial" w:cs="Arial"/>
        </w:rPr>
      </w:pPr>
      <w:r w:rsidRPr="00B8606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2F78E0A" wp14:editId="3E10E2A9">
            <wp:extent cx="5231219" cy="2360428"/>
            <wp:effectExtent l="0" t="0" r="26670" b="20955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24895" w:rsidRPr="00D24895" w:rsidRDefault="00D24895" w:rsidP="00D24895">
      <w:pPr>
        <w:tabs>
          <w:tab w:val="left" w:pos="2393"/>
          <w:tab w:val="left" w:pos="3600"/>
        </w:tabs>
        <w:contextualSpacing/>
        <w:jc w:val="both"/>
        <w:rPr>
          <w:rFonts w:ascii="Arial" w:hAnsi="Arial" w:cs="Arial"/>
          <w:sz w:val="20"/>
        </w:rPr>
      </w:pPr>
      <w:r w:rsidRPr="00D24895">
        <w:rPr>
          <w:rFonts w:ascii="Arial" w:hAnsi="Arial" w:cs="Arial"/>
          <w:b/>
          <w:bCs/>
          <w:sz w:val="20"/>
          <w:lang w:val="pt-PT"/>
        </w:rPr>
        <w:t>Gráfico 04: Retornos</w:t>
      </w:r>
    </w:p>
    <w:p w:rsidR="00D24895" w:rsidRPr="00D24895" w:rsidRDefault="00D24895" w:rsidP="00D24895">
      <w:pPr>
        <w:tabs>
          <w:tab w:val="left" w:pos="2393"/>
          <w:tab w:val="left" w:pos="3600"/>
        </w:tabs>
        <w:contextualSpacing/>
        <w:jc w:val="both"/>
        <w:rPr>
          <w:rFonts w:ascii="Arial" w:hAnsi="Arial" w:cs="Arial"/>
          <w:sz w:val="20"/>
        </w:rPr>
      </w:pPr>
      <w:r w:rsidRPr="00D24895">
        <w:rPr>
          <w:rFonts w:ascii="Arial" w:hAnsi="Arial" w:cs="Arial"/>
          <w:sz w:val="20"/>
          <w:lang w:val="pt-PT"/>
        </w:rPr>
        <w:t>Fonte: Dados da</w:t>
      </w:r>
      <w:r>
        <w:rPr>
          <w:rFonts w:ascii="Arial" w:hAnsi="Arial" w:cs="Arial"/>
          <w:sz w:val="20"/>
          <w:lang w:val="pt-PT"/>
        </w:rPr>
        <w:t xml:space="preserve"> </w:t>
      </w:r>
      <w:r w:rsidRPr="00D24895">
        <w:rPr>
          <w:rFonts w:ascii="Arial" w:hAnsi="Arial" w:cs="Arial"/>
          <w:sz w:val="20"/>
          <w:lang w:val="pt-PT"/>
        </w:rPr>
        <w:t>Pesquisa em 2014</w:t>
      </w:r>
    </w:p>
    <w:p w:rsidR="00B8606A" w:rsidRDefault="00B8606A" w:rsidP="00B8606A">
      <w:pPr>
        <w:tabs>
          <w:tab w:val="left" w:pos="2393"/>
          <w:tab w:val="left" w:pos="3600"/>
        </w:tabs>
        <w:spacing w:line="480" w:lineRule="auto"/>
        <w:contextualSpacing/>
        <w:jc w:val="both"/>
        <w:rPr>
          <w:rFonts w:ascii="Arial" w:hAnsi="Arial" w:cs="Arial"/>
        </w:rPr>
      </w:pPr>
    </w:p>
    <w:p w:rsidR="00A96688" w:rsidRDefault="00A96688" w:rsidP="00B109AB">
      <w:pPr>
        <w:tabs>
          <w:tab w:val="left" w:pos="2393"/>
          <w:tab w:val="left" w:pos="3600"/>
        </w:tabs>
        <w:spacing w:line="360" w:lineRule="auto"/>
        <w:ind w:firstLine="113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Se tratando do lucro por ação, aumentou de 1,73 para 1,97, no período analisado, significa que há um ganho crescente por cada ação ordinária em circulaç</w:t>
      </w:r>
      <w:r w:rsidR="00700ACE">
        <w:rPr>
          <w:rFonts w:ascii="Arial" w:hAnsi="Arial" w:cs="Arial"/>
        </w:rPr>
        <w:t>ão.</w:t>
      </w:r>
      <w:r w:rsidR="00CE3542">
        <w:rPr>
          <w:rFonts w:ascii="Arial" w:hAnsi="Arial" w:cs="Arial"/>
        </w:rPr>
        <w:t xml:space="preserve"> Dessa forma os acionistas tem esse indicador como uma ferramenta indispensável por ser de seu</w:t>
      </w:r>
      <w:r w:rsidR="002F4199">
        <w:rPr>
          <w:rFonts w:ascii="Arial" w:hAnsi="Arial" w:cs="Arial"/>
        </w:rPr>
        <w:t xml:space="preserve"> interesse o resultado obtido, </w:t>
      </w:r>
      <w:r w:rsidR="00CE3542">
        <w:rPr>
          <w:rFonts w:ascii="Arial" w:hAnsi="Arial" w:cs="Arial"/>
        </w:rPr>
        <w:t xml:space="preserve">onde ver o quanto estão ganhando por cada ação da empresa, e neste caso se tem em seus resultados maior que </w:t>
      </w:r>
      <w:proofErr w:type="gramStart"/>
      <w:r w:rsidR="00CE3542">
        <w:rPr>
          <w:rFonts w:ascii="Arial" w:hAnsi="Arial" w:cs="Arial"/>
        </w:rPr>
        <w:t>1</w:t>
      </w:r>
      <w:proofErr w:type="gramEnd"/>
      <w:r w:rsidR="00CE3542">
        <w:rPr>
          <w:rFonts w:ascii="Arial" w:hAnsi="Arial" w:cs="Arial"/>
        </w:rPr>
        <w:t>.</w:t>
      </w:r>
    </w:p>
    <w:p w:rsidR="009F1C43" w:rsidRPr="00F31154" w:rsidRDefault="00DF41BB" w:rsidP="00B109AB">
      <w:pPr>
        <w:tabs>
          <w:tab w:val="left" w:pos="2393"/>
          <w:tab w:val="left" w:pos="3600"/>
        </w:tabs>
        <w:spacing w:line="360" w:lineRule="auto"/>
        <w:ind w:firstLine="113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No</w:t>
      </w:r>
      <w:r w:rsidR="009F1C43" w:rsidRPr="00F31154">
        <w:rPr>
          <w:rFonts w:ascii="Arial" w:hAnsi="Arial" w:cs="Arial"/>
        </w:rPr>
        <w:t xml:space="preserve"> retorno sobre o ativo h</w:t>
      </w:r>
      <w:r w:rsidR="001B7B91" w:rsidRPr="00F31154">
        <w:rPr>
          <w:rFonts w:ascii="Arial" w:hAnsi="Arial" w:cs="Arial"/>
        </w:rPr>
        <w:t>á uma queda</w:t>
      </w:r>
      <w:r w:rsidR="000C0FEC">
        <w:rPr>
          <w:rFonts w:ascii="Arial" w:hAnsi="Arial" w:cs="Arial"/>
        </w:rPr>
        <w:t xml:space="preserve"> de 0,09 pontos</w:t>
      </w:r>
      <w:r w:rsidR="001B7B91" w:rsidRPr="00F31154">
        <w:rPr>
          <w:rFonts w:ascii="Arial" w:hAnsi="Arial" w:cs="Arial"/>
        </w:rPr>
        <w:t xml:space="preserve">, ou seja, os acionistas estão deixando de ganhar </w:t>
      </w:r>
      <w:r w:rsidR="000C0FEC">
        <w:rPr>
          <w:rFonts w:ascii="Arial" w:hAnsi="Arial" w:cs="Arial"/>
        </w:rPr>
        <w:t>o valor</w:t>
      </w:r>
      <w:r w:rsidR="001B7B91" w:rsidRPr="00F31154">
        <w:rPr>
          <w:rFonts w:ascii="Arial" w:hAnsi="Arial" w:cs="Arial"/>
        </w:rPr>
        <w:t xml:space="preserve"> investido na empresa. Já o retorno </w:t>
      </w:r>
      <w:r w:rsidR="001B7B91" w:rsidRPr="00F31154">
        <w:rPr>
          <w:rFonts w:ascii="Arial" w:hAnsi="Arial" w:cs="Arial"/>
        </w:rPr>
        <w:lastRenderedPageBreak/>
        <w:t xml:space="preserve">sobre o capital próprio, </w:t>
      </w:r>
      <w:r w:rsidR="00B1438A" w:rsidRPr="00F31154">
        <w:rPr>
          <w:rFonts w:ascii="Arial" w:hAnsi="Arial" w:cs="Arial"/>
        </w:rPr>
        <w:t>ocorre</w:t>
      </w:r>
      <w:r w:rsidR="001B7B91" w:rsidRPr="00F31154">
        <w:rPr>
          <w:rFonts w:ascii="Arial" w:hAnsi="Arial" w:cs="Arial"/>
        </w:rPr>
        <w:t xml:space="preserve"> o inverso, há um aumento, os acionistas estão recuperando o valor investido de seu capital próprio.</w:t>
      </w:r>
    </w:p>
    <w:p w:rsidR="00BA3A91" w:rsidRDefault="00C52A36" w:rsidP="00B109AB">
      <w:pPr>
        <w:tabs>
          <w:tab w:val="left" w:pos="2393"/>
          <w:tab w:val="left" w:pos="3600"/>
        </w:tabs>
        <w:spacing w:line="360" w:lineRule="auto"/>
        <w:ind w:firstLine="1134"/>
        <w:contextualSpacing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Os índices de rentabilidade </w:t>
      </w:r>
      <w:r w:rsidR="00B672A3">
        <w:rPr>
          <w:rFonts w:ascii="Arial" w:hAnsi="Arial" w:cs="Arial"/>
        </w:rPr>
        <w:t>medem</w:t>
      </w:r>
      <w:r w:rsidRPr="00F31154">
        <w:rPr>
          <w:rFonts w:ascii="Arial" w:hAnsi="Arial" w:cs="Arial"/>
        </w:rPr>
        <w:t xml:space="preserve"> os </w:t>
      </w:r>
      <w:r w:rsidR="00B672A3">
        <w:rPr>
          <w:rFonts w:ascii="Arial" w:hAnsi="Arial" w:cs="Arial"/>
        </w:rPr>
        <w:t>proventos</w:t>
      </w:r>
      <w:r w:rsidRPr="00F31154">
        <w:rPr>
          <w:rFonts w:ascii="Arial" w:hAnsi="Arial" w:cs="Arial"/>
        </w:rPr>
        <w:t xml:space="preserve"> </w:t>
      </w:r>
      <w:r w:rsidR="00B672A3">
        <w:rPr>
          <w:rFonts w:ascii="Arial" w:hAnsi="Arial" w:cs="Arial"/>
        </w:rPr>
        <w:t>adquiridos</w:t>
      </w:r>
      <w:r w:rsidRPr="00F31154">
        <w:rPr>
          <w:rFonts w:ascii="Arial" w:hAnsi="Arial" w:cs="Arial"/>
        </w:rPr>
        <w:t xml:space="preserve"> por uma empresa, eles </w:t>
      </w:r>
      <w:r w:rsidR="00B672A3">
        <w:rPr>
          <w:rFonts w:ascii="Arial" w:hAnsi="Arial" w:cs="Arial"/>
        </w:rPr>
        <w:t>demonstram</w:t>
      </w:r>
      <w:r w:rsidRPr="00F31154">
        <w:rPr>
          <w:rFonts w:ascii="Arial" w:hAnsi="Arial" w:cs="Arial"/>
        </w:rPr>
        <w:t xml:space="preserve"> o grau de sucesso econômico da empresa. </w:t>
      </w:r>
      <w:r w:rsidR="00B672A3">
        <w:rPr>
          <w:rFonts w:ascii="Arial" w:hAnsi="Arial" w:cs="Arial"/>
        </w:rPr>
        <w:t>Associa</w:t>
      </w:r>
      <w:r w:rsidRPr="00F31154">
        <w:rPr>
          <w:rFonts w:ascii="Arial" w:hAnsi="Arial" w:cs="Arial"/>
        </w:rPr>
        <w:t xml:space="preserve"> as receitas, </w:t>
      </w:r>
      <w:r w:rsidR="00B672A3">
        <w:rPr>
          <w:rFonts w:ascii="Arial" w:hAnsi="Arial" w:cs="Arial"/>
        </w:rPr>
        <w:t xml:space="preserve">lucro bruto, </w:t>
      </w:r>
      <w:r w:rsidRPr="00F31154">
        <w:rPr>
          <w:rFonts w:ascii="Arial" w:hAnsi="Arial" w:cs="Arial"/>
        </w:rPr>
        <w:t xml:space="preserve">lucro líquido, </w:t>
      </w:r>
      <w:r w:rsidR="00B672A3">
        <w:rPr>
          <w:rFonts w:ascii="Arial" w:hAnsi="Arial" w:cs="Arial"/>
        </w:rPr>
        <w:t xml:space="preserve">resultado operacional, </w:t>
      </w:r>
      <w:r w:rsidRPr="00F31154">
        <w:rPr>
          <w:rFonts w:ascii="Arial" w:hAnsi="Arial" w:cs="Arial"/>
        </w:rPr>
        <w:t>ativo total e patrimônio líquido.</w:t>
      </w:r>
    </w:p>
    <w:p w:rsidR="004A18C2" w:rsidRPr="00F31154" w:rsidRDefault="004A18C2" w:rsidP="00595C13">
      <w:pPr>
        <w:tabs>
          <w:tab w:val="left" w:pos="2393"/>
          <w:tab w:val="left" w:pos="3600"/>
        </w:tabs>
        <w:spacing w:line="480" w:lineRule="auto"/>
        <w:ind w:firstLine="1134"/>
        <w:contextualSpacing/>
        <w:jc w:val="both"/>
        <w:rPr>
          <w:rFonts w:ascii="Arial" w:hAnsi="Arial" w:cs="Arial"/>
        </w:rPr>
      </w:pPr>
    </w:p>
    <w:p w:rsidR="00F31154" w:rsidRPr="00F31154" w:rsidRDefault="00640782" w:rsidP="00F31154">
      <w:pPr>
        <w:pStyle w:val="PargrafodaLista"/>
        <w:numPr>
          <w:ilvl w:val="0"/>
          <w:numId w:val="37"/>
        </w:numPr>
        <w:tabs>
          <w:tab w:val="left" w:pos="2393"/>
          <w:tab w:val="left" w:pos="3600"/>
        </w:tabs>
        <w:spacing w:line="360" w:lineRule="auto"/>
        <w:rPr>
          <w:rFonts w:ascii="Arial" w:hAnsi="Arial" w:cs="Arial"/>
          <w:b/>
        </w:rPr>
      </w:pPr>
      <w:r w:rsidRPr="00F31154">
        <w:rPr>
          <w:rFonts w:ascii="Arial" w:hAnsi="Arial" w:cs="Arial"/>
          <w:b/>
        </w:rPr>
        <w:t>CONSIDERAÇÕES FINAIS</w:t>
      </w:r>
    </w:p>
    <w:p w:rsidR="00344CC3" w:rsidRPr="00F31154" w:rsidRDefault="00344CC3" w:rsidP="00595C13">
      <w:pPr>
        <w:tabs>
          <w:tab w:val="left" w:pos="2393"/>
          <w:tab w:val="left" w:pos="3600"/>
        </w:tabs>
        <w:spacing w:line="480" w:lineRule="auto"/>
        <w:contextualSpacing/>
        <w:rPr>
          <w:rFonts w:ascii="Arial" w:hAnsi="Arial" w:cs="Arial"/>
          <w:b/>
        </w:rPr>
      </w:pPr>
    </w:p>
    <w:p w:rsidR="00344CC3" w:rsidRPr="00F31154" w:rsidRDefault="00344CC3" w:rsidP="00344CC3">
      <w:pPr>
        <w:tabs>
          <w:tab w:val="left" w:pos="2393"/>
          <w:tab w:val="left" w:pos="3600"/>
        </w:tabs>
        <w:spacing w:line="360" w:lineRule="auto"/>
        <w:ind w:firstLine="1134"/>
        <w:contextualSpacing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Em </w:t>
      </w:r>
      <w:r w:rsidR="00DD79DB">
        <w:rPr>
          <w:rFonts w:ascii="Arial" w:hAnsi="Arial" w:cs="Arial"/>
        </w:rPr>
        <w:t>poder</w:t>
      </w:r>
      <w:r w:rsidRPr="00F31154">
        <w:rPr>
          <w:rFonts w:ascii="Arial" w:hAnsi="Arial" w:cs="Arial"/>
        </w:rPr>
        <w:t xml:space="preserve"> de todos os </w:t>
      </w:r>
      <w:r w:rsidR="00DD79DB">
        <w:rPr>
          <w:rFonts w:ascii="Arial" w:hAnsi="Arial" w:cs="Arial"/>
        </w:rPr>
        <w:t>elementos</w:t>
      </w:r>
      <w:r w:rsidRPr="00F31154">
        <w:rPr>
          <w:rFonts w:ascii="Arial" w:hAnsi="Arial" w:cs="Arial"/>
        </w:rPr>
        <w:t xml:space="preserve"> apresentados no referencial teórico, pode-se dizer que </w:t>
      </w:r>
      <w:r w:rsidRPr="00246848">
        <w:rPr>
          <w:rFonts w:ascii="Arial" w:hAnsi="Arial" w:cs="Arial"/>
        </w:rPr>
        <w:t xml:space="preserve">é </w:t>
      </w:r>
      <w:r w:rsidR="00F24178" w:rsidRPr="00246848">
        <w:rPr>
          <w:rFonts w:ascii="Arial" w:hAnsi="Arial" w:cs="Arial"/>
        </w:rPr>
        <w:t>fundamental</w:t>
      </w:r>
      <w:r w:rsidRPr="00246848">
        <w:rPr>
          <w:rFonts w:ascii="Arial" w:hAnsi="Arial" w:cs="Arial"/>
        </w:rPr>
        <w:t xml:space="preserve"> </w:t>
      </w:r>
      <w:r w:rsidR="00F24178" w:rsidRPr="00246848">
        <w:rPr>
          <w:rFonts w:ascii="Arial" w:hAnsi="Arial" w:cs="Arial"/>
        </w:rPr>
        <w:t>converter</w:t>
      </w:r>
      <w:r w:rsidRPr="00246848">
        <w:rPr>
          <w:rFonts w:ascii="Arial" w:hAnsi="Arial" w:cs="Arial"/>
        </w:rPr>
        <w:t xml:space="preserve"> </w:t>
      </w:r>
      <w:r w:rsidR="00F24178" w:rsidRPr="00246848">
        <w:rPr>
          <w:rFonts w:ascii="Arial" w:hAnsi="Arial" w:cs="Arial"/>
        </w:rPr>
        <w:t>as informações</w:t>
      </w:r>
      <w:r w:rsidRPr="00246848">
        <w:rPr>
          <w:rFonts w:ascii="Arial" w:hAnsi="Arial" w:cs="Arial"/>
        </w:rPr>
        <w:t xml:space="preserve"> das demonstrações financeiras em </w:t>
      </w:r>
      <w:r w:rsidR="00F24178" w:rsidRPr="00246848">
        <w:rPr>
          <w:rFonts w:ascii="Arial" w:hAnsi="Arial" w:cs="Arial"/>
        </w:rPr>
        <w:t>dados</w:t>
      </w:r>
      <w:r w:rsidRPr="00246848">
        <w:rPr>
          <w:rFonts w:ascii="Arial" w:hAnsi="Arial" w:cs="Arial"/>
        </w:rPr>
        <w:t xml:space="preserve"> </w:t>
      </w:r>
      <w:r w:rsidR="00F24178" w:rsidRPr="00246848">
        <w:rPr>
          <w:rFonts w:ascii="Arial" w:hAnsi="Arial" w:cs="Arial"/>
        </w:rPr>
        <w:t>necessários</w:t>
      </w:r>
      <w:r w:rsidRPr="00246848">
        <w:rPr>
          <w:rFonts w:ascii="Arial" w:hAnsi="Arial" w:cs="Arial"/>
        </w:rPr>
        <w:t xml:space="preserve"> que </w:t>
      </w:r>
      <w:r w:rsidR="00246848" w:rsidRPr="00246848">
        <w:rPr>
          <w:rFonts w:ascii="Arial" w:hAnsi="Arial" w:cs="Arial"/>
        </w:rPr>
        <w:t>facilitam</w:t>
      </w:r>
      <w:r w:rsidRPr="00246848">
        <w:rPr>
          <w:rFonts w:ascii="Arial" w:hAnsi="Arial" w:cs="Arial"/>
        </w:rPr>
        <w:t xml:space="preserve"> os gestores nas tomadas de decisão. Como </w:t>
      </w:r>
      <w:r w:rsidR="00246848" w:rsidRPr="00246848">
        <w:rPr>
          <w:rFonts w:ascii="Arial" w:hAnsi="Arial" w:cs="Arial"/>
        </w:rPr>
        <w:t>maneira</w:t>
      </w:r>
      <w:r w:rsidRPr="00246848">
        <w:rPr>
          <w:rFonts w:ascii="Arial" w:hAnsi="Arial" w:cs="Arial"/>
        </w:rPr>
        <w:t xml:space="preserve"> de </w:t>
      </w:r>
      <w:r w:rsidR="00246848" w:rsidRPr="00246848">
        <w:rPr>
          <w:rFonts w:ascii="Arial" w:hAnsi="Arial" w:cs="Arial"/>
        </w:rPr>
        <w:t>procurar</w:t>
      </w:r>
      <w:r w:rsidRPr="00246848">
        <w:rPr>
          <w:rFonts w:ascii="Arial" w:hAnsi="Arial" w:cs="Arial"/>
        </w:rPr>
        <w:t xml:space="preserve"> nas demonstrações</w:t>
      </w:r>
      <w:r w:rsidR="00246848" w:rsidRPr="00246848">
        <w:rPr>
          <w:rFonts w:ascii="Arial" w:hAnsi="Arial" w:cs="Arial"/>
        </w:rPr>
        <w:t xml:space="preserve"> em</w:t>
      </w:r>
      <w:r w:rsidRPr="00246848">
        <w:rPr>
          <w:rFonts w:ascii="Arial" w:hAnsi="Arial" w:cs="Arial"/>
        </w:rPr>
        <w:t xml:space="preserve"> aborda</w:t>
      </w:r>
      <w:r w:rsidR="00246848" w:rsidRPr="00246848">
        <w:rPr>
          <w:rFonts w:ascii="Arial" w:hAnsi="Arial" w:cs="Arial"/>
        </w:rPr>
        <w:t>r</w:t>
      </w:r>
      <w:r w:rsidRPr="00246848">
        <w:rPr>
          <w:rFonts w:ascii="Arial" w:hAnsi="Arial" w:cs="Arial"/>
        </w:rPr>
        <w:t xml:space="preserve"> a </w:t>
      </w:r>
      <w:r w:rsidR="00246848" w:rsidRPr="00246848">
        <w:rPr>
          <w:rFonts w:ascii="Arial" w:hAnsi="Arial" w:cs="Arial"/>
        </w:rPr>
        <w:t>aplicação</w:t>
      </w:r>
      <w:r w:rsidRPr="00246848">
        <w:rPr>
          <w:rFonts w:ascii="Arial" w:hAnsi="Arial" w:cs="Arial"/>
        </w:rPr>
        <w:t xml:space="preserve"> dos índices econômico-financeiros, e verificado através da análise horizontal, onde disponibiliza </w:t>
      </w:r>
      <w:r w:rsidR="00246848" w:rsidRPr="00246848">
        <w:rPr>
          <w:rFonts w:ascii="Arial" w:hAnsi="Arial" w:cs="Arial"/>
        </w:rPr>
        <w:t>de dados</w:t>
      </w:r>
      <w:r w:rsidRPr="00246848">
        <w:rPr>
          <w:rFonts w:ascii="Arial" w:hAnsi="Arial" w:cs="Arial"/>
        </w:rPr>
        <w:t xml:space="preserve"> </w:t>
      </w:r>
      <w:r w:rsidR="00246848" w:rsidRPr="00246848">
        <w:rPr>
          <w:rFonts w:ascii="Arial" w:hAnsi="Arial" w:cs="Arial"/>
        </w:rPr>
        <w:t>necessários e objetivo</w:t>
      </w:r>
      <w:r w:rsidRPr="00246848">
        <w:rPr>
          <w:rFonts w:ascii="Arial" w:hAnsi="Arial" w:cs="Arial"/>
        </w:rPr>
        <w:t>s em diversas situações da empresa</w:t>
      </w:r>
      <w:r w:rsidRPr="00F31154">
        <w:rPr>
          <w:rFonts w:ascii="Arial" w:hAnsi="Arial" w:cs="Arial"/>
        </w:rPr>
        <w:t xml:space="preserve"> para uma análise da saúde financeira da </w:t>
      </w:r>
      <w:r w:rsidR="00CE64E5">
        <w:rPr>
          <w:rFonts w:ascii="Arial" w:hAnsi="Arial" w:cs="Arial"/>
        </w:rPr>
        <w:t>mesma</w:t>
      </w:r>
      <w:r w:rsidRPr="00F31154">
        <w:rPr>
          <w:rFonts w:ascii="Arial" w:hAnsi="Arial" w:cs="Arial"/>
        </w:rPr>
        <w:t>, visando esclarecimentos aos gestores para uma tomada de decisão.</w:t>
      </w:r>
    </w:p>
    <w:p w:rsidR="00250203" w:rsidRPr="00F31154" w:rsidRDefault="00250203" w:rsidP="00344CC3">
      <w:pPr>
        <w:tabs>
          <w:tab w:val="left" w:pos="2393"/>
          <w:tab w:val="left" w:pos="3600"/>
        </w:tabs>
        <w:spacing w:line="360" w:lineRule="auto"/>
        <w:ind w:firstLine="1134"/>
        <w:contextualSpacing/>
        <w:jc w:val="both"/>
        <w:rPr>
          <w:rFonts w:ascii="Arial" w:hAnsi="Arial" w:cs="Arial"/>
        </w:rPr>
      </w:pPr>
      <w:r w:rsidRPr="00F31154">
        <w:rPr>
          <w:rFonts w:ascii="Arial" w:hAnsi="Arial" w:cs="Arial"/>
        </w:rPr>
        <w:t>O objetivo geral que é analisar através de índices as demonstrações contábeis no ramo de cosméticos, considerando uma análise temporal de 2010 a 2013, foi alcançado</w:t>
      </w:r>
      <w:r w:rsidR="00DD79DB">
        <w:rPr>
          <w:rFonts w:ascii="Arial" w:hAnsi="Arial" w:cs="Arial"/>
        </w:rPr>
        <w:t xml:space="preserve">, onde foi demonstrado nos resultados obtidos, e feito </w:t>
      </w:r>
      <w:r w:rsidR="009F4DAA">
        <w:rPr>
          <w:rFonts w:ascii="Arial" w:hAnsi="Arial" w:cs="Arial"/>
        </w:rPr>
        <w:t>à</w:t>
      </w:r>
      <w:r w:rsidR="00DD79DB">
        <w:rPr>
          <w:rFonts w:ascii="Arial" w:hAnsi="Arial" w:cs="Arial"/>
        </w:rPr>
        <w:t xml:space="preserve"> análise dos índices em estudo</w:t>
      </w:r>
      <w:r w:rsidRPr="00F31154">
        <w:rPr>
          <w:rFonts w:ascii="Arial" w:hAnsi="Arial" w:cs="Arial"/>
        </w:rPr>
        <w:t xml:space="preserve">. Como também seus objetivos específicos quando conclui os cálculos e </w:t>
      </w:r>
      <w:r w:rsidR="00992C00" w:rsidRPr="00F31154">
        <w:rPr>
          <w:rFonts w:ascii="Arial" w:hAnsi="Arial" w:cs="Arial"/>
        </w:rPr>
        <w:t>fazem-se</w:t>
      </w:r>
      <w:r w:rsidRPr="00F31154">
        <w:rPr>
          <w:rFonts w:ascii="Arial" w:hAnsi="Arial" w:cs="Arial"/>
        </w:rPr>
        <w:t xml:space="preserve"> as análises dos indicadores apresentados.</w:t>
      </w:r>
    </w:p>
    <w:p w:rsidR="00344CC3" w:rsidRPr="00F31154" w:rsidRDefault="00344CC3" w:rsidP="00FB0617">
      <w:pPr>
        <w:tabs>
          <w:tab w:val="left" w:pos="2393"/>
          <w:tab w:val="left" w:pos="3600"/>
        </w:tabs>
        <w:spacing w:line="360" w:lineRule="auto"/>
        <w:ind w:firstLine="1134"/>
        <w:contextualSpacing/>
        <w:jc w:val="both"/>
        <w:rPr>
          <w:rFonts w:ascii="Arial" w:hAnsi="Arial" w:cs="Arial"/>
        </w:rPr>
      </w:pPr>
      <w:r w:rsidRPr="006E1736">
        <w:rPr>
          <w:rFonts w:ascii="Arial" w:hAnsi="Arial" w:cs="Arial"/>
        </w:rPr>
        <w:t xml:space="preserve">É </w:t>
      </w:r>
      <w:r w:rsidR="006E1736" w:rsidRPr="006E1736">
        <w:rPr>
          <w:rFonts w:ascii="Arial" w:hAnsi="Arial" w:cs="Arial"/>
        </w:rPr>
        <w:t>explícito</w:t>
      </w:r>
      <w:r w:rsidRPr="006E1736">
        <w:rPr>
          <w:rFonts w:ascii="Arial" w:hAnsi="Arial" w:cs="Arial"/>
        </w:rPr>
        <w:t xml:space="preserve"> que a empresa </w:t>
      </w:r>
      <w:r w:rsidR="00CB6DDD">
        <w:rPr>
          <w:rFonts w:ascii="Arial" w:hAnsi="Arial" w:cs="Arial"/>
        </w:rPr>
        <w:t>demonstra</w:t>
      </w:r>
      <w:r w:rsidRPr="006E1736">
        <w:rPr>
          <w:rFonts w:ascii="Arial" w:hAnsi="Arial" w:cs="Arial"/>
        </w:rPr>
        <w:t xml:space="preserve"> </w:t>
      </w:r>
      <w:r w:rsidR="00CB6DDD">
        <w:rPr>
          <w:rFonts w:ascii="Arial" w:hAnsi="Arial" w:cs="Arial"/>
        </w:rPr>
        <w:t>em</w:t>
      </w:r>
      <w:r w:rsidRPr="006E1736">
        <w:rPr>
          <w:rFonts w:ascii="Arial" w:hAnsi="Arial" w:cs="Arial"/>
        </w:rPr>
        <w:t xml:space="preserve"> seus </w:t>
      </w:r>
      <w:r w:rsidR="006E1736" w:rsidRPr="006E1736">
        <w:rPr>
          <w:rFonts w:ascii="Arial" w:hAnsi="Arial" w:cs="Arial"/>
        </w:rPr>
        <w:t>índices</w:t>
      </w:r>
      <w:r w:rsidRPr="006E1736">
        <w:rPr>
          <w:rFonts w:ascii="Arial" w:hAnsi="Arial" w:cs="Arial"/>
        </w:rPr>
        <w:t xml:space="preserve"> de </w:t>
      </w:r>
      <w:r w:rsidR="00CB6DDD">
        <w:rPr>
          <w:rFonts w:ascii="Arial" w:hAnsi="Arial" w:cs="Arial"/>
        </w:rPr>
        <w:t xml:space="preserve">liquidez </w:t>
      </w:r>
      <w:r w:rsidR="00101A00">
        <w:rPr>
          <w:rFonts w:ascii="Arial" w:hAnsi="Arial" w:cs="Arial"/>
        </w:rPr>
        <w:t>uma redução</w:t>
      </w:r>
      <w:r w:rsidR="00CB6DDD">
        <w:rPr>
          <w:rFonts w:ascii="Arial" w:hAnsi="Arial" w:cs="Arial"/>
        </w:rPr>
        <w:t xml:space="preserve"> </w:t>
      </w:r>
      <w:r w:rsidR="00101A00">
        <w:rPr>
          <w:rFonts w:ascii="Arial" w:hAnsi="Arial" w:cs="Arial"/>
        </w:rPr>
        <w:t xml:space="preserve">na </w:t>
      </w:r>
      <w:r w:rsidR="00CB6DDD">
        <w:rPr>
          <w:rFonts w:ascii="Arial" w:hAnsi="Arial" w:cs="Arial"/>
        </w:rPr>
        <w:t>sua capacidade de pagamento no curto e longo prazo</w:t>
      </w:r>
      <w:r w:rsidRPr="006E1736">
        <w:rPr>
          <w:rFonts w:ascii="Arial" w:hAnsi="Arial" w:cs="Arial"/>
        </w:rPr>
        <w:t xml:space="preserve"> aos</w:t>
      </w:r>
      <w:r w:rsidRPr="00F31154">
        <w:rPr>
          <w:rFonts w:ascii="Arial" w:hAnsi="Arial" w:cs="Arial"/>
        </w:rPr>
        <w:t xml:space="preserve"> seus credore</w:t>
      </w:r>
      <w:r w:rsidR="00FB0617" w:rsidRPr="00F31154">
        <w:rPr>
          <w:rFonts w:ascii="Arial" w:hAnsi="Arial" w:cs="Arial"/>
        </w:rPr>
        <w:t>s</w:t>
      </w:r>
      <w:r w:rsidRPr="00F31154">
        <w:rPr>
          <w:rFonts w:ascii="Arial" w:hAnsi="Arial" w:cs="Arial"/>
        </w:rPr>
        <w:t>.</w:t>
      </w:r>
      <w:r w:rsidR="00FB0617" w:rsidRPr="00F31154">
        <w:rPr>
          <w:rFonts w:ascii="Arial" w:hAnsi="Arial" w:cs="Arial"/>
        </w:rPr>
        <w:t xml:space="preserve"> </w:t>
      </w:r>
      <w:r w:rsidR="00CB6DDD" w:rsidRPr="00CB6DDD">
        <w:rPr>
          <w:rFonts w:ascii="Arial" w:hAnsi="Arial" w:cs="Arial"/>
        </w:rPr>
        <w:t xml:space="preserve"> </w:t>
      </w:r>
      <w:r w:rsidR="009F4DAA">
        <w:rPr>
          <w:rFonts w:ascii="Arial" w:hAnsi="Arial" w:cs="Arial"/>
        </w:rPr>
        <w:t>Como também, nota-se</w:t>
      </w:r>
      <w:r w:rsidR="00FB0617" w:rsidRPr="00F31154">
        <w:rPr>
          <w:rFonts w:ascii="Arial" w:hAnsi="Arial" w:cs="Arial"/>
        </w:rPr>
        <w:t xml:space="preserve"> também uma </w:t>
      </w:r>
      <w:r w:rsidR="009F4DAA">
        <w:rPr>
          <w:rFonts w:ascii="Arial" w:hAnsi="Arial" w:cs="Arial"/>
        </w:rPr>
        <w:t>inconstância</w:t>
      </w:r>
      <w:r w:rsidR="00FB0617" w:rsidRPr="00F31154">
        <w:rPr>
          <w:rFonts w:ascii="Arial" w:hAnsi="Arial" w:cs="Arial"/>
        </w:rPr>
        <w:t xml:space="preserve"> no financiamento dos seus ativos com capital de terceiros, </w:t>
      </w:r>
      <w:r w:rsidR="009F4DAA">
        <w:rPr>
          <w:rFonts w:ascii="Arial" w:hAnsi="Arial" w:cs="Arial"/>
        </w:rPr>
        <w:t>mesmo assim,</w:t>
      </w:r>
      <w:r w:rsidR="00FB0617" w:rsidRPr="00F31154">
        <w:rPr>
          <w:rFonts w:ascii="Arial" w:hAnsi="Arial" w:cs="Arial"/>
        </w:rPr>
        <w:t xml:space="preserve"> mostra uma </w:t>
      </w:r>
      <w:r w:rsidR="009F4DAA">
        <w:rPr>
          <w:rFonts w:ascii="Arial" w:hAnsi="Arial" w:cs="Arial"/>
        </w:rPr>
        <w:t>ter</w:t>
      </w:r>
      <w:r w:rsidR="00FB0617" w:rsidRPr="00F31154">
        <w:rPr>
          <w:rFonts w:ascii="Arial" w:hAnsi="Arial" w:cs="Arial"/>
        </w:rPr>
        <w:t xml:space="preserve"> capacidade de pagamento de juros no período analisado</w:t>
      </w:r>
      <w:r w:rsidR="00B3649F">
        <w:rPr>
          <w:rFonts w:ascii="Arial" w:hAnsi="Arial" w:cs="Arial"/>
        </w:rPr>
        <w:t>, porém com uma redução significativa</w:t>
      </w:r>
      <w:r w:rsidR="00FB0617" w:rsidRPr="00F31154">
        <w:rPr>
          <w:rFonts w:ascii="Arial" w:hAnsi="Arial" w:cs="Arial"/>
        </w:rPr>
        <w:t>.</w:t>
      </w:r>
    </w:p>
    <w:p w:rsidR="00FB0617" w:rsidRPr="00D92ADB" w:rsidRDefault="009E1F89" w:rsidP="00FB0617">
      <w:pPr>
        <w:tabs>
          <w:tab w:val="left" w:pos="2393"/>
          <w:tab w:val="left" w:pos="3600"/>
        </w:tabs>
        <w:spacing w:line="360" w:lineRule="auto"/>
        <w:ind w:firstLine="113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Em relação</w:t>
      </w:r>
      <w:r w:rsidR="00FB0617" w:rsidRPr="00F31154">
        <w:rPr>
          <w:rFonts w:ascii="Arial" w:hAnsi="Arial" w:cs="Arial"/>
        </w:rPr>
        <w:t xml:space="preserve"> </w:t>
      </w:r>
      <w:r w:rsidR="00FB0617" w:rsidRPr="00D92ADB">
        <w:rPr>
          <w:rFonts w:ascii="Arial" w:hAnsi="Arial" w:cs="Arial"/>
        </w:rPr>
        <w:t xml:space="preserve">na </w:t>
      </w:r>
      <w:r w:rsidR="009B3731" w:rsidRPr="00D92ADB">
        <w:rPr>
          <w:rFonts w:ascii="Arial" w:hAnsi="Arial" w:cs="Arial"/>
        </w:rPr>
        <w:t>capacidade</w:t>
      </w:r>
      <w:r w:rsidR="00FB0617" w:rsidRPr="00D92ADB">
        <w:rPr>
          <w:rFonts w:ascii="Arial" w:hAnsi="Arial" w:cs="Arial"/>
        </w:rPr>
        <w:t xml:space="preserve"> de </w:t>
      </w:r>
      <w:r w:rsidR="00AF5000" w:rsidRPr="00D92ADB">
        <w:rPr>
          <w:rFonts w:ascii="Arial" w:hAnsi="Arial" w:cs="Arial"/>
        </w:rPr>
        <w:t>g</w:t>
      </w:r>
      <w:r w:rsidR="00FB0617" w:rsidRPr="00D92ADB">
        <w:rPr>
          <w:rFonts w:ascii="Arial" w:hAnsi="Arial" w:cs="Arial"/>
        </w:rPr>
        <w:t xml:space="preserve">erar </w:t>
      </w:r>
      <w:r w:rsidR="009B3731" w:rsidRPr="00D92ADB">
        <w:rPr>
          <w:rFonts w:ascii="Arial" w:hAnsi="Arial" w:cs="Arial"/>
        </w:rPr>
        <w:t>lucro</w:t>
      </w:r>
      <w:r w:rsidR="009B1D49" w:rsidRPr="00D92ADB">
        <w:rPr>
          <w:rFonts w:ascii="Arial" w:hAnsi="Arial" w:cs="Arial"/>
        </w:rPr>
        <w:t xml:space="preserve"> </w:t>
      </w:r>
      <w:r w:rsidR="009B3731" w:rsidRPr="00D92ADB">
        <w:rPr>
          <w:rFonts w:ascii="Arial" w:hAnsi="Arial" w:cs="Arial"/>
        </w:rPr>
        <w:t>demonstrado</w:t>
      </w:r>
      <w:r w:rsidR="00FB0617" w:rsidRPr="00D92ADB">
        <w:rPr>
          <w:rFonts w:ascii="Arial" w:hAnsi="Arial" w:cs="Arial"/>
        </w:rPr>
        <w:t xml:space="preserve"> por meio da re</w:t>
      </w:r>
      <w:r w:rsidR="00AF5000" w:rsidRPr="00D92ADB">
        <w:rPr>
          <w:rFonts w:ascii="Arial" w:hAnsi="Arial" w:cs="Arial"/>
        </w:rPr>
        <w:t>ntabilidade, a empresa obteve</w:t>
      </w:r>
      <w:r w:rsidR="00FB0617" w:rsidRPr="00D92ADB">
        <w:rPr>
          <w:rFonts w:ascii="Arial" w:hAnsi="Arial" w:cs="Arial"/>
        </w:rPr>
        <w:t xml:space="preserve"> consta</w:t>
      </w:r>
      <w:r w:rsidRPr="00D92ADB">
        <w:rPr>
          <w:rFonts w:ascii="Arial" w:hAnsi="Arial" w:cs="Arial"/>
        </w:rPr>
        <w:t>nte em suas margens de lucros, já referentes a</w:t>
      </w:r>
      <w:r w:rsidR="00FB0617" w:rsidRPr="00D92ADB">
        <w:rPr>
          <w:rFonts w:ascii="Arial" w:hAnsi="Arial" w:cs="Arial"/>
        </w:rPr>
        <w:t xml:space="preserve">os retornos </w:t>
      </w:r>
      <w:r w:rsidRPr="00D92ADB">
        <w:rPr>
          <w:rFonts w:ascii="Arial" w:hAnsi="Arial" w:cs="Arial"/>
        </w:rPr>
        <w:t xml:space="preserve">do ativo e capital próprio, há </w:t>
      </w:r>
      <w:r w:rsidR="00FB0617" w:rsidRPr="00D92ADB">
        <w:rPr>
          <w:rFonts w:ascii="Arial" w:hAnsi="Arial" w:cs="Arial"/>
        </w:rPr>
        <w:t>uma redução significativa</w:t>
      </w:r>
      <w:r w:rsidR="00F432A5" w:rsidRPr="00D92ADB">
        <w:rPr>
          <w:rFonts w:ascii="Arial" w:hAnsi="Arial" w:cs="Arial"/>
        </w:rPr>
        <w:t xml:space="preserve"> do</w:t>
      </w:r>
      <w:r w:rsidR="00FB0617" w:rsidRPr="00D92ADB">
        <w:rPr>
          <w:rFonts w:ascii="Arial" w:hAnsi="Arial" w:cs="Arial"/>
        </w:rPr>
        <w:t xml:space="preserve"> retorno sobre o ativo,</w:t>
      </w:r>
      <w:r w:rsidRPr="00D92ADB">
        <w:rPr>
          <w:rFonts w:ascii="Arial" w:hAnsi="Arial" w:cs="Arial"/>
        </w:rPr>
        <w:t xml:space="preserve"> e</w:t>
      </w:r>
      <w:r w:rsidR="00FB0617" w:rsidRPr="00D92ADB">
        <w:rPr>
          <w:rFonts w:ascii="Arial" w:hAnsi="Arial" w:cs="Arial"/>
        </w:rPr>
        <w:t xml:space="preserve"> mantendo</w:t>
      </w:r>
      <w:r w:rsidRPr="00D92ADB">
        <w:rPr>
          <w:rFonts w:ascii="Arial" w:hAnsi="Arial" w:cs="Arial"/>
        </w:rPr>
        <w:t>-se</w:t>
      </w:r>
      <w:r w:rsidR="00FB0617" w:rsidRPr="00D92ADB">
        <w:rPr>
          <w:rFonts w:ascii="Arial" w:hAnsi="Arial" w:cs="Arial"/>
        </w:rPr>
        <w:t xml:space="preserve"> </w:t>
      </w:r>
      <w:r w:rsidR="00F432A5" w:rsidRPr="00D92ADB">
        <w:rPr>
          <w:rFonts w:ascii="Arial" w:hAnsi="Arial" w:cs="Arial"/>
        </w:rPr>
        <w:t>crescimento</w:t>
      </w:r>
      <w:r w:rsidR="00FB0617" w:rsidRPr="00D92ADB">
        <w:rPr>
          <w:rFonts w:ascii="Arial" w:hAnsi="Arial" w:cs="Arial"/>
        </w:rPr>
        <w:t xml:space="preserve"> </w:t>
      </w:r>
      <w:r w:rsidR="00F432A5" w:rsidRPr="00D92ADB">
        <w:rPr>
          <w:rFonts w:ascii="Arial" w:hAnsi="Arial" w:cs="Arial"/>
        </w:rPr>
        <w:t>n</w:t>
      </w:r>
      <w:r w:rsidR="00FB0617" w:rsidRPr="00D92ADB">
        <w:rPr>
          <w:rFonts w:ascii="Arial" w:hAnsi="Arial" w:cs="Arial"/>
        </w:rPr>
        <w:t xml:space="preserve">o retorno sobre os </w:t>
      </w:r>
      <w:r w:rsidR="00992C00" w:rsidRPr="00D92ADB">
        <w:rPr>
          <w:rFonts w:ascii="Arial" w:hAnsi="Arial" w:cs="Arial"/>
        </w:rPr>
        <w:t xml:space="preserve">investimentos. </w:t>
      </w:r>
    </w:p>
    <w:p w:rsidR="00F124A4" w:rsidRPr="00D92ADB" w:rsidRDefault="00243F69" w:rsidP="00FB0617">
      <w:pPr>
        <w:tabs>
          <w:tab w:val="left" w:pos="2393"/>
          <w:tab w:val="left" w:pos="3600"/>
        </w:tabs>
        <w:spacing w:line="360" w:lineRule="auto"/>
        <w:ind w:firstLine="1134"/>
        <w:contextualSpacing/>
        <w:jc w:val="both"/>
        <w:rPr>
          <w:rFonts w:ascii="Arial" w:hAnsi="Arial" w:cs="Arial"/>
        </w:rPr>
      </w:pPr>
      <w:r w:rsidRPr="00D92ADB">
        <w:rPr>
          <w:rFonts w:ascii="Arial" w:hAnsi="Arial" w:cs="Arial"/>
        </w:rPr>
        <w:t xml:space="preserve">Nesse contexto, conclui-se que a empresa em estudo, sua situação econômico-financeira </w:t>
      </w:r>
      <w:r w:rsidR="00F26330" w:rsidRPr="00D92ADB">
        <w:rPr>
          <w:rFonts w:ascii="Arial" w:hAnsi="Arial" w:cs="Arial"/>
        </w:rPr>
        <w:t xml:space="preserve">consegue um </w:t>
      </w:r>
      <w:r w:rsidR="00E10285">
        <w:rPr>
          <w:rFonts w:ascii="Arial" w:hAnsi="Arial" w:cs="Arial"/>
        </w:rPr>
        <w:t>resultado positivo</w:t>
      </w:r>
      <w:r w:rsidR="00F26330" w:rsidRPr="00D92ADB">
        <w:rPr>
          <w:rFonts w:ascii="Arial" w:hAnsi="Arial" w:cs="Arial"/>
        </w:rPr>
        <w:t xml:space="preserve"> em seus </w:t>
      </w:r>
      <w:r w:rsidR="00E10285">
        <w:rPr>
          <w:rFonts w:ascii="Arial" w:hAnsi="Arial" w:cs="Arial"/>
        </w:rPr>
        <w:t xml:space="preserve">índices de liquidez e </w:t>
      </w:r>
      <w:r w:rsidR="00E10285">
        <w:rPr>
          <w:rFonts w:ascii="Arial" w:hAnsi="Arial" w:cs="Arial"/>
        </w:rPr>
        <w:lastRenderedPageBreak/>
        <w:t xml:space="preserve">rentabilidade quanto ao lucro, se tratando dos índices de endividamento e retorno sobre o ativo e capital próprio é notório que precisam ser </w:t>
      </w:r>
      <w:proofErr w:type="gramStart"/>
      <w:r w:rsidR="00E10285">
        <w:rPr>
          <w:rFonts w:ascii="Arial" w:hAnsi="Arial" w:cs="Arial"/>
        </w:rPr>
        <w:t>melhor</w:t>
      </w:r>
      <w:proofErr w:type="gramEnd"/>
      <w:r w:rsidR="00E10285">
        <w:rPr>
          <w:rFonts w:ascii="Arial" w:hAnsi="Arial" w:cs="Arial"/>
        </w:rPr>
        <w:t xml:space="preserve"> planejado e melhorar o resultado de seu </w:t>
      </w:r>
      <w:proofErr w:type="spellStart"/>
      <w:r w:rsidR="00E10285">
        <w:rPr>
          <w:rFonts w:ascii="Arial" w:hAnsi="Arial" w:cs="Arial"/>
        </w:rPr>
        <w:t>desemepenho</w:t>
      </w:r>
      <w:proofErr w:type="spellEnd"/>
      <w:r w:rsidRPr="00D92ADB">
        <w:rPr>
          <w:rFonts w:ascii="Arial" w:hAnsi="Arial" w:cs="Arial"/>
        </w:rPr>
        <w:t>.</w:t>
      </w:r>
    </w:p>
    <w:p w:rsidR="00FB0617" w:rsidRDefault="00FB0617" w:rsidP="00FB0617">
      <w:pPr>
        <w:tabs>
          <w:tab w:val="left" w:pos="2393"/>
          <w:tab w:val="left" w:pos="3600"/>
        </w:tabs>
        <w:spacing w:line="360" w:lineRule="auto"/>
        <w:ind w:firstLine="1134"/>
        <w:contextualSpacing/>
        <w:jc w:val="both"/>
        <w:rPr>
          <w:rFonts w:ascii="Arial" w:hAnsi="Arial" w:cs="Arial"/>
        </w:rPr>
      </w:pPr>
      <w:r w:rsidRPr="00D92ADB">
        <w:rPr>
          <w:rFonts w:ascii="Arial" w:hAnsi="Arial" w:cs="Arial"/>
        </w:rPr>
        <w:t xml:space="preserve">Em vista do que foi </w:t>
      </w:r>
      <w:proofErr w:type="gramStart"/>
      <w:r w:rsidRPr="00D92ADB">
        <w:rPr>
          <w:rFonts w:ascii="Arial" w:hAnsi="Arial" w:cs="Arial"/>
        </w:rPr>
        <w:t>abordado, a análise financeira</w:t>
      </w:r>
      <w:proofErr w:type="gramEnd"/>
      <w:r w:rsidRPr="00D92ADB">
        <w:rPr>
          <w:rFonts w:ascii="Arial" w:hAnsi="Arial" w:cs="Arial"/>
        </w:rPr>
        <w:t xml:space="preserve"> é um</w:t>
      </w:r>
      <w:r w:rsidR="009B3731" w:rsidRPr="00D92ADB">
        <w:rPr>
          <w:rFonts w:ascii="Arial" w:hAnsi="Arial" w:cs="Arial"/>
        </w:rPr>
        <w:t>a</w:t>
      </w:r>
      <w:r w:rsidRPr="00D92ADB">
        <w:rPr>
          <w:rFonts w:ascii="Arial" w:hAnsi="Arial" w:cs="Arial"/>
        </w:rPr>
        <w:t xml:space="preserve"> </w:t>
      </w:r>
      <w:r w:rsidR="009B3731" w:rsidRPr="00D92ADB">
        <w:rPr>
          <w:rFonts w:ascii="Arial" w:hAnsi="Arial" w:cs="Arial"/>
        </w:rPr>
        <w:t>ferramenta</w:t>
      </w:r>
      <w:r w:rsidRPr="00D92ADB">
        <w:rPr>
          <w:rFonts w:ascii="Arial" w:hAnsi="Arial" w:cs="Arial"/>
        </w:rPr>
        <w:t xml:space="preserve"> de gerenciamento, </w:t>
      </w:r>
      <w:r w:rsidR="00F26330" w:rsidRPr="00D92ADB">
        <w:rPr>
          <w:rFonts w:ascii="Arial" w:hAnsi="Arial" w:cs="Arial"/>
        </w:rPr>
        <w:t xml:space="preserve">que permite </w:t>
      </w:r>
      <w:r w:rsidRPr="00D92ADB">
        <w:rPr>
          <w:rFonts w:ascii="Arial" w:hAnsi="Arial" w:cs="Arial"/>
        </w:rPr>
        <w:t xml:space="preserve">a prevenção de medidas para </w:t>
      </w:r>
      <w:r w:rsidR="009B3731" w:rsidRPr="00D92ADB">
        <w:rPr>
          <w:rFonts w:ascii="Arial" w:hAnsi="Arial" w:cs="Arial"/>
        </w:rPr>
        <w:t>evitar</w:t>
      </w:r>
      <w:r w:rsidRPr="00D92ADB">
        <w:rPr>
          <w:rFonts w:ascii="Arial" w:hAnsi="Arial" w:cs="Arial"/>
        </w:rPr>
        <w:t xml:space="preserve"> as </w:t>
      </w:r>
      <w:r w:rsidR="009B3731" w:rsidRPr="00D92ADB">
        <w:rPr>
          <w:rFonts w:ascii="Arial" w:hAnsi="Arial" w:cs="Arial"/>
        </w:rPr>
        <w:t>objeções</w:t>
      </w:r>
      <w:r w:rsidR="009C0E29" w:rsidRPr="00D92ADB">
        <w:rPr>
          <w:rFonts w:ascii="Arial" w:hAnsi="Arial" w:cs="Arial"/>
        </w:rPr>
        <w:t xml:space="preserve"> futuras, como também</w:t>
      </w:r>
      <w:r w:rsidR="002240EF" w:rsidRPr="00D92ADB">
        <w:rPr>
          <w:rFonts w:ascii="Arial" w:hAnsi="Arial" w:cs="Arial"/>
        </w:rPr>
        <w:t xml:space="preserve"> serve para</w:t>
      </w:r>
      <w:r w:rsidRPr="00D92ADB">
        <w:rPr>
          <w:rFonts w:ascii="Arial" w:hAnsi="Arial" w:cs="Arial"/>
        </w:rPr>
        <w:t xml:space="preserve"> orienta</w:t>
      </w:r>
      <w:r w:rsidR="00F26330" w:rsidRPr="00D92ADB">
        <w:rPr>
          <w:rFonts w:ascii="Arial" w:hAnsi="Arial" w:cs="Arial"/>
        </w:rPr>
        <w:t>r</w:t>
      </w:r>
      <w:r w:rsidRPr="00D92ADB">
        <w:rPr>
          <w:rFonts w:ascii="Arial" w:hAnsi="Arial" w:cs="Arial"/>
        </w:rPr>
        <w:t xml:space="preserve"> aos gestores uma tomada de decisão</w:t>
      </w:r>
      <w:r w:rsidR="00ED3C7A" w:rsidRPr="00D92ADB">
        <w:rPr>
          <w:rFonts w:ascii="Arial" w:hAnsi="Arial" w:cs="Arial"/>
        </w:rPr>
        <w:t xml:space="preserve"> </w:t>
      </w:r>
      <w:r w:rsidRPr="00D92ADB">
        <w:rPr>
          <w:rFonts w:ascii="Arial" w:hAnsi="Arial" w:cs="Arial"/>
        </w:rPr>
        <w:t>mais eficaz</w:t>
      </w:r>
      <w:r w:rsidR="009C0E29" w:rsidRPr="00D92ADB">
        <w:rPr>
          <w:rFonts w:ascii="Arial" w:hAnsi="Arial" w:cs="Arial"/>
        </w:rPr>
        <w:t>, por se tratar de um</w:t>
      </w:r>
      <w:r w:rsidR="00113308" w:rsidRPr="00D92ADB">
        <w:rPr>
          <w:rFonts w:ascii="Arial" w:hAnsi="Arial" w:cs="Arial"/>
        </w:rPr>
        <w:t xml:space="preserve"> importante </w:t>
      </w:r>
      <w:r w:rsidR="009C0E29" w:rsidRPr="00D92ADB">
        <w:rPr>
          <w:rFonts w:ascii="Arial" w:hAnsi="Arial" w:cs="Arial"/>
        </w:rPr>
        <w:t>instrumento</w:t>
      </w:r>
      <w:r w:rsidR="00113308" w:rsidRPr="00D92ADB">
        <w:rPr>
          <w:rFonts w:ascii="Arial" w:hAnsi="Arial" w:cs="Arial"/>
        </w:rPr>
        <w:t xml:space="preserve"> para melhor </w:t>
      </w:r>
      <w:r w:rsidR="009C0E29" w:rsidRPr="00D92ADB">
        <w:rPr>
          <w:rFonts w:ascii="Arial" w:hAnsi="Arial" w:cs="Arial"/>
        </w:rPr>
        <w:t>administrar</w:t>
      </w:r>
      <w:r w:rsidR="00113308" w:rsidRPr="00D92ADB">
        <w:rPr>
          <w:rFonts w:ascii="Arial" w:hAnsi="Arial" w:cs="Arial"/>
        </w:rPr>
        <w:t xml:space="preserve"> seus negócios.</w:t>
      </w:r>
    </w:p>
    <w:p w:rsidR="00BF460A" w:rsidRPr="00F31154" w:rsidRDefault="00BF460A" w:rsidP="00595C13">
      <w:pPr>
        <w:tabs>
          <w:tab w:val="left" w:pos="2393"/>
          <w:tab w:val="left" w:pos="3600"/>
        </w:tabs>
        <w:spacing w:line="480" w:lineRule="auto"/>
        <w:contextualSpacing/>
        <w:rPr>
          <w:rFonts w:ascii="Arial" w:hAnsi="Arial" w:cs="Arial"/>
          <w:b/>
        </w:rPr>
      </w:pPr>
    </w:p>
    <w:p w:rsidR="00F31154" w:rsidRPr="00F26330" w:rsidRDefault="001A6DED" w:rsidP="00F26330">
      <w:pPr>
        <w:tabs>
          <w:tab w:val="left" w:pos="2393"/>
          <w:tab w:val="left" w:pos="3600"/>
        </w:tabs>
        <w:spacing w:line="360" w:lineRule="auto"/>
        <w:jc w:val="both"/>
        <w:rPr>
          <w:rFonts w:ascii="Arial" w:hAnsi="Arial" w:cs="Arial"/>
          <w:b/>
        </w:rPr>
      </w:pPr>
      <w:r w:rsidRPr="00F26330">
        <w:rPr>
          <w:rFonts w:ascii="Arial" w:hAnsi="Arial" w:cs="Arial"/>
          <w:b/>
        </w:rPr>
        <w:t>REFERÊ</w:t>
      </w:r>
      <w:r w:rsidR="00F31154" w:rsidRPr="00F26330">
        <w:rPr>
          <w:rFonts w:ascii="Arial" w:hAnsi="Arial" w:cs="Arial"/>
          <w:b/>
        </w:rPr>
        <w:t>NCIAS</w:t>
      </w:r>
    </w:p>
    <w:p w:rsidR="00AF17D1" w:rsidRPr="00F31154" w:rsidRDefault="00AF17D1" w:rsidP="00595C13">
      <w:pPr>
        <w:widowControl w:val="0"/>
        <w:spacing w:line="480" w:lineRule="auto"/>
        <w:jc w:val="both"/>
        <w:rPr>
          <w:rFonts w:ascii="Arial" w:hAnsi="Arial" w:cs="Arial"/>
        </w:rPr>
      </w:pPr>
    </w:p>
    <w:p w:rsidR="00C42D5A" w:rsidRPr="00F31154" w:rsidRDefault="00C42D5A" w:rsidP="00ED21E7">
      <w:pPr>
        <w:spacing w:before="120" w:after="240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ASSAF NETO, </w:t>
      </w:r>
      <w:r w:rsidR="00E13BB2" w:rsidRPr="00F31154">
        <w:rPr>
          <w:rFonts w:ascii="Arial" w:hAnsi="Arial" w:cs="Arial"/>
        </w:rPr>
        <w:t xml:space="preserve">Alexandre. </w:t>
      </w:r>
      <w:r w:rsidR="00E13BB2" w:rsidRPr="00F31154">
        <w:rPr>
          <w:rFonts w:ascii="Arial" w:hAnsi="Arial" w:cs="Arial"/>
          <w:b/>
        </w:rPr>
        <w:t xml:space="preserve">Estrutura e Análise de Balanços. </w:t>
      </w:r>
      <w:r w:rsidR="00E13BB2" w:rsidRPr="00F31154">
        <w:rPr>
          <w:rFonts w:ascii="Arial" w:hAnsi="Arial" w:cs="Arial"/>
        </w:rPr>
        <w:t>4º ed. São Paulo: Atlas, 1998.</w:t>
      </w:r>
    </w:p>
    <w:p w:rsidR="004900F7" w:rsidRPr="00F31154" w:rsidRDefault="004900F7" w:rsidP="00ED21E7">
      <w:pPr>
        <w:spacing w:before="120" w:after="240"/>
        <w:rPr>
          <w:rFonts w:ascii="Arial" w:hAnsi="Arial" w:cs="Arial"/>
        </w:rPr>
      </w:pPr>
      <w:r w:rsidRPr="00F31154">
        <w:rPr>
          <w:rFonts w:ascii="Arial" w:hAnsi="Arial" w:cs="Arial"/>
        </w:rPr>
        <w:t>BOVESPA. Disponível em: &lt;</w:t>
      </w:r>
      <w:hyperlink r:id="rId13" w:history="1">
        <w:r w:rsidRPr="00F31154">
          <w:rPr>
            <w:rStyle w:val="Hyperlink"/>
            <w:rFonts w:ascii="Arial" w:hAnsi="Arial" w:cs="Arial"/>
          </w:rPr>
          <w:t>http://www.bmfbovespa.com.br</w:t>
        </w:r>
      </w:hyperlink>
      <w:r w:rsidRPr="00F31154">
        <w:rPr>
          <w:rFonts w:ascii="Arial" w:hAnsi="Arial" w:cs="Arial"/>
        </w:rPr>
        <w:t>&gt;. Acesso em 30 mar. 13.</w:t>
      </w:r>
    </w:p>
    <w:p w:rsidR="0074072D" w:rsidRPr="00F31154" w:rsidRDefault="0074072D" w:rsidP="00ED21E7">
      <w:pPr>
        <w:spacing w:before="120" w:after="240"/>
        <w:rPr>
          <w:rFonts w:ascii="Arial" w:hAnsi="Arial" w:cs="Arial"/>
        </w:rPr>
      </w:pPr>
      <w:r w:rsidRPr="00F31154">
        <w:rPr>
          <w:rFonts w:ascii="Arial" w:hAnsi="Arial" w:cs="Arial"/>
        </w:rPr>
        <w:t>BOVESPA. Disponível em: &lt;</w:t>
      </w:r>
      <w:hyperlink r:id="rId14" w:history="1">
        <w:r w:rsidRPr="00F31154">
          <w:rPr>
            <w:rStyle w:val="Hyperlink"/>
            <w:rFonts w:ascii="Arial" w:hAnsi="Arial" w:cs="Arial"/>
          </w:rPr>
          <w:t>http://www.bmfbovespa.com.br</w:t>
        </w:r>
      </w:hyperlink>
      <w:r w:rsidRPr="00F31154">
        <w:rPr>
          <w:rFonts w:ascii="Arial" w:hAnsi="Arial" w:cs="Arial"/>
        </w:rPr>
        <w:t>&gt;. Acesso em 25 mar. 14.</w:t>
      </w:r>
    </w:p>
    <w:p w:rsidR="00081FAF" w:rsidRPr="00F31154" w:rsidRDefault="00081FAF" w:rsidP="00ED21E7">
      <w:pPr>
        <w:spacing w:before="120" w:after="240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BRIGHAM, E. F; EHRHARDT, M. C. </w:t>
      </w:r>
      <w:r w:rsidRPr="00F31154">
        <w:rPr>
          <w:rFonts w:ascii="Arial" w:hAnsi="Arial" w:cs="Arial"/>
          <w:b/>
        </w:rPr>
        <w:t xml:space="preserve">Administração Financeira: </w:t>
      </w:r>
      <w:r w:rsidRPr="00F31154">
        <w:rPr>
          <w:rFonts w:ascii="Arial" w:hAnsi="Arial" w:cs="Arial"/>
        </w:rPr>
        <w:t xml:space="preserve">teoria e prática. 10º ed. </w:t>
      </w:r>
      <w:r w:rsidR="009E049E" w:rsidRPr="00F31154">
        <w:rPr>
          <w:rFonts w:ascii="Arial" w:hAnsi="Arial" w:cs="Arial"/>
        </w:rPr>
        <w:t xml:space="preserve">São Paulo: </w:t>
      </w:r>
      <w:proofErr w:type="spellStart"/>
      <w:r w:rsidR="009E049E" w:rsidRPr="00F31154">
        <w:rPr>
          <w:rFonts w:ascii="Arial" w:hAnsi="Arial" w:cs="Arial"/>
        </w:rPr>
        <w:t>Cengage</w:t>
      </w:r>
      <w:proofErr w:type="spellEnd"/>
      <w:r w:rsidR="00E47CF5" w:rsidRPr="00F31154">
        <w:rPr>
          <w:rFonts w:ascii="Arial" w:hAnsi="Arial" w:cs="Arial"/>
        </w:rPr>
        <w:t>,</w:t>
      </w:r>
      <w:r w:rsidR="009E049E" w:rsidRPr="00F31154">
        <w:rPr>
          <w:rFonts w:ascii="Arial" w:hAnsi="Arial" w:cs="Arial"/>
        </w:rPr>
        <w:t xml:space="preserve"> 2010.</w:t>
      </w:r>
    </w:p>
    <w:p w:rsidR="00170F49" w:rsidRPr="00F31154" w:rsidRDefault="00170F49" w:rsidP="00ED21E7">
      <w:pPr>
        <w:spacing w:before="120" w:after="240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CAMARGO, C. </w:t>
      </w:r>
      <w:r w:rsidRPr="00F31154">
        <w:rPr>
          <w:rFonts w:ascii="Arial" w:hAnsi="Arial" w:cs="Arial"/>
          <w:b/>
        </w:rPr>
        <w:t>Análise de Investimen</w:t>
      </w:r>
      <w:r w:rsidR="007307CB">
        <w:rPr>
          <w:rFonts w:ascii="Arial" w:hAnsi="Arial" w:cs="Arial"/>
          <w:b/>
        </w:rPr>
        <w:t>to e Demonstrações Financeiras.</w:t>
      </w:r>
      <w:r w:rsidRPr="00F31154">
        <w:rPr>
          <w:rFonts w:ascii="Arial" w:hAnsi="Arial" w:cs="Arial"/>
        </w:rPr>
        <w:t xml:space="preserve"> Curitiba: </w:t>
      </w:r>
      <w:proofErr w:type="spellStart"/>
      <w:r w:rsidRPr="00F31154">
        <w:rPr>
          <w:rFonts w:ascii="Arial" w:hAnsi="Arial" w:cs="Arial"/>
        </w:rPr>
        <w:t>Ibpex</w:t>
      </w:r>
      <w:proofErr w:type="spellEnd"/>
      <w:r w:rsidRPr="00F31154">
        <w:rPr>
          <w:rFonts w:ascii="Arial" w:hAnsi="Arial" w:cs="Arial"/>
        </w:rPr>
        <w:t>, 2007.</w:t>
      </w:r>
    </w:p>
    <w:p w:rsidR="005C0A50" w:rsidRPr="00F31154" w:rsidRDefault="005C0A50" w:rsidP="00ED21E7">
      <w:pPr>
        <w:spacing w:before="120" w:after="240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CERVO, A. L; BERVIAN, P. A; SILVA, R. </w:t>
      </w:r>
      <w:r w:rsidRPr="00F31154">
        <w:rPr>
          <w:rFonts w:ascii="Arial" w:hAnsi="Arial" w:cs="Arial"/>
          <w:b/>
        </w:rPr>
        <w:t xml:space="preserve">Metodologia Científica. </w:t>
      </w:r>
      <w:r w:rsidRPr="00F31154">
        <w:rPr>
          <w:rFonts w:ascii="Arial" w:hAnsi="Arial" w:cs="Arial"/>
        </w:rPr>
        <w:t>6º ed. São Paulo: Pearson, 2007.</w:t>
      </w:r>
    </w:p>
    <w:p w:rsidR="009525C0" w:rsidRPr="00F31154" w:rsidRDefault="009525C0" w:rsidP="00ED21E7">
      <w:pPr>
        <w:spacing w:before="120" w:after="240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CHIAVENATO, I. </w:t>
      </w:r>
      <w:r w:rsidRPr="00F31154">
        <w:rPr>
          <w:rFonts w:ascii="Arial" w:hAnsi="Arial" w:cs="Arial"/>
          <w:b/>
        </w:rPr>
        <w:t xml:space="preserve">Administração Financeira: </w:t>
      </w:r>
      <w:r w:rsidRPr="00F31154">
        <w:rPr>
          <w:rFonts w:ascii="Arial" w:hAnsi="Arial" w:cs="Arial"/>
        </w:rPr>
        <w:t xml:space="preserve">uma abordagem </w:t>
      </w:r>
      <w:proofErr w:type="gramStart"/>
      <w:r w:rsidRPr="00F31154">
        <w:rPr>
          <w:rFonts w:ascii="Arial" w:hAnsi="Arial" w:cs="Arial"/>
        </w:rPr>
        <w:t>introdutória.</w:t>
      </w:r>
      <w:proofErr w:type="gramEnd"/>
      <w:r w:rsidRPr="00F31154">
        <w:rPr>
          <w:rFonts w:ascii="Arial" w:hAnsi="Arial" w:cs="Arial"/>
        </w:rPr>
        <w:t xml:space="preserve">2º ed. Rio de Janeiro: </w:t>
      </w:r>
      <w:proofErr w:type="spellStart"/>
      <w:r w:rsidRPr="00F31154">
        <w:rPr>
          <w:rFonts w:ascii="Arial" w:hAnsi="Arial" w:cs="Arial"/>
        </w:rPr>
        <w:t>Elsevier</w:t>
      </w:r>
      <w:proofErr w:type="spellEnd"/>
      <w:r w:rsidRPr="00F31154">
        <w:rPr>
          <w:rFonts w:ascii="Arial" w:hAnsi="Arial" w:cs="Arial"/>
        </w:rPr>
        <w:t>, 2005.</w:t>
      </w:r>
    </w:p>
    <w:p w:rsidR="00531603" w:rsidRPr="00F31154" w:rsidRDefault="00531603" w:rsidP="00ED21E7">
      <w:pPr>
        <w:spacing w:before="120" w:after="240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CORREIO BRAZILIENSE. Disponível em: </w:t>
      </w:r>
      <w:hyperlink r:id="rId15" w:history="1">
        <w:r w:rsidRPr="00F31154">
          <w:rPr>
            <w:rStyle w:val="Hyperlink"/>
            <w:rFonts w:ascii="Arial" w:hAnsi="Arial" w:cs="Arial"/>
          </w:rPr>
          <w:t>http://www.correiobraziliense.com.br/app/noticia/economia/2013/05/26/internas_economia,367965/mercado-de-cosmeticos-brasileiro-e-o-segundo-no-ranking-global.shtml</w:t>
        </w:r>
      </w:hyperlink>
      <w:r w:rsidR="005A001E" w:rsidRPr="00F31154">
        <w:rPr>
          <w:rFonts w:ascii="Arial" w:hAnsi="Arial" w:cs="Arial"/>
        </w:rPr>
        <w:t>. Acesso em 25 mar. 14</w:t>
      </w:r>
      <w:r w:rsidRPr="00F31154">
        <w:rPr>
          <w:rFonts w:ascii="Arial" w:hAnsi="Arial" w:cs="Arial"/>
        </w:rPr>
        <w:t>.</w:t>
      </w:r>
    </w:p>
    <w:p w:rsidR="005A001E" w:rsidRPr="00F31154" w:rsidRDefault="005A001E" w:rsidP="00ED21E7">
      <w:pPr>
        <w:spacing w:before="120" w:after="240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EXAME. Disponível em: </w:t>
      </w:r>
      <w:hyperlink r:id="rId16" w:history="1">
        <w:r w:rsidRPr="00F31154">
          <w:rPr>
            <w:rStyle w:val="Hyperlink"/>
            <w:rFonts w:ascii="Arial" w:hAnsi="Arial" w:cs="Arial"/>
          </w:rPr>
          <w:t>http://exame.abril.com.br/negocios/noticias/natura-e-a-6a-empresa-de-vendas-diretas-do-mundo-veja-lista</w:t>
        </w:r>
      </w:hyperlink>
      <w:r w:rsidRPr="00F31154">
        <w:rPr>
          <w:rFonts w:ascii="Arial" w:hAnsi="Arial" w:cs="Arial"/>
        </w:rPr>
        <w:t>. Acesso em 28 abr. 14</w:t>
      </w:r>
    </w:p>
    <w:p w:rsidR="004900F7" w:rsidRPr="00F31154" w:rsidRDefault="004900F7" w:rsidP="00ED21E7">
      <w:pPr>
        <w:spacing w:before="120" w:after="240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GITMAN, L. J. </w:t>
      </w:r>
      <w:r w:rsidRPr="00F31154">
        <w:rPr>
          <w:rFonts w:ascii="Arial" w:hAnsi="Arial" w:cs="Arial"/>
          <w:b/>
        </w:rPr>
        <w:t xml:space="preserve">Princípios de Administração Financeira. </w:t>
      </w:r>
      <w:r w:rsidRPr="00F31154">
        <w:rPr>
          <w:rFonts w:ascii="Arial" w:hAnsi="Arial" w:cs="Arial"/>
        </w:rPr>
        <w:t>12º ed. São Paulo: Pearson, 2010.</w:t>
      </w:r>
    </w:p>
    <w:p w:rsidR="004900F7" w:rsidRPr="00F31154" w:rsidRDefault="004900F7" w:rsidP="00ED21E7">
      <w:pPr>
        <w:spacing w:before="120" w:after="240"/>
        <w:rPr>
          <w:rFonts w:ascii="Arial" w:hAnsi="Arial" w:cs="Arial"/>
        </w:rPr>
      </w:pPr>
      <w:r w:rsidRPr="00F31154">
        <w:rPr>
          <w:rFonts w:ascii="Arial" w:hAnsi="Arial" w:cs="Arial"/>
        </w:rPr>
        <w:lastRenderedPageBreak/>
        <w:t xml:space="preserve">GROPPELLI, A.A; NIKBAKHT, E. </w:t>
      </w:r>
      <w:r w:rsidRPr="00F31154">
        <w:rPr>
          <w:rFonts w:ascii="Arial" w:hAnsi="Arial" w:cs="Arial"/>
          <w:b/>
        </w:rPr>
        <w:t>Administração Financeira</w:t>
      </w:r>
      <w:r w:rsidRPr="00F31154">
        <w:rPr>
          <w:rFonts w:ascii="Arial" w:hAnsi="Arial" w:cs="Arial"/>
        </w:rPr>
        <w:t xml:space="preserve">. 3º ed. São Paulo: </w:t>
      </w:r>
      <w:proofErr w:type="gramStart"/>
      <w:r w:rsidRPr="00F31154">
        <w:rPr>
          <w:rFonts w:ascii="Arial" w:hAnsi="Arial" w:cs="Arial"/>
        </w:rPr>
        <w:t>Saraiva,</w:t>
      </w:r>
      <w:proofErr w:type="gramEnd"/>
      <w:r w:rsidRPr="00F31154">
        <w:rPr>
          <w:rFonts w:ascii="Arial" w:hAnsi="Arial" w:cs="Arial"/>
        </w:rPr>
        <w:t xml:space="preserve"> 2010.</w:t>
      </w:r>
    </w:p>
    <w:p w:rsidR="004900F7" w:rsidRPr="00F31154" w:rsidRDefault="004900F7" w:rsidP="00ED21E7">
      <w:pPr>
        <w:spacing w:before="120" w:after="240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HOJI, M. </w:t>
      </w:r>
      <w:r w:rsidRPr="00F31154">
        <w:rPr>
          <w:rFonts w:ascii="Arial" w:hAnsi="Arial" w:cs="Arial"/>
          <w:b/>
        </w:rPr>
        <w:t xml:space="preserve">Administração Financeira e </w:t>
      </w:r>
      <w:proofErr w:type="gramStart"/>
      <w:r w:rsidRPr="00F31154">
        <w:rPr>
          <w:rFonts w:ascii="Arial" w:hAnsi="Arial" w:cs="Arial"/>
          <w:b/>
        </w:rPr>
        <w:t>Orçamentária</w:t>
      </w:r>
      <w:r w:rsidRPr="00F31154">
        <w:rPr>
          <w:rFonts w:ascii="Arial" w:hAnsi="Arial" w:cs="Arial"/>
        </w:rPr>
        <w:t>.</w:t>
      </w:r>
      <w:proofErr w:type="gramEnd"/>
      <w:r w:rsidRPr="00F31154">
        <w:rPr>
          <w:rFonts w:ascii="Arial" w:hAnsi="Arial" w:cs="Arial"/>
        </w:rPr>
        <w:t>7º ed. São Paulo: Atlas, 2008.</w:t>
      </w:r>
    </w:p>
    <w:p w:rsidR="004900F7" w:rsidRPr="00F31154" w:rsidRDefault="004900F7" w:rsidP="00ED21E7">
      <w:pPr>
        <w:spacing w:before="120" w:after="240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LEMES, A. B. J; RIGO, C. M; CHEROBIM, AP. M. S. </w:t>
      </w:r>
      <w:r w:rsidRPr="00F31154">
        <w:rPr>
          <w:rFonts w:ascii="Arial" w:hAnsi="Arial" w:cs="Arial"/>
          <w:b/>
        </w:rPr>
        <w:t xml:space="preserve">Administração Financeira: </w:t>
      </w:r>
      <w:r w:rsidRPr="00F31154">
        <w:rPr>
          <w:rFonts w:ascii="Arial" w:hAnsi="Arial" w:cs="Arial"/>
        </w:rPr>
        <w:t xml:space="preserve">Princípios, Fundamentos e Práticas </w:t>
      </w:r>
      <w:proofErr w:type="gramStart"/>
      <w:r w:rsidRPr="00F31154">
        <w:rPr>
          <w:rFonts w:ascii="Arial" w:hAnsi="Arial" w:cs="Arial"/>
        </w:rPr>
        <w:t>Brasileiras.</w:t>
      </w:r>
      <w:proofErr w:type="gramEnd"/>
      <w:r w:rsidRPr="00F31154">
        <w:rPr>
          <w:rFonts w:ascii="Arial" w:hAnsi="Arial" w:cs="Arial"/>
        </w:rPr>
        <w:t xml:space="preserve">2º ed. Rio de Janeiro: </w:t>
      </w:r>
      <w:proofErr w:type="spellStart"/>
      <w:r w:rsidRPr="00F31154">
        <w:rPr>
          <w:rFonts w:ascii="Arial" w:hAnsi="Arial" w:cs="Arial"/>
        </w:rPr>
        <w:t>Elsevier</w:t>
      </w:r>
      <w:proofErr w:type="spellEnd"/>
      <w:r w:rsidRPr="00F31154">
        <w:rPr>
          <w:rFonts w:ascii="Arial" w:hAnsi="Arial" w:cs="Arial"/>
        </w:rPr>
        <w:t>, 2005.</w:t>
      </w:r>
    </w:p>
    <w:p w:rsidR="008C287D" w:rsidRPr="00F31154" w:rsidRDefault="008C287D" w:rsidP="00ED21E7">
      <w:pPr>
        <w:spacing w:before="120" w:after="240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MACHADO, M. A. V, BARRETO, K. N. B. </w:t>
      </w:r>
      <w:r w:rsidRPr="00F31154">
        <w:rPr>
          <w:rFonts w:ascii="Arial" w:hAnsi="Arial" w:cs="Arial"/>
          <w:b/>
        </w:rPr>
        <w:t xml:space="preserve">Decisões Financeiras de Curto Prazo das Pequenas e Médias Empresas Industriais: </w:t>
      </w:r>
      <w:r w:rsidRPr="000C236D">
        <w:rPr>
          <w:rFonts w:ascii="Arial" w:hAnsi="Arial" w:cs="Arial"/>
        </w:rPr>
        <w:t>Um Estudo Exploratório.</w:t>
      </w:r>
      <w:r w:rsidRPr="00F31154">
        <w:rPr>
          <w:rFonts w:ascii="Arial" w:hAnsi="Arial" w:cs="Arial"/>
          <w:b/>
        </w:rPr>
        <w:t xml:space="preserve"> </w:t>
      </w:r>
      <w:r w:rsidRPr="00F31154">
        <w:rPr>
          <w:rFonts w:ascii="Arial" w:hAnsi="Arial" w:cs="Arial"/>
        </w:rPr>
        <w:t>Disponível em: &lt;</w:t>
      </w:r>
      <w:hyperlink r:id="rId17" w:history="1">
        <w:r w:rsidRPr="00F31154">
          <w:rPr>
            <w:rStyle w:val="Hyperlink"/>
            <w:rFonts w:ascii="Arial" w:hAnsi="Arial" w:cs="Arial"/>
          </w:rPr>
          <w:t>http://www.anpad.org.br/evento.php?acao=trabalho&amp;cod_edicao_subsecao=280&amp;cod_evento_edicao=33&amp;cod_edicao_trabalho=7972</w:t>
        </w:r>
      </w:hyperlink>
      <w:r w:rsidRPr="00F31154">
        <w:rPr>
          <w:rFonts w:ascii="Arial" w:hAnsi="Arial" w:cs="Arial"/>
        </w:rPr>
        <w:t>&gt;. Acesso em 09 jun. 13.</w:t>
      </w:r>
    </w:p>
    <w:p w:rsidR="00B36CF2" w:rsidRPr="00F31154" w:rsidRDefault="00B36CF2" w:rsidP="00ED21E7">
      <w:pPr>
        <w:spacing w:before="120" w:after="240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MARCONI, M.A; LAKATOS E.M. </w:t>
      </w:r>
      <w:r w:rsidRPr="00F31154">
        <w:rPr>
          <w:rFonts w:ascii="Arial" w:hAnsi="Arial" w:cs="Arial"/>
          <w:b/>
        </w:rPr>
        <w:t xml:space="preserve">Metodologia </w:t>
      </w:r>
      <w:proofErr w:type="gramStart"/>
      <w:r w:rsidRPr="00F31154">
        <w:rPr>
          <w:rFonts w:ascii="Arial" w:hAnsi="Arial" w:cs="Arial"/>
          <w:b/>
        </w:rPr>
        <w:t>Científica.</w:t>
      </w:r>
      <w:proofErr w:type="gramEnd"/>
      <w:r w:rsidRPr="00F31154">
        <w:rPr>
          <w:rFonts w:ascii="Arial" w:hAnsi="Arial" w:cs="Arial"/>
        </w:rPr>
        <w:t xml:space="preserve">5º ed. – 5º </w:t>
      </w:r>
      <w:proofErr w:type="spellStart"/>
      <w:r w:rsidRPr="00F31154">
        <w:rPr>
          <w:rFonts w:ascii="Arial" w:hAnsi="Arial" w:cs="Arial"/>
        </w:rPr>
        <w:t>Reimpr</w:t>
      </w:r>
      <w:proofErr w:type="spellEnd"/>
      <w:r w:rsidRPr="00F31154">
        <w:rPr>
          <w:rFonts w:ascii="Arial" w:hAnsi="Arial" w:cs="Arial"/>
        </w:rPr>
        <w:t>. São Paulo: Atlas, 2011.</w:t>
      </w:r>
    </w:p>
    <w:p w:rsidR="004921C9" w:rsidRPr="00F31154" w:rsidRDefault="004921C9" w:rsidP="00ED21E7">
      <w:pPr>
        <w:spacing w:before="120" w:after="240"/>
        <w:rPr>
          <w:rFonts w:ascii="Arial" w:hAnsi="Arial" w:cs="Arial"/>
          <w:b/>
        </w:rPr>
      </w:pPr>
      <w:r w:rsidRPr="00F31154">
        <w:rPr>
          <w:rFonts w:ascii="Arial" w:hAnsi="Arial" w:cs="Arial"/>
        </w:rPr>
        <w:t xml:space="preserve">MARION, J.C. </w:t>
      </w:r>
      <w:r w:rsidRPr="00F31154">
        <w:rPr>
          <w:rFonts w:ascii="Arial" w:hAnsi="Arial" w:cs="Arial"/>
          <w:b/>
        </w:rPr>
        <w:t xml:space="preserve">Análise das Demonstrações Contábeis: </w:t>
      </w:r>
      <w:r w:rsidR="00416E99" w:rsidRPr="00F31154">
        <w:rPr>
          <w:rFonts w:ascii="Arial" w:hAnsi="Arial" w:cs="Arial"/>
        </w:rPr>
        <w:t>Contabilidade Empresarial. 7</w:t>
      </w:r>
      <w:r w:rsidRPr="00F31154">
        <w:rPr>
          <w:rFonts w:ascii="Arial" w:hAnsi="Arial" w:cs="Arial"/>
        </w:rPr>
        <w:t>º ed.</w:t>
      </w:r>
      <w:r w:rsidR="00416E99" w:rsidRPr="00F31154">
        <w:rPr>
          <w:rFonts w:ascii="Arial" w:hAnsi="Arial" w:cs="Arial"/>
        </w:rPr>
        <w:t xml:space="preserve"> São Paulo: Atlas, 2012</w:t>
      </w:r>
      <w:r w:rsidR="001378CE" w:rsidRPr="00F31154">
        <w:rPr>
          <w:rFonts w:ascii="Arial" w:hAnsi="Arial" w:cs="Arial"/>
        </w:rPr>
        <w:t>.</w:t>
      </w:r>
    </w:p>
    <w:p w:rsidR="00CB24C1" w:rsidRPr="00F31154" w:rsidRDefault="00CB24C1" w:rsidP="00ED21E7">
      <w:pPr>
        <w:spacing w:before="120" w:after="240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PADOVEZE, C. L; BENEDICTO, G. </w:t>
      </w:r>
      <w:proofErr w:type="spellStart"/>
      <w:proofErr w:type="gramStart"/>
      <w:r w:rsidRPr="00F31154">
        <w:rPr>
          <w:rFonts w:ascii="Arial" w:hAnsi="Arial" w:cs="Arial"/>
        </w:rPr>
        <w:t>C.</w:t>
      </w:r>
      <w:proofErr w:type="gramEnd"/>
      <w:r w:rsidRPr="00F31154">
        <w:rPr>
          <w:rFonts w:ascii="Arial" w:hAnsi="Arial" w:cs="Arial"/>
          <w:b/>
        </w:rPr>
        <w:t>Análise</w:t>
      </w:r>
      <w:proofErr w:type="spellEnd"/>
      <w:r w:rsidRPr="00F31154">
        <w:rPr>
          <w:rFonts w:ascii="Arial" w:hAnsi="Arial" w:cs="Arial"/>
          <w:b/>
        </w:rPr>
        <w:t xml:space="preserve"> das Demonstrações Financeiras</w:t>
      </w:r>
      <w:r w:rsidRPr="00F31154">
        <w:rPr>
          <w:rFonts w:ascii="Arial" w:hAnsi="Arial" w:cs="Arial"/>
        </w:rPr>
        <w:t xml:space="preserve">. 3º ed. rev. e </w:t>
      </w:r>
      <w:proofErr w:type="spellStart"/>
      <w:r w:rsidRPr="00F31154">
        <w:rPr>
          <w:rFonts w:ascii="Arial" w:hAnsi="Arial" w:cs="Arial"/>
        </w:rPr>
        <w:t>ampl</w:t>
      </w:r>
      <w:proofErr w:type="spellEnd"/>
      <w:r w:rsidRPr="00F31154">
        <w:rPr>
          <w:rFonts w:ascii="Arial" w:hAnsi="Arial" w:cs="Arial"/>
        </w:rPr>
        <w:t xml:space="preserve">. São Paulo: </w:t>
      </w:r>
      <w:proofErr w:type="spellStart"/>
      <w:r w:rsidRPr="00F31154">
        <w:rPr>
          <w:rFonts w:ascii="Arial" w:hAnsi="Arial" w:cs="Arial"/>
        </w:rPr>
        <w:t>Cengage</w:t>
      </w:r>
      <w:proofErr w:type="spellEnd"/>
      <w:r w:rsidRPr="00F31154">
        <w:rPr>
          <w:rFonts w:ascii="Arial" w:hAnsi="Arial" w:cs="Arial"/>
        </w:rPr>
        <w:t xml:space="preserve"> Learning, 2010.</w:t>
      </w:r>
    </w:p>
    <w:p w:rsidR="004900F7" w:rsidRPr="00F31154" w:rsidRDefault="004900F7" w:rsidP="00ED21E7">
      <w:pPr>
        <w:spacing w:before="120" w:after="240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ROSS, S. A. J; WESTERFIELD, R. W; JORDAN, B. D. </w:t>
      </w:r>
      <w:r w:rsidRPr="00F31154">
        <w:rPr>
          <w:rFonts w:ascii="Arial" w:hAnsi="Arial" w:cs="Arial"/>
          <w:b/>
        </w:rPr>
        <w:t xml:space="preserve">Princípios da Administração Financeira. </w:t>
      </w:r>
      <w:r w:rsidRPr="00F31154">
        <w:rPr>
          <w:rFonts w:ascii="Arial" w:hAnsi="Arial" w:cs="Arial"/>
        </w:rPr>
        <w:t>2º ed. São Paulo: Atlas, 2008.</w:t>
      </w:r>
    </w:p>
    <w:p w:rsidR="004900F7" w:rsidRPr="00F31154" w:rsidRDefault="004900F7" w:rsidP="00ED21E7">
      <w:pPr>
        <w:spacing w:before="120" w:after="240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SANVICENTE, A. Z. </w:t>
      </w:r>
      <w:r w:rsidRPr="00F31154">
        <w:rPr>
          <w:rFonts w:ascii="Arial" w:hAnsi="Arial" w:cs="Arial"/>
          <w:b/>
        </w:rPr>
        <w:t xml:space="preserve">Administração Financeira. </w:t>
      </w:r>
      <w:r w:rsidRPr="00F31154">
        <w:rPr>
          <w:rFonts w:ascii="Arial" w:hAnsi="Arial" w:cs="Arial"/>
        </w:rPr>
        <w:t>3º ed. São Paulo: Atlas, 2007.</w:t>
      </w:r>
    </w:p>
    <w:p w:rsidR="009525C0" w:rsidRPr="00F31154" w:rsidRDefault="009525C0" w:rsidP="00ED21E7">
      <w:pPr>
        <w:spacing w:before="120" w:after="240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SILVA, J. P. </w:t>
      </w:r>
      <w:r w:rsidRPr="00F31154">
        <w:rPr>
          <w:rFonts w:ascii="Arial" w:hAnsi="Arial" w:cs="Arial"/>
          <w:b/>
        </w:rPr>
        <w:t xml:space="preserve">Análise Financeira das </w:t>
      </w:r>
      <w:proofErr w:type="gramStart"/>
      <w:r w:rsidRPr="00F31154">
        <w:rPr>
          <w:rFonts w:ascii="Arial" w:hAnsi="Arial" w:cs="Arial"/>
          <w:b/>
        </w:rPr>
        <w:t>Empresas</w:t>
      </w:r>
      <w:r w:rsidRPr="00F31154">
        <w:rPr>
          <w:rFonts w:ascii="Arial" w:hAnsi="Arial" w:cs="Arial"/>
        </w:rPr>
        <w:t>.</w:t>
      </w:r>
      <w:proofErr w:type="gramEnd"/>
      <w:r w:rsidRPr="00F31154">
        <w:rPr>
          <w:rFonts w:ascii="Arial" w:hAnsi="Arial" w:cs="Arial"/>
        </w:rPr>
        <w:t>9º ed. São Paulo: Atlas, 2008.</w:t>
      </w:r>
    </w:p>
    <w:p w:rsidR="009A70B9" w:rsidRPr="00F31154" w:rsidRDefault="009525C0" w:rsidP="00ED21E7">
      <w:pPr>
        <w:spacing w:before="120" w:after="240"/>
        <w:rPr>
          <w:rFonts w:ascii="Arial" w:hAnsi="Arial" w:cs="Arial"/>
        </w:rPr>
      </w:pPr>
      <w:r w:rsidRPr="00F31154">
        <w:rPr>
          <w:rFonts w:ascii="Arial" w:hAnsi="Arial" w:cs="Arial"/>
        </w:rPr>
        <w:t xml:space="preserve">WESTON, J. F; BRIGHAM, E. F. </w:t>
      </w:r>
      <w:r w:rsidRPr="00F31154">
        <w:rPr>
          <w:rFonts w:ascii="Arial" w:hAnsi="Arial" w:cs="Arial"/>
          <w:b/>
        </w:rPr>
        <w:t xml:space="preserve">Fundamentos da Administração </w:t>
      </w:r>
      <w:proofErr w:type="gramStart"/>
      <w:r w:rsidRPr="00F31154">
        <w:rPr>
          <w:rFonts w:ascii="Arial" w:hAnsi="Arial" w:cs="Arial"/>
          <w:b/>
        </w:rPr>
        <w:t>Financeira</w:t>
      </w:r>
      <w:r w:rsidRPr="00F31154">
        <w:rPr>
          <w:rFonts w:ascii="Arial" w:hAnsi="Arial" w:cs="Arial"/>
        </w:rPr>
        <w:t>.</w:t>
      </w:r>
      <w:proofErr w:type="gramEnd"/>
      <w:r w:rsidRPr="00F31154">
        <w:rPr>
          <w:rFonts w:ascii="Arial" w:hAnsi="Arial" w:cs="Arial"/>
        </w:rPr>
        <w:t>10º ed. São Paulo: Pearson, 2000.</w:t>
      </w:r>
    </w:p>
    <w:p w:rsidR="001F7B1A" w:rsidRPr="00F31154" w:rsidRDefault="001F7B1A" w:rsidP="00D52DA4">
      <w:pPr>
        <w:spacing w:before="120" w:after="120"/>
        <w:jc w:val="both"/>
        <w:rPr>
          <w:rFonts w:ascii="Arial" w:hAnsi="Arial" w:cs="Arial"/>
        </w:rPr>
      </w:pPr>
    </w:p>
    <w:p w:rsidR="001F7B1A" w:rsidRPr="00F31154" w:rsidRDefault="001F7B1A" w:rsidP="00D52DA4">
      <w:pPr>
        <w:spacing w:before="120" w:after="120"/>
        <w:jc w:val="both"/>
        <w:rPr>
          <w:rFonts w:ascii="Arial" w:hAnsi="Arial" w:cs="Arial"/>
        </w:rPr>
      </w:pPr>
    </w:p>
    <w:p w:rsidR="001F7B1A" w:rsidRPr="00F31154" w:rsidRDefault="001F7B1A" w:rsidP="00D52DA4">
      <w:pPr>
        <w:spacing w:before="120" w:after="120"/>
        <w:jc w:val="both"/>
        <w:rPr>
          <w:rFonts w:ascii="Arial" w:hAnsi="Arial" w:cs="Arial"/>
        </w:rPr>
      </w:pPr>
    </w:p>
    <w:p w:rsidR="001F7B1A" w:rsidRPr="00F31154" w:rsidRDefault="001F7B1A" w:rsidP="00D52DA4">
      <w:pPr>
        <w:spacing w:before="120" w:after="120"/>
        <w:jc w:val="both"/>
        <w:rPr>
          <w:rFonts w:ascii="Arial" w:hAnsi="Arial" w:cs="Arial"/>
        </w:rPr>
      </w:pPr>
    </w:p>
    <w:p w:rsidR="001F7B1A" w:rsidRPr="00F31154" w:rsidRDefault="001F7B1A" w:rsidP="00D52DA4">
      <w:pPr>
        <w:spacing w:before="120" w:after="120"/>
        <w:jc w:val="both"/>
        <w:rPr>
          <w:rFonts w:ascii="Arial" w:hAnsi="Arial" w:cs="Arial"/>
        </w:rPr>
      </w:pPr>
    </w:p>
    <w:p w:rsidR="001F7B1A" w:rsidRPr="00F31154" w:rsidRDefault="001F7B1A" w:rsidP="00D52DA4">
      <w:pPr>
        <w:spacing w:before="120" w:after="120"/>
        <w:jc w:val="both"/>
        <w:rPr>
          <w:rFonts w:ascii="Arial" w:hAnsi="Arial" w:cs="Arial"/>
        </w:rPr>
      </w:pPr>
    </w:p>
    <w:p w:rsidR="001F7B1A" w:rsidRDefault="001F7B1A" w:rsidP="00D52DA4">
      <w:pPr>
        <w:spacing w:before="120" w:after="120"/>
        <w:jc w:val="both"/>
        <w:rPr>
          <w:rFonts w:ascii="Arial" w:hAnsi="Arial" w:cs="Arial"/>
        </w:rPr>
      </w:pPr>
    </w:p>
    <w:p w:rsidR="00595C13" w:rsidRDefault="00595C13" w:rsidP="00D52DA4">
      <w:pPr>
        <w:spacing w:before="120" w:after="120"/>
        <w:jc w:val="both"/>
        <w:rPr>
          <w:rFonts w:ascii="Arial" w:hAnsi="Arial" w:cs="Arial"/>
        </w:rPr>
      </w:pPr>
    </w:p>
    <w:p w:rsidR="001A6A7C" w:rsidRDefault="001A6A7C" w:rsidP="00D52DA4">
      <w:pPr>
        <w:spacing w:before="120" w:after="120"/>
        <w:jc w:val="both"/>
        <w:rPr>
          <w:rFonts w:ascii="Arial" w:hAnsi="Arial" w:cs="Arial"/>
        </w:rPr>
      </w:pPr>
    </w:p>
    <w:p w:rsidR="001A6A7C" w:rsidRDefault="001A6A7C" w:rsidP="00D52DA4">
      <w:pPr>
        <w:spacing w:before="120" w:after="120"/>
        <w:jc w:val="both"/>
        <w:rPr>
          <w:rFonts w:ascii="Arial" w:hAnsi="Arial" w:cs="Arial"/>
        </w:rPr>
      </w:pPr>
    </w:p>
    <w:p w:rsidR="001A6A7C" w:rsidRDefault="001A6A7C" w:rsidP="00D52DA4">
      <w:pPr>
        <w:spacing w:before="120" w:after="120"/>
        <w:jc w:val="both"/>
        <w:rPr>
          <w:rFonts w:ascii="Arial" w:hAnsi="Arial" w:cs="Arial"/>
        </w:rPr>
      </w:pPr>
    </w:p>
    <w:p w:rsidR="001A6A7C" w:rsidRDefault="001A6A7C" w:rsidP="00D52DA4">
      <w:pPr>
        <w:spacing w:before="120" w:after="120"/>
        <w:jc w:val="both"/>
        <w:rPr>
          <w:rFonts w:ascii="Arial" w:hAnsi="Arial" w:cs="Arial"/>
        </w:rPr>
      </w:pPr>
    </w:p>
    <w:p w:rsidR="001A6A7C" w:rsidRDefault="001A6A7C" w:rsidP="00D52DA4">
      <w:pPr>
        <w:spacing w:before="120" w:after="120"/>
        <w:jc w:val="both"/>
        <w:rPr>
          <w:rFonts w:ascii="Arial" w:hAnsi="Arial" w:cs="Arial"/>
        </w:rPr>
      </w:pPr>
    </w:p>
    <w:p w:rsidR="001A6A7C" w:rsidRDefault="001A6A7C" w:rsidP="00D52DA4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ANEXOS</w:t>
      </w:r>
    </w:p>
    <w:p w:rsidR="001A6A7C" w:rsidRDefault="001A6A7C" w:rsidP="001A6A7C">
      <w:pPr>
        <w:spacing w:line="360" w:lineRule="auto"/>
        <w:jc w:val="both"/>
        <w:rPr>
          <w:rFonts w:ascii="Arial" w:hAnsi="Arial" w:cs="Arial"/>
          <w:b/>
        </w:rPr>
      </w:pPr>
      <w:r w:rsidRPr="001A6A7C">
        <w:rPr>
          <w:noProof/>
        </w:rPr>
        <w:drawing>
          <wp:inline distT="0" distB="0" distL="0" distR="0" wp14:anchorId="50003D74" wp14:editId="34425971">
            <wp:extent cx="5235708" cy="4257675"/>
            <wp:effectExtent l="0" t="0" r="3175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506" cy="4264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A7C" w:rsidRDefault="001A6A7C" w:rsidP="001A6A7C">
      <w:pPr>
        <w:spacing w:line="360" w:lineRule="auto"/>
        <w:jc w:val="both"/>
        <w:rPr>
          <w:rFonts w:ascii="Arial" w:hAnsi="Arial" w:cs="Arial"/>
          <w:b/>
        </w:rPr>
      </w:pPr>
      <w:r w:rsidRPr="001A6A7C">
        <w:rPr>
          <w:noProof/>
        </w:rPr>
        <w:drawing>
          <wp:inline distT="0" distB="0" distL="0" distR="0" wp14:anchorId="69ED18D6" wp14:editId="47DEB783">
            <wp:extent cx="5238750" cy="4171950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884" cy="4172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A7C" w:rsidRPr="001A6A7C" w:rsidRDefault="001A6A7C" w:rsidP="001A6A7C">
      <w:pPr>
        <w:spacing w:line="360" w:lineRule="auto"/>
        <w:jc w:val="both"/>
        <w:rPr>
          <w:rFonts w:ascii="Arial" w:hAnsi="Arial" w:cs="Arial"/>
          <w:b/>
        </w:rPr>
      </w:pPr>
      <w:r w:rsidRPr="001A6A7C">
        <w:rPr>
          <w:noProof/>
        </w:rPr>
        <w:lastRenderedPageBreak/>
        <w:drawing>
          <wp:inline distT="0" distB="0" distL="0" distR="0" wp14:anchorId="1A5F3EB6" wp14:editId="52F5952C">
            <wp:extent cx="5760085" cy="5188530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8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B1A" w:rsidRPr="00F31154" w:rsidRDefault="001F7B1A" w:rsidP="00D52DA4">
      <w:pPr>
        <w:spacing w:before="120" w:after="120"/>
        <w:jc w:val="both"/>
        <w:rPr>
          <w:rFonts w:ascii="Arial" w:hAnsi="Arial" w:cs="Arial"/>
          <w:sz w:val="20"/>
        </w:rPr>
      </w:pPr>
    </w:p>
    <w:sectPr w:rsidR="001F7B1A" w:rsidRPr="00F31154" w:rsidSect="0013310F">
      <w:headerReference w:type="even" r:id="rId21"/>
      <w:headerReference w:type="default" r:id="rId22"/>
      <w:footerReference w:type="default" r:id="rId23"/>
      <w:footerReference w:type="first" r:id="rId24"/>
      <w:pgSz w:w="11906" w:h="16838"/>
      <w:pgMar w:top="1701" w:right="1134" w:bottom="1134" w:left="1701" w:header="1134" w:footer="709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E0AE5E0" w15:done="0"/>
  <w15:commentEx w15:paraId="674E70C5" w15:done="0"/>
  <w15:commentEx w15:paraId="3E884CD4" w15:done="0"/>
  <w15:commentEx w15:paraId="5A6B2F8A" w15:done="0"/>
  <w15:commentEx w15:paraId="104A73BC" w15:done="0"/>
  <w15:commentEx w15:paraId="0D1BBFD9" w15:done="0"/>
  <w15:commentEx w15:paraId="521C6B40" w15:done="0"/>
  <w15:commentEx w15:paraId="72621B4A" w15:done="0"/>
  <w15:commentEx w15:paraId="713CB579" w15:done="0"/>
  <w15:commentEx w15:paraId="2BCC30AD" w15:done="0"/>
  <w15:commentEx w15:paraId="110B317F" w15:done="0"/>
  <w15:commentEx w15:paraId="7F972C54" w15:done="0"/>
  <w15:commentEx w15:paraId="0BE5B6D2" w15:done="0"/>
  <w15:commentEx w15:paraId="7DC0EFE7" w15:done="0"/>
  <w15:commentEx w15:paraId="39C44144" w15:done="0"/>
  <w15:commentEx w15:paraId="4119BBBB" w15:done="0"/>
  <w15:commentEx w15:paraId="07EC4916" w15:done="0"/>
  <w15:commentEx w15:paraId="1FC79FA2" w15:done="0"/>
  <w15:commentEx w15:paraId="381493A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303" w:rsidRDefault="00D81303" w:rsidP="00513899">
      <w:r>
        <w:separator/>
      </w:r>
    </w:p>
  </w:endnote>
  <w:endnote w:type="continuationSeparator" w:id="0">
    <w:p w:rsidR="00D81303" w:rsidRDefault="00D81303" w:rsidP="0051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3919828"/>
      <w:docPartObj>
        <w:docPartGallery w:val="Page Numbers (Bottom of Page)"/>
        <w:docPartUnique/>
      </w:docPartObj>
    </w:sdtPr>
    <w:sdtEndPr/>
    <w:sdtContent>
      <w:p w:rsidR="003823FD" w:rsidRDefault="003823F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488">
          <w:rPr>
            <w:noProof/>
          </w:rPr>
          <w:t>24</w:t>
        </w:r>
        <w:r>
          <w:fldChar w:fldCharType="end"/>
        </w:r>
      </w:p>
    </w:sdtContent>
  </w:sdt>
  <w:p w:rsidR="003823FD" w:rsidRDefault="003823F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3FD" w:rsidRPr="00F31154" w:rsidRDefault="003823FD" w:rsidP="00A73320">
    <w:pPr>
      <w:pStyle w:val="Rodap"/>
      <w:jc w:val="both"/>
      <w:rPr>
        <w:rFonts w:ascii="Arial" w:hAnsi="Arial" w:cs="Arial"/>
        <w:color w:val="000000"/>
        <w:sz w:val="20"/>
        <w:szCs w:val="20"/>
      </w:rPr>
    </w:pPr>
    <w:r w:rsidRPr="00F31154">
      <w:rPr>
        <w:rFonts w:ascii="Arial" w:hAnsi="Arial" w:cs="Arial"/>
        <w:color w:val="000000"/>
        <w:sz w:val="20"/>
        <w:szCs w:val="20"/>
      </w:rPr>
      <w:ptab w:relativeTo="margin" w:alignment="center" w:leader="underscore"/>
    </w:r>
  </w:p>
  <w:p w:rsidR="003823FD" w:rsidRDefault="003823FD" w:rsidP="00A73320">
    <w:pPr>
      <w:pStyle w:val="Rodap"/>
      <w:jc w:val="both"/>
      <w:rPr>
        <w:rStyle w:val="Hyperlink"/>
        <w:rFonts w:ascii="Arial" w:hAnsi="Arial" w:cs="Arial"/>
        <w:sz w:val="20"/>
        <w:szCs w:val="20"/>
      </w:rPr>
    </w:pPr>
    <w:proofErr w:type="gramStart"/>
    <w:r w:rsidRPr="00F31154">
      <w:rPr>
        <w:rFonts w:ascii="Arial" w:hAnsi="Arial" w:cs="Arial"/>
        <w:color w:val="000000"/>
        <w:sz w:val="20"/>
        <w:szCs w:val="20"/>
      </w:rPr>
      <w:t>¹</w:t>
    </w:r>
    <w:proofErr w:type="gramEnd"/>
    <w:r w:rsidR="00B15313">
      <w:rPr>
        <w:rFonts w:ascii="Arial" w:hAnsi="Arial" w:cs="Arial"/>
        <w:color w:val="000000"/>
        <w:sz w:val="20"/>
        <w:szCs w:val="20"/>
      </w:rPr>
      <w:t xml:space="preserve"> </w:t>
    </w:r>
    <w:r w:rsidRPr="00F31154">
      <w:rPr>
        <w:rFonts w:ascii="Arial" w:hAnsi="Arial" w:cs="Arial"/>
        <w:color w:val="000000"/>
        <w:sz w:val="20"/>
        <w:szCs w:val="20"/>
      </w:rPr>
      <w:t xml:space="preserve">Graduanda em Administração pela Faculdade Paraíso do Ceará – FAP (Juazeiro do Norte/CE); E-mail: </w:t>
    </w:r>
    <w:hyperlink r:id="rId1" w:history="1">
      <w:r w:rsidRPr="00F31154">
        <w:rPr>
          <w:rStyle w:val="Hyperlink"/>
          <w:rFonts w:ascii="Arial" w:hAnsi="Arial" w:cs="Arial"/>
          <w:sz w:val="20"/>
          <w:szCs w:val="20"/>
        </w:rPr>
        <w:t>allybot1@gmail.com</w:t>
      </w:r>
    </w:hyperlink>
  </w:p>
  <w:p w:rsidR="00B15313" w:rsidRPr="00F31154" w:rsidRDefault="00B15313" w:rsidP="00A73320">
    <w:pPr>
      <w:pStyle w:val="Rodap"/>
      <w:jc w:val="both"/>
      <w:rPr>
        <w:rFonts w:ascii="Arial" w:hAnsi="Arial" w:cs="Arial"/>
        <w:sz w:val="20"/>
        <w:szCs w:val="20"/>
      </w:rPr>
    </w:pPr>
    <w:proofErr w:type="gramStart"/>
    <w:r>
      <w:rPr>
        <w:rFonts w:ascii="Arial" w:hAnsi="Arial" w:cs="Arial"/>
        <w:sz w:val="20"/>
        <w:szCs w:val="20"/>
      </w:rPr>
      <w:t>²</w:t>
    </w:r>
    <w:proofErr w:type="gramEnd"/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color w:val="000000"/>
        <w:sz w:val="20"/>
        <w:szCs w:val="20"/>
      </w:rPr>
      <w:t>Graduando</w:t>
    </w:r>
    <w:r w:rsidRPr="00F31154">
      <w:rPr>
        <w:rFonts w:ascii="Arial" w:hAnsi="Arial" w:cs="Arial"/>
        <w:color w:val="000000"/>
        <w:sz w:val="20"/>
        <w:szCs w:val="20"/>
      </w:rPr>
      <w:t xml:space="preserve"> em Administração pela Faculdade Paraíso do Ceará – FAP (Juazeiro do Norte/CE); E-mail: </w:t>
    </w:r>
    <w:r>
      <w:rPr>
        <w:rFonts w:ascii="Arial" w:hAnsi="Arial" w:cs="Arial"/>
        <w:sz w:val="20"/>
        <w:szCs w:val="20"/>
      </w:rPr>
      <w:t>jhonasfaustino@hotmail.com</w:t>
    </w:r>
  </w:p>
  <w:p w:rsidR="003823FD" w:rsidRPr="00F31154" w:rsidRDefault="00B15313" w:rsidP="00A73320">
    <w:pPr>
      <w:pStyle w:val="Rodap"/>
      <w:jc w:val="both"/>
      <w:rPr>
        <w:rFonts w:ascii="Arial" w:hAnsi="Arial" w:cs="Arial"/>
        <w:color w:val="000000"/>
        <w:sz w:val="20"/>
        <w:szCs w:val="20"/>
      </w:rPr>
    </w:pPr>
    <w:proofErr w:type="gramStart"/>
    <w:r>
      <w:rPr>
        <w:rFonts w:ascii="Arial" w:hAnsi="Arial" w:cs="Arial"/>
        <w:color w:val="000000"/>
        <w:sz w:val="20"/>
        <w:szCs w:val="20"/>
      </w:rPr>
      <w:t>³</w:t>
    </w:r>
    <w:proofErr w:type="gramEnd"/>
    <w:r>
      <w:rPr>
        <w:rFonts w:ascii="Arial" w:hAnsi="Arial" w:cs="Arial"/>
        <w:color w:val="000000"/>
        <w:sz w:val="20"/>
        <w:szCs w:val="20"/>
      </w:rPr>
      <w:t xml:space="preserve"> </w:t>
    </w:r>
    <w:r w:rsidR="003823FD" w:rsidRPr="00F31154">
      <w:rPr>
        <w:rFonts w:ascii="Arial" w:hAnsi="Arial" w:cs="Arial"/>
        <w:color w:val="000000"/>
        <w:sz w:val="20"/>
        <w:szCs w:val="20"/>
      </w:rPr>
      <w:t xml:space="preserve">Orientador Mestre em Economia pela Universidade Federal do Ceará (UFC). Docente do Curso de Administração e Sistemas de Informação, da Faculdade Paraíso. E-mail: </w:t>
    </w:r>
    <w:hyperlink r:id="rId2" w:history="1">
      <w:r w:rsidR="003823FD" w:rsidRPr="00F31154">
        <w:rPr>
          <w:rStyle w:val="Hyperlink"/>
          <w:rFonts w:ascii="Arial" w:hAnsi="Arial" w:cs="Arial"/>
          <w:sz w:val="20"/>
          <w:szCs w:val="20"/>
        </w:rPr>
        <w:t>edwardeduardo@bol.com.br</w:t>
      </w:r>
    </w:hyperlink>
  </w:p>
  <w:p w:rsidR="003823FD" w:rsidRDefault="003823FD">
    <w:pPr>
      <w:pStyle w:val="Rodap"/>
    </w:pPr>
  </w:p>
  <w:p w:rsidR="003823FD" w:rsidRDefault="003823F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303" w:rsidRDefault="00D81303" w:rsidP="00513899">
      <w:r>
        <w:separator/>
      </w:r>
    </w:p>
  </w:footnote>
  <w:footnote w:type="continuationSeparator" w:id="0">
    <w:p w:rsidR="00D81303" w:rsidRDefault="00D81303" w:rsidP="005138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3FD" w:rsidRDefault="003823FD" w:rsidP="0011055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23FD" w:rsidRDefault="003823FD" w:rsidP="0011055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3FD" w:rsidRDefault="003823FD">
    <w:pPr>
      <w:pStyle w:val="Cabealho"/>
      <w:jc w:val="right"/>
    </w:pPr>
  </w:p>
  <w:p w:rsidR="003823FD" w:rsidRDefault="003823FD" w:rsidP="0011055C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284B"/>
    <w:multiLevelType w:val="multilevel"/>
    <w:tmpl w:val="A8A69C3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>
      <w:start w:val="4"/>
      <w:numFmt w:val="decimal"/>
      <w:isLgl/>
      <w:lvlText w:val="%1.%2"/>
      <w:lvlJc w:val="left"/>
      <w:pPr>
        <w:ind w:left="885" w:hanging="525"/>
      </w:pPr>
      <w:rPr>
        <w:rFonts w:hint="default"/>
        <w:b/>
      </w:rPr>
    </w:lvl>
    <w:lvl w:ilvl="2">
      <w:start w:val="1"/>
      <w:numFmt w:val="decimal"/>
      <w:isLgl/>
      <w:lvlText w:val="%1.5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">
    <w:nsid w:val="12BA23B3"/>
    <w:multiLevelType w:val="multilevel"/>
    <w:tmpl w:val="A3D8448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159E7535"/>
    <w:multiLevelType w:val="hybridMultilevel"/>
    <w:tmpl w:val="774631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185595"/>
    <w:multiLevelType w:val="hybridMultilevel"/>
    <w:tmpl w:val="DB60A636"/>
    <w:lvl w:ilvl="0" w:tplc="81A07D74">
      <w:start w:val="1"/>
      <w:numFmt w:val="decimal"/>
      <w:lvlText w:val="%1.a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3658F"/>
    <w:multiLevelType w:val="hybridMultilevel"/>
    <w:tmpl w:val="8682A6A8"/>
    <w:lvl w:ilvl="0" w:tplc="DAF0AE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E30C5"/>
    <w:multiLevelType w:val="hybridMultilevel"/>
    <w:tmpl w:val="534E445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B05207"/>
    <w:multiLevelType w:val="hybridMultilevel"/>
    <w:tmpl w:val="5E929182"/>
    <w:lvl w:ilvl="0" w:tplc="9A44AC34">
      <w:start w:val="1"/>
      <w:numFmt w:val="decimal"/>
      <w:lvlText w:val="%1.c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F02E9E"/>
    <w:multiLevelType w:val="hybridMultilevel"/>
    <w:tmpl w:val="2E4EE75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36204E"/>
    <w:multiLevelType w:val="hybridMultilevel"/>
    <w:tmpl w:val="00787DC4"/>
    <w:lvl w:ilvl="0" w:tplc="79DEC1E8">
      <w:start w:val="3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25F5F"/>
    <w:multiLevelType w:val="hybridMultilevel"/>
    <w:tmpl w:val="EAE29D74"/>
    <w:lvl w:ilvl="0" w:tplc="CF2C6D8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>
    <w:nsid w:val="30957E93"/>
    <w:multiLevelType w:val="hybridMultilevel"/>
    <w:tmpl w:val="D1E28056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B059AB"/>
    <w:multiLevelType w:val="hybridMultilevel"/>
    <w:tmpl w:val="733AF92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B72B30"/>
    <w:multiLevelType w:val="hybridMultilevel"/>
    <w:tmpl w:val="EC4CCB3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A41F53"/>
    <w:multiLevelType w:val="hybridMultilevel"/>
    <w:tmpl w:val="8FD42866"/>
    <w:lvl w:ilvl="0" w:tplc="E51887C0">
      <w:start w:val="1"/>
      <w:numFmt w:val="decimal"/>
      <w:lvlText w:val="%1.c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1D24DA"/>
    <w:multiLevelType w:val="hybridMultilevel"/>
    <w:tmpl w:val="685C040A"/>
    <w:lvl w:ilvl="0" w:tplc="04160011">
      <w:start w:val="1"/>
      <w:numFmt w:val="decimal"/>
      <w:lvlText w:val="%1)"/>
      <w:lvlJc w:val="left"/>
      <w:pPr>
        <w:tabs>
          <w:tab w:val="num" w:pos="841"/>
        </w:tabs>
        <w:ind w:left="841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61"/>
        </w:tabs>
        <w:ind w:left="156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81"/>
        </w:tabs>
        <w:ind w:left="228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01"/>
        </w:tabs>
        <w:ind w:left="300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21"/>
        </w:tabs>
        <w:ind w:left="372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41"/>
        </w:tabs>
        <w:ind w:left="444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61"/>
        </w:tabs>
        <w:ind w:left="516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81"/>
        </w:tabs>
        <w:ind w:left="588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01"/>
        </w:tabs>
        <w:ind w:left="6601" w:hanging="180"/>
      </w:pPr>
    </w:lvl>
  </w:abstractNum>
  <w:abstractNum w:abstractNumId="15">
    <w:nsid w:val="3B5A3851"/>
    <w:multiLevelType w:val="hybridMultilevel"/>
    <w:tmpl w:val="18363684"/>
    <w:lvl w:ilvl="0" w:tplc="F38CDE70">
      <w:start w:val="1"/>
      <w:numFmt w:val="decimal"/>
      <w:lvlText w:val="(%1)"/>
      <w:lvlJc w:val="left"/>
      <w:pPr>
        <w:ind w:left="6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5" w:hanging="360"/>
      </w:pPr>
    </w:lvl>
    <w:lvl w:ilvl="2" w:tplc="0416001B" w:tentative="1">
      <w:start w:val="1"/>
      <w:numFmt w:val="lowerRoman"/>
      <w:lvlText w:val="%3."/>
      <w:lvlJc w:val="right"/>
      <w:pPr>
        <w:ind w:left="2105" w:hanging="180"/>
      </w:pPr>
    </w:lvl>
    <w:lvl w:ilvl="3" w:tplc="0416000F" w:tentative="1">
      <w:start w:val="1"/>
      <w:numFmt w:val="decimal"/>
      <w:lvlText w:val="%4."/>
      <w:lvlJc w:val="left"/>
      <w:pPr>
        <w:ind w:left="2825" w:hanging="360"/>
      </w:pPr>
    </w:lvl>
    <w:lvl w:ilvl="4" w:tplc="04160019" w:tentative="1">
      <w:start w:val="1"/>
      <w:numFmt w:val="lowerLetter"/>
      <w:lvlText w:val="%5."/>
      <w:lvlJc w:val="left"/>
      <w:pPr>
        <w:ind w:left="3545" w:hanging="360"/>
      </w:pPr>
    </w:lvl>
    <w:lvl w:ilvl="5" w:tplc="0416001B" w:tentative="1">
      <w:start w:val="1"/>
      <w:numFmt w:val="lowerRoman"/>
      <w:lvlText w:val="%6."/>
      <w:lvlJc w:val="right"/>
      <w:pPr>
        <w:ind w:left="4265" w:hanging="180"/>
      </w:pPr>
    </w:lvl>
    <w:lvl w:ilvl="6" w:tplc="0416000F" w:tentative="1">
      <w:start w:val="1"/>
      <w:numFmt w:val="decimal"/>
      <w:lvlText w:val="%7."/>
      <w:lvlJc w:val="left"/>
      <w:pPr>
        <w:ind w:left="4985" w:hanging="360"/>
      </w:pPr>
    </w:lvl>
    <w:lvl w:ilvl="7" w:tplc="04160019" w:tentative="1">
      <w:start w:val="1"/>
      <w:numFmt w:val="lowerLetter"/>
      <w:lvlText w:val="%8."/>
      <w:lvlJc w:val="left"/>
      <w:pPr>
        <w:ind w:left="5705" w:hanging="360"/>
      </w:pPr>
    </w:lvl>
    <w:lvl w:ilvl="8" w:tplc="0416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6">
    <w:nsid w:val="3E6C676E"/>
    <w:multiLevelType w:val="hybridMultilevel"/>
    <w:tmpl w:val="708AF600"/>
    <w:lvl w:ilvl="0" w:tplc="EFE4A45C">
      <w:start w:val="1"/>
      <w:numFmt w:val="decimal"/>
      <w:lvlText w:val="%1.a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477F2"/>
    <w:multiLevelType w:val="hybridMultilevel"/>
    <w:tmpl w:val="7E7CBF9E"/>
    <w:lvl w:ilvl="0" w:tplc="1B7A82F6">
      <w:start w:val="1"/>
      <w:numFmt w:val="decimal"/>
      <w:lvlText w:val="%1.a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7D19A8"/>
    <w:multiLevelType w:val="hybridMultilevel"/>
    <w:tmpl w:val="9ED4BE1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75A58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457F3E"/>
    <w:multiLevelType w:val="hybridMultilevel"/>
    <w:tmpl w:val="89D4FCE6"/>
    <w:lvl w:ilvl="0" w:tplc="F4FC0964">
      <w:start w:val="4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514EFF"/>
    <w:multiLevelType w:val="hybridMultilevel"/>
    <w:tmpl w:val="51767856"/>
    <w:lvl w:ilvl="0" w:tplc="A056A2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A077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2EC1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DC3E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C2CC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900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C2DB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967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A636D99"/>
    <w:multiLevelType w:val="hybridMultilevel"/>
    <w:tmpl w:val="6DE8EDB6"/>
    <w:lvl w:ilvl="0" w:tplc="2146CAC4">
      <w:start w:val="2"/>
      <w:numFmt w:val="decimal"/>
      <w:lvlText w:val="2.%1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D7671C1"/>
    <w:multiLevelType w:val="hybridMultilevel"/>
    <w:tmpl w:val="8D382794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4DC25507"/>
    <w:multiLevelType w:val="hybridMultilevel"/>
    <w:tmpl w:val="8F6474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3E1E53"/>
    <w:multiLevelType w:val="hybridMultilevel"/>
    <w:tmpl w:val="DE96C43E"/>
    <w:lvl w:ilvl="0" w:tplc="035AFA54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6D6395"/>
    <w:multiLevelType w:val="hybridMultilevel"/>
    <w:tmpl w:val="32C0543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5A77D9"/>
    <w:multiLevelType w:val="multilevel"/>
    <w:tmpl w:val="1898D4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5ADD20DD"/>
    <w:multiLevelType w:val="hybridMultilevel"/>
    <w:tmpl w:val="CECE3ACE"/>
    <w:lvl w:ilvl="0" w:tplc="7430E3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BA5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7834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867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76AB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184F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C657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5817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AED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62B50660"/>
    <w:multiLevelType w:val="hybridMultilevel"/>
    <w:tmpl w:val="7D5A732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4A2F"/>
    <w:multiLevelType w:val="hybridMultilevel"/>
    <w:tmpl w:val="BFB632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6759AF"/>
    <w:multiLevelType w:val="hybridMultilevel"/>
    <w:tmpl w:val="96DAC00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EF33C8B"/>
    <w:multiLevelType w:val="hybridMultilevel"/>
    <w:tmpl w:val="56A68290"/>
    <w:lvl w:ilvl="0" w:tplc="6A4A1CE8">
      <w:start w:val="1"/>
      <w:numFmt w:val="decimal"/>
      <w:lvlText w:val="%1.b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D03FD7"/>
    <w:multiLevelType w:val="hybridMultilevel"/>
    <w:tmpl w:val="4D6695C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A94BA3"/>
    <w:multiLevelType w:val="hybridMultilevel"/>
    <w:tmpl w:val="0B201450"/>
    <w:lvl w:ilvl="0" w:tplc="A2DC83F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A2AC1EDA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054373"/>
    <w:multiLevelType w:val="hybridMultilevel"/>
    <w:tmpl w:val="D09EB6E6"/>
    <w:lvl w:ilvl="0" w:tplc="1B5637A6">
      <w:start w:val="1"/>
      <w:numFmt w:val="decimal"/>
      <w:lvlText w:val="%1.a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0A6401"/>
    <w:multiLevelType w:val="hybridMultilevel"/>
    <w:tmpl w:val="AF2825C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9951B9"/>
    <w:multiLevelType w:val="hybridMultilevel"/>
    <w:tmpl w:val="0A9664A8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846DFE"/>
    <w:multiLevelType w:val="hybridMultilevel"/>
    <w:tmpl w:val="E5B02F2C"/>
    <w:lvl w:ilvl="0" w:tplc="D3D419D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75728CC"/>
    <w:multiLevelType w:val="hybridMultilevel"/>
    <w:tmpl w:val="6ACECB9A"/>
    <w:lvl w:ilvl="0" w:tplc="4614F0D2">
      <w:start w:val="1"/>
      <w:numFmt w:val="lowerLetter"/>
      <w:lvlText w:val="%1)"/>
      <w:lvlJc w:val="left"/>
      <w:pPr>
        <w:ind w:left="30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25" w:hanging="360"/>
      </w:pPr>
    </w:lvl>
    <w:lvl w:ilvl="2" w:tplc="0416001B" w:tentative="1">
      <w:start w:val="1"/>
      <w:numFmt w:val="lowerRoman"/>
      <w:lvlText w:val="%3."/>
      <w:lvlJc w:val="right"/>
      <w:pPr>
        <w:ind w:left="1745" w:hanging="180"/>
      </w:pPr>
    </w:lvl>
    <w:lvl w:ilvl="3" w:tplc="0416000F" w:tentative="1">
      <w:start w:val="1"/>
      <w:numFmt w:val="decimal"/>
      <w:lvlText w:val="%4."/>
      <w:lvlJc w:val="left"/>
      <w:pPr>
        <w:ind w:left="2465" w:hanging="360"/>
      </w:pPr>
    </w:lvl>
    <w:lvl w:ilvl="4" w:tplc="04160019" w:tentative="1">
      <w:start w:val="1"/>
      <w:numFmt w:val="lowerLetter"/>
      <w:lvlText w:val="%5."/>
      <w:lvlJc w:val="left"/>
      <w:pPr>
        <w:ind w:left="3185" w:hanging="360"/>
      </w:pPr>
    </w:lvl>
    <w:lvl w:ilvl="5" w:tplc="0416001B" w:tentative="1">
      <w:start w:val="1"/>
      <w:numFmt w:val="lowerRoman"/>
      <w:lvlText w:val="%6."/>
      <w:lvlJc w:val="right"/>
      <w:pPr>
        <w:ind w:left="3905" w:hanging="180"/>
      </w:pPr>
    </w:lvl>
    <w:lvl w:ilvl="6" w:tplc="0416000F" w:tentative="1">
      <w:start w:val="1"/>
      <w:numFmt w:val="decimal"/>
      <w:lvlText w:val="%7."/>
      <w:lvlJc w:val="left"/>
      <w:pPr>
        <w:ind w:left="4625" w:hanging="360"/>
      </w:pPr>
    </w:lvl>
    <w:lvl w:ilvl="7" w:tplc="04160019" w:tentative="1">
      <w:start w:val="1"/>
      <w:numFmt w:val="lowerLetter"/>
      <w:lvlText w:val="%8."/>
      <w:lvlJc w:val="left"/>
      <w:pPr>
        <w:ind w:left="5345" w:hanging="360"/>
      </w:pPr>
    </w:lvl>
    <w:lvl w:ilvl="8" w:tplc="0416001B" w:tentative="1">
      <w:start w:val="1"/>
      <w:numFmt w:val="lowerRoman"/>
      <w:lvlText w:val="%9."/>
      <w:lvlJc w:val="right"/>
      <w:pPr>
        <w:ind w:left="6065" w:hanging="180"/>
      </w:pPr>
    </w:lvl>
  </w:abstractNum>
  <w:num w:numId="1">
    <w:abstractNumId w:val="23"/>
  </w:num>
  <w:num w:numId="2">
    <w:abstractNumId w:val="29"/>
  </w:num>
  <w:num w:numId="3">
    <w:abstractNumId w:val="36"/>
  </w:num>
  <w:num w:numId="4">
    <w:abstractNumId w:val="9"/>
  </w:num>
  <w:num w:numId="5">
    <w:abstractNumId w:val="25"/>
  </w:num>
  <w:num w:numId="6">
    <w:abstractNumId w:val="18"/>
  </w:num>
  <w:num w:numId="7">
    <w:abstractNumId w:val="28"/>
  </w:num>
  <w:num w:numId="8">
    <w:abstractNumId w:val="35"/>
  </w:num>
  <w:num w:numId="9">
    <w:abstractNumId w:val="5"/>
  </w:num>
  <w:num w:numId="10">
    <w:abstractNumId w:val="2"/>
  </w:num>
  <w:num w:numId="11">
    <w:abstractNumId w:val="7"/>
  </w:num>
  <w:num w:numId="12">
    <w:abstractNumId w:val="32"/>
  </w:num>
  <w:num w:numId="13">
    <w:abstractNumId w:val="12"/>
  </w:num>
  <w:num w:numId="14">
    <w:abstractNumId w:val="11"/>
  </w:num>
  <w:num w:numId="15">
    <w:abstractNumId w:val="14"/>
  </w:num>
  <w:num w:numId="16">
    <w:abstractNumId w:val="10"/>
  </w:num>
  <w:num w:numId="17">
    <w:abstractNumId w:val="30"/>
  </w:num>
  <w:num w:numId="18">
    <w:abstractNumId w:val="37"/>
  </w:num>
  <w:num w:numId="19">
    <w:abstractNumId w:val="21"/>
  </w:num>
  <w:num w:numId="20">
    <w:abstractNumId w:val="0"/>
  </w:num>
  <w:num w:numId="21">
    <w:abstractNumId w:val="24"/>
  </w:num>
  <w:num w:numId="22">
    <w:abstractNumId w:val="8"/>
  </w:num>
  <w:num w:numId="23">
    <w:abstractNumId w:val="22"/>
  </w:num>
  <w:num w:numId="24">
    <w:abstractNumId w:val="33"/>
  </w:num>
  <w:num w:numId="25">
    <w:abstractNumId w:val="19"/>
  </w:num>
  <w:num w:numId="26">
    <w:abstractNumId w:val="26"/>
  </w:num>
  <w:num w:numId="27">
    <w:abstractNumId w:val="34"/>
  </w:num>
  <w:num w:numId="28">
    <w:abstractNumId w:val="31"/>
  </w:num>
  <w:num w:numId="29">
    <w:abstractNumId w:val="6"/>
  </w:num>
  <w:num w:numId="30">
    <w:abstractNumId w:val="16"/>
  </w:num>
  <w:num w:numId="31">
    <w:abstractNumId w:val="13"/>
  </w:num>
  <w:num w:numId="32">
    <w:abstractNumId w:val="3"/>
  </w:num>
  <w:num w:numId="33">
    <w:abstractNumId w:val="17"/>
  </w:num>
  <w:num w:numId="34">
    <w:abstractNumId w:val="20"/>
  </w:num>
  <w:num w:numId="35">
    <w:abstractNumId w:val="27"/>
  </w:num>
  <w:num w:numId="36">
    <w:abstractNumId w:val="4"/>
  </w:num>
  <w:num w:numId="37">
    <w:abstractNumId w:val="1"/>
  </w:num>
  <w:num w:numId="38">
    <w:abstractNumId w:val="38"/>
  </w:num>
  <w:num w:numId="39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duardo carvalho">
    <w15:presenceInfo w15:providerId="Windows Live" w15:userId="907f63c8c4b78eab"/>
  </w15:person>
  <w15:person w15:author="eduardo">
    <w15:presenceInfo w15:providerId="None" w15:userId="eduard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72B"/>
    <w:rsid w:val="00006C4E"/>
    <w:rsid w:val="00007F75"/>
    <w:rsid w:val="0001296C"/>
    <w:rsid w:val="00015C16"/>
    <w:rsid w:val="00017537"/>
    <w:rsid w:val="000177C8"/>
    <w:rsid w:val="00022D4A"/>
    <w:rsid w:val="00033C28"/>
    <w:rsid w:val="00035698"/>
    <w:rsid w:val="000443E3"/>
    <w:rsid w:val="00046241"/>
    <w:rsid w:val="0004697E"/>
    <w:rsid w:val="00050CE4"/>
    <w:rsid w:val="0005298E"/>
    <w:rsid w:val="00056BDC"/>
    <w:rsid w:val="0007282F"/>
    <w:rsid w:val="00072976"/>
    <w:rsid w:val="00072FBD"/>
    <w:rsid w:val="00076694"/>
    <w:rsid w:val="00081FAF"/>
    <w:rsid w:val="00083B5B"/>
    <w:rsid w:val="00085EAE"/>
    <w:rsid w:val="00086F60"/>
    <w:rsid w:val="00087086"/>
    <w:rsid w:val="00092003"/>
    <w:rsid w:val="000922CB"/>
    <w:rsid w:val="00096577"/>
    <w:rsid w:val="000A1AD6"/>
    <w:rsid w:val="000A5D97"/>
    <w:rsid w:val="000B28C0"/>
    <w:rsid w:val="000B5898"/>
    <w:rsid w:val="000C0FEC"/>
    <w:rsid w:val="000C236D"/>
    <w:rsid w:val="000C3A80"/>
    <w:rsid w:val="000C5992"/>
    <w:rsid w:val="000D12B7"/>
    <w:rsid w:val="000D2E21"/>
    <w:rsid w:val="000D61F3"/>
    <w:rsid w:val="000E25AC"/>
    <w:rsid w:val="000E2A11"/>
    <w:rsid w:val="000E51F9"/>
    <w:rsid w:val="000F5AD1"/>
    <w:rsid w:val="001010CD"/>
    <w:rsid w:val="00101A00"/>
    <w:rsid w:val="00101D0C"/>
    <w:rsid w:val="0011055C"/>
    <w:rsid w:val="00113308"/>
    <w:rsid w:val="00117FD2"/>
    <w:rsid w:val="00120CBA"/>
    <w:rsid w:val="00121831"/>
    <w:rsid w:val="00121FF1"/>
    <w:rsid w:val="00122FE5"/>
    <w:rsid w:val="00126D9C"/>
    <w:rsid w:val="00127914"/>
    <w:rsid w:val="0013310F"/>
    <w:rsid w:val="001378CE"/>
    <w:rsid w:val="00141479"/>
    <w:rsid w:val="001446E9"/>
    <w:rsid w:val="00144BF8"/>
    <w:rsid w:val="00146611"/>
    <w:rsid w:val="001467BA"/>
    <w:rsid w:val="001505CF"/>
    <w:rsid w:val="00151C28"/>
    <w:rsid w:val="00153ABD"/>
    <w:rsid w:val="001621A2"/>
    <w:rsid w:val="00162C92"/>
    <w:rsid w:val="001630A1"/>
    <w:rsid w:val="0016702C"/>
    <w:rsid w:val="00170312"/>
    <w:rsid w:val="00170F49"/>
    <w:rsid w:val="00172258"/>
    <w:rsid w:val="00175A19"/>
    <w:rsid w:val="00180F56"/>
    <w:rsid w:val="00185036"/>
    <w:rsid w:val="001918E6"/>
    <w:rsid w:val="001977D1"/>
    <w:rsid w:val="001A01DF"/>
    <w:rsid w:val="001A2385"/>
    <w:rsid w:val="001A2B9A"/>
    <w:rsid w:val="001A3605"/>
    <w:rsid w:val="001A470B"/>
    <w:rsid w:val="001A6A7C"/>
    <w:rsid w:val="001A6D46"/>
    <w:rsid w:val="001A6DED"/>
    <w:rsid w:val="001A742C"/>
    <w:rsid w:val="001B2CCA"/>
    <w:rsid w:val="001B6531"/>
    <w:rsid w:val="001B7B91"/>
    <w:rsid w:val="001C3023"/>
    <w:rsid w:val="001C3A53"/>
    <w:rsid w:val="001C63A6"/>
    <w:rsid w:val="001D3180"/>
    <w:rsid w:val="001D37AD"/>
    <w:rsid w:val="001D4ADD"/>
    <w:rsid w:val="001D7718"/>
    <w:rsid w:val="001D7890"/>
    <w:rsid w:val="001D7FB5"/>
    <w:rsid w:val="001E35E7"/>
    <w:rsid w:val="001F09A6"/>
    <w:rsid w:val="001F0B8E"/>
    <w:rsid w:val="001F0D45"/>
    <w:rsid w:val="001F1DB5"/>
    <w:rsid w:val="001F4420"/>
    <w:rsid w:val="001F6D9C"/>
    <w:rsid w:val="001F7B1A"/>
    <w:rsid w:val="00201BAA"/>
    <w:rsid w:val="00204AA7"/>
    <w:rsid w:val="00215930"/>
    <w:rsid w:val="00215E3D"/>
    <w:rsid w:val="00220E4F"/>
    <w:rsid w:val="002240EF"/>
    <w:rsid w:val="00232154"/>
    <w:rsid w:val="00243F69"/>
    <w:rsid w:val="002464B9"/>
    <w:rsid w:val="00246848"/>
    <w:rsid w:val="00250203"/>
    <w:rsid w:val="002511BA"/>
    <w:rsid w:val="00255E2D"/>
    <w:rsid w:val="00256619"/>
    <w:rsid w:val="002610AD"/>
    <w:rsid w:val="00261614"/>
    <w:rsid w:val="0026396F"/>
    <w:rsid w:val="00266151"/>
    <w:rsid w:val="00266274"/>
    <w:rsid w:val="00277E6F"/>
    <w:rsid w:val="0028025E"/>
    <w:rsid w:val="00283BB6"/>
    <w:rsid w:val="00292490"/>
    <w:rsid w:val="00292ED4"/>
    <w:rsid w:val="002A0005"/>
    <w:rsid w:val="002A1656"/>
    <w:rsid w:val="002A472B"/>
    <w:rsid w:val="002B35E2"/>
    <w:rsid w:val="002C0AF7"/>
    <w:rsid w:val="002C2346"/>
    <w:rsid w:val="002C2A1A"/>
    <w:rsid w:val="002C33FF"/>
    <w:rsid w:val="002C4FF7"/>
    <w:rsid w:val="002C553A"/>
    <w:rsid w:val="002C67F0"/>
    <w:rsid w:val="002D32AE"/>
    <w:rsid w:val="002D3E62"/>
    <w:rsid w:val="002D53A7"/>
    <w:rsid w:val="002E3CDE"/>
    <w:rsid w:val="002E6357"/>
    <w:rsid w:val="002F0CC1"/>
    <w:rsid w:val="002F2BA0"/>
    <w:rsid w:val="002F4199"/>
    <w:rsid w:val="003014BD"/>
    <w:rsid w:val="0030330F"/>
    <w:rsid w:val="00303EA6"/>
    <w:rsid w:val="00312D5C"/>
    <w:rsid w:val="00312F18"/>
    <w:rsid w:val="00317913"/>
    <w:rsid w:val="0032368B"/>
    <w:rsid w:val="003256B7"/>
    <w:rsid w:val="00325775"/>
    <w:rsid w:val="00325AE3"/>
    <w:rsid w:val="00325B92"/>
    <w:rsid w:val="00327AA5"/>
    <w:rsid w:val="00330D9A"/>
    <w:rsid w:val="003327F4"/>
    <w:rsid w:val="00336486"/>
    <w:rsid w:val="00344CC3"/>
    <w:rsid w:val="00344EF0"/>
    <w:rsid w:val="00353D84"/>
    <w:rsid w:val="00360637"/>
    <w:rsid w:val="00360C27"/>
    <w:rsid w:val="00361544"/>
    <w:rsid w:val="003668D2"/>
    <w:rsid w:val="00370F1B"/>
    <w:rsid w:val="0037360B"/>
    <w:rsid w:val="003752E4"/>
    <w:rsid w:val="00375CB1"/>
    <w:rsid w:val="00377281"/>
    <w:rsid w:val="003779B0"/>
    <w:rsid w:val="003823FD"/>
    <w:rsid w:val="00382D84"/>
    <w:rsid w:val="00390A21"/>
    <w:rsid w:val="00391CBF"/>
    <w:rsid w:val="003978F6"/>
    <w:rsid w:val="003A0CFE"/>
    <w:rsid w:val="003A172A"/>
    <w:rsid w:val="003A35DD"/>
    <w:rsid w:val="003A5E37"/>
    <w:rsid w:val="003A5EE4"/>
    <w:rsid w:val="003B2B46"/>
    <w:rsid w:val="003B4DE3"/>
    <w:rsid w:val="003B5366"/>
    <w:rsid w:val="003C3891"/>
    <w:rsid w:val="003C4EDB"/>
    <w:rsid w:val="003C56C9"/>
    <w:rsid w:val="003C5ACD"/>
    <w:rsid w:val="003C6F6F"/>
    <w:rsid w:val="003C7DD6"/>
    <w:rsid w:val="003D0DC7"/>
    <w:rsid w:val="003D2E89"/>
    <w:rsid w:val="003D4BB2"/>
    <w:rsid w:val="003E1998"/>
    <w:rsid w:val="003E20CF"/>
    <w:rsid w:val="003E71C7"/>
    <w:rsid w:val="003E7F17"/>
    <w:rsid w:val="003F2AF5"/>
    <w:rsid w:val="003F618C"/>
    <w:rsid w:val="00404206"/>
    <w:rsid w:val="004152F4"/>
    <w:rsid w:val="00416E99"/>
    <w:rsid w:val="00420BD9"/>
    <w:rsid w:val="0042158B"/>
    <w:rsid w:val="00423E1A"/>
    <w:rsid w:val="00426A54"/>
    <w:rsid w:val="00431A4F"/>
    <w:rsid w:val="0043446E"/>
    <w:rsid w:val="004369DC"/>
    <w:rsid w:val="0043714F"/>
    <w:rsid w:val="00441012"/>
    <w:rsid w:val="00442DE1"/>
    <w:rsid w:val="004434D5"/>
    <w:rsid w:val="004463F8"/>
    <w:rsid w:val="00453169"/>
    <w:rsid w:val="004536CC"/>
    <w:rsid w:val="00455C65"/>
    <w:rsid w:val="0045616B"/>
    <w:rsid w:val="00456287"/>
    <w:rsid w:val="0045674A"/>
    <w:rsid w:val="00456F38"/>
    <w:rsid w:val="00464B7A"/>
    <w:rsid w:val="004654E3"/>
    <w:rsid w:val="00465593"/>
    <w:rsid w:val="004716A8"/>
    <w:rsid w:val="00472B41"/>
    <w:rsid w:val="00477F4D"/>
    <w:rsid w:val="00481023"/>
    <w:rsid w:val="004853DA"/>
    <w:rsid w:val="004900F7"/>
    <w:rsid w:val="00490BEE"/>
    <w:rsid w:val="004921C9"/>
    <w:rsid w:val="00495FE5"/>
    <w:rsid w:val="004A18C2"/>
    <w:rsid w:val="004A6DCB"/>
    <w:rsid w:val="004B1FBF"/>
    <w:rsid w:val="004C3232"/>
    <w:rsid w:val="004C4575"/>
    <w:rsid w:val="004C59A5"/>
    <w:rsid w:val="004C5B79"/>
    <w:rsid w:val="004D3B34"/>
    <w:rsid w:val="004D5461"/>
    <w:rsid w:val="004E09C7"/>
    <w:rsid w:val="004E2310"/>
    <w:rsid w:val="004F122A"/>
    <w:rsid w:val="004F65D4"/>
    <w:rsid w:val="005034D9"/>
    <w:rsid w:val="0050611D"/>
    <w:rsid w:val="00507BE7"/>
    <w:rsid w:val="00512E94"/>
    <w:rsid w:val="00513899"/>
    <w:rsid w:val="005209C4"/>
    <w:rsid w:val="00531603"/>
    <w:rsid w:val="00534EEF"/>
    <w:rsid w:val="00534FA6"/>
    <w:rsid w:val="0053587C"/>
    <w:rsid w:val="00540120"/>
    <w:rsid w:val="005408AB"/>
    <w:rsid w:val="00542D89"/>
    <w:rsid w:val="00544C5F"/>
    <w:rsid w:val="00550253"/>
    <w:rsid w:val="005510B3"/>
    <w:rsid w:val="00552204"/>
    <w:rsid w:val="005539BE"/>
    <w:rsid w:val="00555AAB"/>
    <w:rsid w:val="0055708D"/>
    <w:rsid w:val="00557169"/>
    <w:rsid w:val="005602DB"/>
    <w:rsid w:val="005610ED"/>
    <w:rsid w:val="005647B9"/>
    <w:rsid w:val="005659F3"/>
    <w:rsid w:val="00567824"/>
    <w:rsid w:val="005713A8"/>
    <w:rsid w:val="00580605"/>
    <w:rsid w:val="00581335"/>
    <w:rsid w:val="005825BC"/>
    <w:rsid w:val="00585353"/>
    <w:rsid w:val="005873A7"/>
    <w:rsid w:val="00591F9E"/>
    <w:rsid w:val="005932B1"/>
    <w:rsid w:val="00593D8B"/>
    <w:rsid w:val="0059459A"/>
    <w:rsid w:val="005959BC"/>
    <w:rsid w:val="00595C13"/>
    <w:rsid w:val="005A001E"/>
    <w:rsid w:val="005A550B"/>
    <w:rsid w:val="005A5701"/>
    <w:rsid w:val="005B112B"/>
    <w:rsid w:val="005B3C07"/>
    <w:rsid w:val="005C0A50"/>
    <w:rsid w:val="005C2471"/>
    <w:rsid w:val="005C53F5"/>
    <w:rsid w:val="005C5422"/>
    <w:rsid w:val="005D5D4F"/>
    <w:rsid w:val="005E6C79"/>
    <w:rsid w:val="005F17F7"/>
    <w:rsid w:val="005F4EF8"/>
    <w:rsid w:val="005F586A"/>
    <w:rsid w:val="005F6666"/>
    <w:rsid w:val="00600A15"/>
    <w:rsid w:val="006042F2"/>
    <w:rsid w:val="00620DA9"/>
    <w:rsid w:val="00624386"/>
    <w:rsid w:val="006243BF"/>
    <w:rsid w:val="006276E2"/>
    <w:rsid w:val="0063182B"/>
    <w:rsid w:val="006342C5"/>
    <w:rsid w:val="006364E4"/>
    <w:rsid w:val="00636DFD"/>
    <w:rsid w:val="00637627"/>
    <w:rsid w:val="00640782"/>
    <w:rsid w:val="00643F76"/>
    <w:rsid w:val="00644CDB"/>
    <w:rsid w:val="00644EFE"/>
    <w:rsid w:val="006461F7"/>
    <w:rsid w:val="00650511"/>
    <w:rsid w:val="00652C85"/>
    <w:rsid w:val="00655091"/>
    <w:rsid w:val="00657A51"/>
    <w:rsid w:val="0066152D"/>
    <w:rsid w:val="00662A32"/>
    <w:rsid w:val="00664DAF"/>
    <w:rsid w:val="00667D4C"/>
    <w:rsid w:val="00667D59"/>
    <w:rsid w:val="00670751"/>
    <w:rsid w:val="00671C96"/>
    <w:rsid w:val="00672BF7"/>
    <w:rsid w:val="00674711"/>
    <w:rsid w:val="00675BA6"/>
    <w:rsid w:val="00681FDE"/>
    <w:rsid w:val="0068499E"/>
    <w:rsid w:val="006850EE"/>
    <w:rsid w:val="00686EA1"/>
    <w:rsid w:val="00687167"/>
    <w:rsid w:val="00695F50"/>
    <w:rsid w:val="006A150C"/>
    <w:rsid w:val="006A4A47"/>
    <w:rsid w:val="006A4ECD"/>
    <w:rsid w:val="006A5A5F"/>
    <w:rsid w:val="006A645F"/>
    <w:rsid w:val="006A655C"/>
    <w:rsid w:val="006B0A21"/>
    <w:rsid w:val="006B0DF6"/>
    <w:rsid w:val="006B656B"/>
    <w:rsid w:val="006C37D1"/>
    <w:rsid w:val="006D12D1"/>
    <w:rsid w:val="006D5014"/>
    <w:rsid w:val="006E1736"/>
    <w:rsid w:val="006E5FA3"/>
    <w:rsid w:val="006E67E4"/>
    <w:rsid w:val="006F0D9E"/>
    <w:rsid w:val="006F52F9"/>
    <w:rsid w:val="006F7054"/>
    <w:rsid w:val="00700ACE"/>
    <w:rsid w:val="00712A35"/>
    <w:rsid w:val="00714C15"/>
    <w:rsid w:val="00722F5B"/>
    <w:rsid w:val="00723FC6"/>
    <w:rsid w:val="007307CB"/>
    <w:rsid w:val="00733891"/>
    <w:rsid w:val="00734553"/>
    <w:rsid w:val="0074072D"/>
    <w:rsid w:val="007415CC"/>
    <w:rsid w:val="00746799"/>
    <w:rsid w:val="00747262"/>
    <w:rsid w:val="00753AAE"/>
    <w:rsid w:val="00754B31"/>
    <w:rsid w:val="00755CBA"/>
    <w:rsid w:val="00773B9B"/>
    <w:rsid w:val="007759E6"/>
    <w:rsid w:val="00784D2C"/>
    <w:rsid w:val="00785718"/>
    <w:rsid w:val="00786AAC"/>
    <w:rsid w:val="00787D38"/>
    <w:rsid w:val="00790718"/>
    <w:rsid w:val="0079362C"/>
    <w:rsid w:val="007942D7"/>
    <w:rsid w:val="00796617"/>
    <w:rsid w:val="00796FD7"/>
    <w:rsid w:val="007A07CA"/>
    <w:rsid w:val="007A3192"/>
    <w:rsid w:val="007A4FF1"/>
    <w:rsid w:val="007B1692"/>
    <w:rsid w:val="007B55AA"/>
    <w:rsid w:val="007B690E"/>
    <w:rsid w:val="007B71EE"/>
    <w:rsid w:val="007C422D"/>
    <w:rsid w:val="007C48CA"/>
    <w:rsid w:val="007C537A"/>
    <w:rsid w:val="007D31DB"/>
    <w:rsid w:val="007E13FA"/>
    <w:rsid w:val="007E38D0"/>
    <w:rsid w:val="007E3E0E"/>
    <w:rsid w:val="007E7A6A"/>
    <w:rsid w:val="007E7D50"/>
    <w:rsid w:val="0080193D"/>
    <w:rsid w:val="00810CDA"/>
    <w:rsid w:val="00820F2A"/>
    <w:rsid w:val="008249FC"/>
    <w:rsid w:val="00835DC7"/>
    <w:rsid w:val="00843105"/>
    <w:rsid w:val="00847F65"/>
    <w:rsid w:val="0085019C"/>
    <w:rsid w:val="008521CA"/>
    <w:rsid w:val="00852E45"/>
    <w:rsid w:val="00865A31"/>
    <w:rsid w:val="0088583D"/>
    <w:rsid w:val="00887373"/>
    <w:rsid w:val="00890A85"/>
    <w:rsid w:val="008A0026"/>
    <w:rsid w:val="008A0FBD"/>
    <w:rsid w:val="008A1DC1"/>
    <w:rsid w:val="008A1FAA"/>
    <w:rsid w:val="008A5F9E"/>
    <w:rsid w:val="008B3038"/>
    <w:rsid w:val="008B328F"/>
    <w:rsid w:val="008B4402"/>
    <w:rsid w:val="008B7A57"/>
    <w:rsid w:val="008C1026"/>
    <w:rsid w:val="008C287D"/>
    <w:rsid w:val="008D231D"/>
    <w:rsid w:val="008D5242"/>
    <w:rsid w:val="008D5D52"/>
    <w:rsid w:val="008D6962"/>
    <w:rsid w:val="008E1413"/>
    <w:rsid w:val="008E1BB5"/>
    <w:rsid w:val="008E24CD"/>
    <w:rsid w:val="008E507F"/>
    <w:rsid w:val="008E539A"/>
    <w:rsid w:val="008E5D4B"/>
    <w:rsid w:val="008E684A"/>
    <w:rsid w:val="008F1713"/>
    <w:rsid w:val="008F2060"/>
    <w:rsid w:val="008F5241"/>
    <w:rsid w:val="008F7225"/>
    <w:rsid w:val="008F7FD0"/>
    <w:rsid w:val="0090131D"/>
    <w:rsid w:val="009118A0"/>
    <w:rsid w:val="00913B41"/>
    <w:rsid w:val="009161A6"/>
    <w:rsid w:val="00921CF3"/>
    <w:rsid w:val="00924998"/>
    <w:rsid w:val="00926254"/>
    <w:rsid w:val="0093148A"/>
    <w:rsid w:val="0093621B"/>
    <w:rsid w:val="00936A3A"/>
    <w:rsid w:val="00940578"/>
    <w:rsid w:val="00951B1E"/>
    <w:rsid w:val="009525C0"/>
    <w:rsid w:val="0095424A"/>
    <w:rsid w:val="00955DBE"/>
    <w:rsid w:val="00955F87"/>
    <w:rsid w:val="009575DA"/>
    <w:rsid w:val="0096096E"/>
    <w:rsid w:val="009675CC"/>
    <w:rsid w:val="009714E2"/>
    <w:rsid w:val="009737B5"/>
    <w:rsid w:val="00977871"/>
    <w:rsid w:val="00977EC2"/>
    <w:rsid w:val="00983BA1"/>
    <w:rsid w:val="009925E8"/>
    <w:rsid w:val="00992C00"/>
    <w:rsid w:val="00996365"/>
    <w:rsid w:val="009A3087"/>
    <w:rsid w:val="009A32A6"/>
    <w:rsid w:val="009A47DC"/>
    <w:rsid w:val="009A5421"/>
    <w:rsid w:val="009A5EDA"/>
    <w:rsid w:val="009A69EA"/>
    <w:rsid w:val="009A6BB9"/>
    <w:rsid w:val="009A70B9"/>
    <w:rsid w:val="009A7958"/>
    <w:rsid w:val="009B1841"/>
    <w:rsid w:val="009B1D49"/>
    <w:rsid w:val="009B3731"/>
    <w:rsid w:val="009B3A8D"/>
    <w:rsid w:val="009B621E"/>
    <w:rsid w:val="009C0E29"/>
    <w:rsid w:val="009C43D8"/>
    <w:rsid w:val="009C46AB"/>
    <w:rsid w:val="009C585B"/>
    <w:rsid w:val="009D558F"/>
    <w:rsid w:val="009D6A14"/>
    <w:rsid w:val="009E049E"/>
    <w:rsid w:val="009E1F89"/>
    <w:rsid w:val="009E793F"/>
    <w:rsid w:val="009F1C43"/>
    <w:rsid w:val="009F4DAA"/>
    <w:rsid w:val="00A01825"/>
    <w:rsid w:val="00A03711"/>
    <w:rsid w:val="00A0698D"/>
    <w:rsid w:val="00A11488"/>
    <w:rsid w:val="00A169D5"/>
    <w:rsid w:val="00A17BD4"/>
    <w:rsid w:val="00A22CD8"/>
    <w:rsid w:val="00A2448E"/>
    <w:rsid w:val="00A2655F"/>
    <w:rsid w:val="00A31365"/>
    <w:rsid w:val="00A326F5"/>
    <w:rsid w:val="00A32BDA"/>
    <w:rsid w:val="00A3624C"/>
    <w:rsid w:val="00A47144"/>
    <w:rsid w:val="00A501E1"/>
    <w:rsid w:val="00A52256"/>
    <w:rsid w:val="00A5469B"/>
    <w:rsid w:val="00A56879"/>
    <w:rsid w:val="00A618A1"/>
    <w:rsid w:val="00A63614"/>
    <w:rsid w:val="00A662B7"/>
    <w:rsid w:val="00A73320"/>
    <w:rsid w:val="00A831FC"/>
    <w:rsid w:val="00A92392"/>
    <w:rsid w:val="00A96688"/>
    <w:rsid w:val="00AA084D"/>
    <w:rsid w:val="00AA783E"/>
    <w:rsid w:val="00AB43A0"/>
    <w:rsid w:val="00AB69CC"/>
    <w:rsid w:val="00AC4477"/>
    <w:rsid w:val="00AD0878"/>
    <w:rsid w:val="00AD494B"/>
    <w:rsid w:val="00AD5697"/>
    <w:rsid w:val="00AD638A"/>
    <w:rsid w:val="00AD7655"/>
    <w:rsid w:val="00AE0269"/>
    <w:rsid w:val="00AE7C17"/>
    <w:rsid w:val="00AF17D1"/>
    <w:rsid w:val="00AF5000"/>
    <w:rsid w:val="00B04433"/>
    <w:rsid w:val="00B109AB"/>
    <w:rsid w:val="00B1438A"/>
    <w:rsid w:val="00B15313"/>
    <w:rsid w:val="00B2085C"/>
    <w:rsid w:val="00B22BA3"/>
    <w:rsid w:val="00B25D66"/>
    <w:rsid w:val="00B27FB5"/>
    <w:rsid w:val="00B31D7A"/>
    <w:rsid w:val="00B3649F"/>
    <w:rsid w:val="00B36CF2"/>
    <w:rsid w:val="00B42658"/>
    <w:rsid w:val="00B44D26"/>
    <w:rsid w:val="00B46DDA"/>
    <w:rsid w:val="00B5318B"/>
    <w:rsid w:val="00B556F5"/>
    <w:rsid w:val="00B57B3A"/>
    <w:rsid w:val="00B628B6"/>
    <w:rsid w:val="00B672A3"/>
    <w:rsid w:val="00B6784D"/>
    <w:rsid w:val="00B71525"/>
    <w:rsid w:val="00B71C3B"/>
    <w:rsid w:val="00B72239"/>
    <w:rsid w:val="00B74941"/>
    <w:rsid w:val="00B814E6"/>
    <w:rsid w:val="00B8606A"/>
    <w:rsid w:val="00B87C6A"/>
    <w:rsid w:val="00B91078"/>
    <w:rsid w:val="00B92B3B"/>
    <w:rsid w:val="00B930F9"/>
    <w:rsid w:val="00BA0112"/>
    <w:rsid w:val="00BA3A91"/>
    <w:rsid w:val="00BB0002"/>
    <w:rsid w:val="00BB28E0"/>
    <w:rsid w:val="00BB4050"/>
    <w:rsid w:val="00BB4190"/>
    <w:rsid w:val="00BC36E3"/>
    <w:rsid w:val="00BC3D2D"/>
    <w:rsid w:val="00BD16B6"/>
    <w:rsid w:val="00BD6F73"/>
    <w:rsid w:val="00BD7614"/>
    <w:rsid w:val="00BE1F7D"/>
    <w:rsid w:val="00BF00E1"/>
    <w:rsid w:val="00BF2505"/>
    <w:rsid w:val="00BF460A"/>
    <w:rsid w:val="00BF6558"/>
    <w:rsid w:val="00C000AC"/>
    <w:rsid w:val="00C039FB"/>
    <w:rsid w:val="00C03AEB"/>
    <w:rsid w:val="00C157C3"/>
    <w:rsid w:val="00C1672A"/>
    <w:rsid w:val="00C20A06"/>
    <w:rsid w:val="00C21116"/>
    <w:rsid w:val="00C212E1"/>
    <w:rsid w:val="00C2163A"/>
    <w:rsid w:val="00C26F5B"/>
    <w:rsid w:val="00C27795"/>
    <w:rsid w:val="00C32205"/>
    <w:rsid w:val="00C326DE"/>
    <w:rsid w:val="00C372C6"/>
    <w:rsid w:val="00C416CB"/>
    <w:rsid w:val="00C42D5A"/>
    <w:rsid w:val="00C448B0"/>
    <w:rsid w:val="00C4561F"/>
    <w:rsid w:val="00C50796"/>
    <w:rsid w:val="00C52A36"/>
    <w:rsid w:val="00C550AA"/>
    <w:rsid w:val="00C610B6"/>
    <w:rsid w:val="00C639E6"/>
    <w:rsid w:val="00C66A81"/>
    <w:rsid w:val="00C727F1"/>
    <w:rsid w:val="00C750E7"/>
    <w:rsid w:val="00C77ED7"/>
    <w:rsid w:val="00C806A2"/>
    <w:rsid w:val="00C82DDB"/>
    <w:rsid w:val="00C853C1"/>
    <w:rsid w:val="00C90C67"/>
    <w:rsid w:val="00C91A64"/>
    <w:rsid w:val="00C94E78"/>
    <w:rsid w:val="00C94F60"/>
    <w:rsid w:val="00C94FF5"/>
    <w:rsid w:val="00C95847"/>
    <w:rsid w:val="00C969F2"/>
    <w:rsid w:val="00CA341A"/>
    <w:rsid w:val="00CA3B45"/>
    <w:rsid w:val="00CA3E2F"/>
    <w:rsid w:val="00CA4922"/>
    <w:rsid w:val="00CA7938"/>
    <w:rsid w:val="00CB24C1"/>
    <w:rsid w:val="00CB3A9E"/>
    <w:rsid w:val="00CB4807"/>
    <w:rsid w:val="00CB6DDD"/>
    <w:rsid w:val="00CC22BE"/>
    <w:rsid w:val="00CC3CA8"/>
    <w:rsid w:val="00CC4AE0"/>
    <w:rsid w:val="00CC67B3"/>
    <w:rsid w:val="00CC75E6"/>
    <w:rsid w:val="00CD3850"/>
    <w:rsid w:val="00CD56BB"/>
    <w:rsid w:val="00CE00AC"/>
    <w:rsid w:val="00CE204D"/>
    <w:rsid w:val="00CE3542"/>
    <w:rsid w:val="00CE3CDD"/>
    <w:rsid w:val="00CE64E5"/>
    <w:rsid w:val="00CF49D5"/>
    <w:rsid w:val="00CF7563"/>
    <w:rsid w:val="00D032FC"/>
    <w:rsid w:val="00D1396B"/>
    <w:rsid w:val="00D17B78"/>
    <w:rsid w:val="00D212F7"/>
    <w:rsid w:val="00D23313"/>
    <w:rsid w:val="00D24895"/>
    <w:rsid w:val="00D252AB"/>
    <w:rsid w:val="00D27718"/>
    <w:rsid w:val="00D27782"/>
    <w:rsid w:val="00D329CD"/>
    <w:rsid w:val="00D40467"/>
    <w:rsid w:val="00D459A2"/>
    <w:rsid w:val="00D515A1"/>
    <w:rsid w:val="00D52DA4"/>
    <w:rsid w:val="00D52EC2"/>
    <w:rsid w:val="00D5341C"/>
    <w:rsid w:val="00D54B55"/>
    <w:rsid w:val="00D566D4"/>
    <w:rsid w:val="00D62EA2"/>
    <w:rsid w:val="00D66001"/>
    <w:rsid w:val="00D73B33"/>
    <w:rsid w:val="00D7406C"/>
    <w:rsid w:val="00D741EF"/>
    <w:rsid w:val="00D743E5"/>
    <w:rsid w:val="00D81303"/>
    <w:rsid w:val="00D81F40"/>
    <w:rsid w:val="00D8463E"/>
    <w:rsid w:val="00D84874"/>
    <w:rsid w:val="00D84FAF"/>
    <w:rsid w:val="00D9032A"/>
    <w:rsid w:val="00D92ADB"/>
    <w:rsid w:val="00D957BB"/>
    <w:rsid w:val="00D97A6F"/>
    <w:rsid w:val="00DA2399"/>
    <w:rsid w:val="00DA4B71"/>
    <w:rsid w:val="00DB20D0"/>
    <w:rsid w:val="00DB2E27"/>
    <w:rsid w:val="00DB485D"/>
    <w:rsid w:val="00DB6375"/>
    <w:rsid w:val="00DB6B80"/>
    <w:rsid w:val="00DC16F6"/>
    <w:rsid w:val="00DC4245"/>
    <w:rsid w:val="00DC70D0"/>
    <w:rsid w:val="00DD5ADA"/>
    <w:rsid w:val="00DD6D4B"/>
    <w:rsid w:val="00DD79DB"/>
    <w:rsid w:val="00DE1AA3"/>
    <w:rsid w:val="00DE1B92"/>
    <w:rsid w:val="00DE2ACC"/>
    <w:rsid w:val="00DE6C32"/>
    <w:rsid w:val="00DF41BB"/>
    <w:rsid w:val="00DF569F"/>
    <w:rsid w:val="00DF5772"/>
    <w:rsid w:val="00DF7FF0"/>
    <w:rsid w:val="00E00E0B"/>
    <w:rsid w:val="00E0195E"/>
    <w:rsid w:val="00E01BC2"/>
    <w:rsid w:val="00E03B52"/>
    <w:rsid w:val="00E03EB4"/>
    <w:rsid w:val="00E10285"/>
    <w:rsid w:val="00E13BB2"/>
    <w:rsid w:val="00E21273"/>
    <w:rsid w:val="00E4165E"/>
    <w:rsid w:val="00E427E3"/>
    <w:rsid w:val="00E47CF5"/>
    <w:rsid w:val="00E50935"/>
    <w:rsid w:val="00E52AEA"/>
    <w:rsid w:val="00E5775A"/>
    <w:rsid w:val="00E60438"/>
    <w:rsid w:val="00E7258D"/>
    <w:rsid w:val="00E73AEA"/>
    <w:rsid w:val="00E76EC3"/>
    <w:rsid w:val="00E8473F"/>
    <w:rsid w:val="00E93437"/>
    <w:rsid w:val="00EA026C"/>
    <w:rsid w:val="00EA0B2F"/>
    <w:rsid w:val="00EA1C9F"/>
    <w:rsid w:val="00EA3A35"/>
    <w:rsid w:val="00EB29F4"/>
    <w:rsid w:val="00EB7FAB"/>
    <w:rsid w:val="00EC335A"/>
    <w:rsid w:val="00EC5FDF"/>
    <w:rsid w:val="00ED21E7"/>
    <w:rsid w:val="00ED3C7A"/>
    <w:rsid w:val="00ED705A"/>
    <w:rsid w:val="00EE2527"/>
    <w:rsid w:val="00EE6174"/>
    <w:rsid w:val="00EE7274"/>
    <w:rsid w:val="00EF1C88"/>
    <w:rsid w:val="00EF23AA"/>
    <w:rsid w:val="00EF2D68"/>
    <w:rsid w:val="00EF41E6"/>
    <w:rsid w:val="00EF4637"/>
    <w:rsid w:val="00EF5746"/>
    <w:rsid w:val="00F124A4"/>
    <w:rsid w:val="00F13D0A"/>
    <w:rsid w:val="00F16BD9"/>
    <w:rsid w:val="00F22E28"/>
    <w:rsid w:val="00F23EE8"/>
    <w:rsid w:val="00F24178"/>
    <w:rsid w:val="00F26330"/>
    <w:rsid w:val="00F279D5"/>
    <w:rsid w:val="00F30FFC"/>
    <w:rsid w:val="00F31154"/>
    <w:rsid w:val="00F3250C"/>
    <w:rsid w:val="00F350BF"/>
    <w:rsid w:val="00F37464"/>
    <w:rsid w:val="00F432A5"/>
    <w:rsid w:val="00F4592A"/>
    <w:rsid w:val="00F45A82"/>
    <w:rsid w:val="00F5471C"/>
    <w:rsid w:val="00F556EA"/>
    <w:rsid w:val="00F654B1"/>
    <w:rsid w:val="00F70A58"/>
    <w:rsid w:val="00F7158F"/>
    <w:rsid w:val="00F72581"/>
    <w:rsid w:val="00F74F3D"/>
    <w:rsid w:val="00F803E5"/>
    <w:rsid w:val="00F8447B"/>
    <w:rsid w:val="00F909CF"/>
    <w:rsid w:val="00F90A2E"/>
    <w:rsid w:val="00F90E28"/>
    <w:rsid w:val="00F91120"/>
    <w:rsid w:val="00F93620"/>
    <w:rsid w:val="00F95197"/>
    <w:rsid w:val="00F96270"/>
    <w:rsid w:val="00FA1759"/>
    <w:rsid w:val="00FB0617"/>
    <w:rsid w:val="00FB0BB0"/>
    <w:rsid w:val="00FB134D"/>
    <w:rsid w:val="00FB4543"/>
    <w:rsid w:val="00FC5E69"/>
    <w:rsid w:val="00FC5F0B"/>
    <w:rsid w:val="00FC76DD"/>
    <w:rsid w:val="00FD2380"/>
    <w:rsid w:val="00FD2826"/>
    <w:rsid w:val="00FE1B23"/>
    <w:rsid w:val="00FE46DA"/>
    <w:rsid w:val="00FE4B5C"/>
    <w:rsid w:val="00FE549F"/>
    <w:rsid w:val="00FF1438"/>
    <w:rsid w:val="00FF5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72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47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472B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138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3899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138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3899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208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Nmerodepgina">
    <w:name w:val="page number"/>
    <w:basedOn w:val="Fontepargpadro"/>
    <w:rsid w:val="006042F2"/>
  </w:style>
  <w:style w:type="character" w:customStyle="1" w:styleId="a">
    <w:name w:val="a"/>
    <w:basedOn w:val="Fontepargpadro"/>
    <w:rsid w:val="004E2310"/>
  </w:style>
  <w:style w:type="character" w:styleId="Refdenotadefim">
    <w:name w:val="endnote reference"/>
    <w:basedOn w:val="Fontepargpadro"/>
    <w:semiHidden/>
    <w:rsid w:val="004E2310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D23313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23FC6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249F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249F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249FC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49F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49FC"/>
    <w:rPr>
      <w:rFonts w:ascii="Times New Roman" w:eastAsia="Times New Roman" w:hAnsi="Times New Roman"/>
      <w:b/>
      <w:bCs/>
    </w:rPr>
  </w:style>
  <w:style w:type="paragraph" w:styleId="PargrafodaLista">
    <w:name w:val="List Paragraph"/>
    <w:basedOn w:val="Normal"/>
    <w:uiPriority w:val="34"/>
    <w:qFormat/>
    <w:rsid w:val="00303EA6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5A00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72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47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472B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138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3899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138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3899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208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Nmerodepgina">
    <w:name w:val="page number"/>
    <w:basedOn w:val="Fontepargpadro"/>
    <w:rsid w:val="006042F2"/>
  </w:style>
  <w:style w:type="character" w:customStyle="1" w:styleId="a">
    <w:name w:val="a"/>
    <w:basedOn w:val="Fontepargpadro"/>
    <w:rsid w:val="004E2310"/>
  </w:style>
  <w:style w:type="character" w:styleId="Refdenotadefim">
    <w:name w:val="endnote reference"/>
    <w:basedOn w:val="Fontepargpadro"/>
    <w:semiHidden/>
    <w:rsid w:val="004E2310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D23313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23FC6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249F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249F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249FC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49F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49FC"/>
    <w:rPr>
      <w:rFonts w:ascii="Times New Roman" w:eastAsia="Times New Roman" w:hAnsi="Times New Roman"/>
      <w:b/>
      <w:bCs/>
    </w:rPr>
  </w:style>
  <w:style w:type="paragraph" w:styleId="PargrafodaLista">
    <w:name w:val="List Paragraph"/>
    <w:basedOn w:val="Normal"/>
    <w:uiPriority w:val="34"/>
    <w:qFormat/>
    <w:rsid w:val="00303EA6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5A0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16580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2969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098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3641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4589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17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613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404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930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3448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928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6925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9994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mfbovespa.com.br/" TargetMode="External"/><Relationship Id="rId18" Type="http://schemas.openxmlformats.org/officeDocument/2006/relationships/image" Target="media/image1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hyperlink" Target="http://www.anpad.org.br/evento.php?acao=trabalho&amp;cod_edicao_subsecao=280&amp;cod_evento_edicao=33&amp;cod_edicao_trabalho=7972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exame.abril.com.br/negocios/noticias/natura-e-a-6a-empresa-de-vendas-diretas-do-mundo-veja-lista" TargetMode="External"/><Relationship Id="rId20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www.correiobraziliense.com.br/app/noticia/economia/2013/05/26/internas_economia,367965/mercado-de-cosmeticos-brasileiro-e-o-segundo-no-ranking-global.shtml" TargetMode="External"/><Relationship Id="rId23" Type="http://schemas.openxmlformats.org/officeDocument/2006/relationships/footer" Target="footer1.xml"/><Relationship Id="rId28" Type="http://schemas.microsoft.com/office/2011/relationships/commentsExtended" Target="commentsExtended.xml"/><Relationship Id="rId10" Type="http://schemas.openxmlformats.org/officeDocument/2006/relationships/chart" Target="charts/chart2.xml"/><Relationship Id="rId19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yperlink" Target="http://www.bmfbovespa.com.br/" TargetMode="External"/><Relationship Id="rId22" Type="http://schemas.openxmlformats.org/officeDocument/2006/relationships/header" Target="header2.xml"/><Relationship Id="rId27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dwardeduardo@bol.com.br" TargetMode="External"/><Relationship Id="rId1" Type="http://schemas.openxmlformats.org/officeDocument/2006/relationships/hyperlink" Target="mailto:allybot1@gmail.com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issandra\Google%20Drive\FAP\8&#186;%20SEMESTRE\Semin&#225;rios%20Avan&#231;ados%20II\NATURA%20(1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issandra\Google%20Drive\FAP\8&#186;%20SEMESTRE\Semin&#225;rios%20Avan&#231;ados%20II\NATURA%20(1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duardocarvalho\Desktop\NATURA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duardocarvalho\Desktop\NATUR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Resultados!$I$4</c:f>
              <c:strCache>
                <c:ptCount val="1"/>
                <c:pt idx="0">
                  <c:v>Liquidez Corrente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5.3416666666666668E-2"/>
                  <c:y val="-4.33356891906244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5.0638888888888886E-2"/>
                  <c:y val="-8.12536174920910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5694444444444447E-2"/>
                  <c:y val="-5.4169078328060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5.6194444444444443E-2"/>
                  <c:y val="-4.3335262662448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Resultados!$J$3:$M$3</c:f>
              <c:numCache>
                <c:formatCode>General</c:formatCode>
                <c:ptCount val="4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</c:numCache>
            </c:numRef>
          </c:cat>
          <c:val>
            <c:numRef>
              <c:f>Resultados!$J$4:$M$4</c:f>
              <c:numCache>
                <c:formatCode>General</c:formatCode>
                <c:ptCount val="4"/>
                <c:pt idx="0">
                  <c:v>1.59</c:v>
                </c:pt>
                <c:pt idx="1">
                  <c:v>0.94</c:v>
                </c:pt>
                <c:pt idx="2">
                  <c:v>1.4</c:v>
                </c:pt>
                <c:pt idx="3">
                  <c:v>1.51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Resultados!$I$5</c:f>
              <c:strCache>
                <c:ptCount val="1"/>
                <c:pt idx="0">
                  <c:v>Liquidez Seca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6.7916666666666667E-2"/>
                  <c:y val="1.08338156656121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5083333333333336E-2"/>
                  <c:y val="2.16676313312242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5.0638888888888886E-2"/>
                  <c:y val="-4.33352626624485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5.3416666666666668E-2"/>
                  <c:y val="-4.33352626624485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Resultados!$J$3:$M$3</c:f>
              <c:numCache>
                <c:formatCode>General</c:formatCode>
                <c:ptCount val="4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</c:numCache>
            </c:numRef>
          </c:cat>
          <c:val>
            <c:numRef>
              <c:f>Resultados!$J$5:$M$5</c:f>
              <c:numCache>
                <c:formatCode>General</c:formatCode>
                <c:ptCount val="4"/>
                <c:pt idx="0">
                  <c:v>1.1000000000000001</c:v>
                </c:pt>
                <c:pt idx="1">
                  <c:v>0.89</c:v>
                </c:pt>
                <c:pt idx="2">
                  <c:v>1.1100000000000001</c:v>
                </c:pt>
                <c:pt idx="3">
                  <c:v>1.17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Resultados!$I$6</c:f>
              <c:strCache>
                <c:ptCount val="1"/>
                <c:pt idx="0">
                  <c:v>Liquidez Geral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8.1194444444444444E-2"/>
                  <c:y val="-5.416907832806073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5.0638888888888886E-2"/>
                  <c:y val="4.33352626624485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2305555555555555E-2"/>
                  <c:y val="5.95859861608668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7305555555555557E-2"/>
                  <c:y val="-5.416907832806073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Resultados!$J$3:$M$3</c:f>
              <c:numCache>
                <c:formatCode>General</c:formatCode>
                <c:ptCount val="4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</c:numCache>
            </c:numRef>
          </c:cat>
          <c:val>
            <c:numRef>
              <c:f>Resultados!$J$6:$M$6</c:f>
              <c:numCache>
                <c:formatCode>0.00</c:formatCode>
                <c:ptCount val="4"/>
                <c:pt idx="0">
                  <c:v>1.2937594718711198</c:v>
                </c:pt>
                <c:pt idx="1">
                  <c:v>0.71961921796216488</c:v>
                </c:pt>
                <c:pt idx="2">
                  <c:v>1.0115012918740947</c:v>
                </c:pt>
                <c:pt idx="3">
                  <c:v>0.85261229616672685</c:v>
                </c:pt>
              </c:numCache>
            </c:numRef>
          </c:val>
          <c:smooth val="0"/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1255296"/>
        <c:axId val="82679296"/>
      </c:lineChart>
      <c:catAx>
        <c:axId val="412552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2679296"/>
        <c:crosses val="autoZero"/>
        <c:auto val="1"/>
        <c:lblAlgn val="ctr"/>
        <c:lblOffset val="100"/>
        <c:noMultiLvlLbl val="0"/>
      </c:catAx>
      <c:valAx>
        <c:axId val="826792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12552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solidFill>
        <a:schemeClr val="tx1"/>
      </a:solidFill>
    </a:ln>
  </c:spPr>
  <c:txPr>
    <a:bodyPr/>
    <a:lstStyle/>
    <a:p>
      <a:pPr>
        <a:defRPr>
          <a:latin typeface="Arial" pitchFamily="34" charset="0"/>
          <a:cs typeface="Arial" pitchFamily="34" charset="0"/>
        </a:defRPr>
      </a:pPr>
      <a:endParaRPr lang="pt-B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Resultados!$I$10</c:f>
              <c:strCache>
                <c:ptCount val="1"/>
                <c:pt idx="0">
                  <c:v>Endividamento Geral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5.418066491688539E-2"/>
                  <c:y val="-4.33356707067398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5.1402887139107609E-2"/>
                  <c:y val="-3.79183386564026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5.418066491688539E-2"/>
                  <c:y val="-3.79183386564025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5.1402887139107609E-2"/>
                  <c:y val="-3.79183386564026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Resultados!$J$9:$M$9</c:f>
              <c:numCache>
                <c:formatCode>General</c:formatCode>
                <c:ptCount val="4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</c:numCache>
            </c:numRef>
          </c:cat>
          <c:val>
            <c:numRef>
              <c:f>Resultados!$J$10:$M$10</c:f>
              <c:numCache>
                <c:formatCode>0%</c:formatCode>
                <c:ptCount val="4"/>
                <c:pt idx="0">
                  <c:v>0.60969821572620386</c:v>
                </c:pt>
                <c:pt idx="1">
                  <c:v>0.6703820077553142</c:v>
                </c:pt>
                <c:pt idx="2">
                  <c:v>0.75965955273359542</c:v>
                </c:pt>
                <c:pt idx="3">
                  <c:v>0.81302977231803553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Resultados!$I$11</c:f>
              <c:strCache>
                <c:ptCount val="1"/>
                <c:pt idx="0">
                  <c:v>Cobertura de Juros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1.9625109361329832E-2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3013998250218722E-2"/>
                  <c:y val="-4.33352441787459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3013998250218722E-2"/>
                  <c:y val="-4.8752149701089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9.1251093613298334E-3"/>
                  <c:y val="-2.16676220893729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Resultados!$J$9:$M$9</c:f>
              <c:numCache>
                <c:formatCode>General</c:formatCode>
                <c:ptCount val="4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</c:numCache>
            </c:numRef>
          </c:cat>
          <c:val>
            <c:numRef>
              <c:f>Resultados!$J$11:$M$11</c:f>
              <c:numCache>
                <c:formatCode>0%</c:formatCode>
                <c:ptCount val="4"/>
                <c:pt idx="0">
                  <c:v>11.297760580411124</c:v>
                </c:pt>
                <c:pt idx="1">
                  <c:v>6.5741009208250434</c:v>
                </c:pt>
                <c:pt idx="2">
                  <c:v>5.8537647817489971</c:v>
                </c:pt>
                <c:pt idx="3">
                  <c:v>2.7101854262046579</c:v>
                </c:pt>
              </c:numCache>
            </c:numRef>
          </c:val>
          <c:smooth val="0"/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5857536"/>
        <c:axId val="35859072"/>
      </c:lineChart>
      <c:catAx>
        <c:axId val="358575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5859072"/>
        <c:crosses val="autoZero"/>
        <c:auto val="1"/>
        <c:lblAlgn val="ctr"/>
        <c:lblOffset val="100"/>
        <c:noMultiLvlLbl val="0"/>
      </c:catAx>
      <c:valAx>
        <c:axId val="3585907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58575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solidFill>
        <a:schemeClr val="tx1"/>
      </a:solidFill>
    </a:ln>
  </c:spPr>
  <c:txPr>
    <a:bodyPr/>
    <a:lstStyle/>
    <a:p>
      <a:pPr>
        <a:defRPr>
          <a:latin typeface="Arial" pitchFamily="34" charset="0"/>
          <a:cs typeface="Arial" pitchFamily="34" charset="0"/>
        </a:defRPr>
      </a:pPr>
      <a:endParaRPr lang="pt-B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565458083044914E-2"/>
          <c:y val="0.14583333333333334"/>
          <c:w val="0.56134070847892081"/>
          <c:h val="0.66568642461359007"/>
        </c:manualLayout>
      </c:layout>
      <c:lineChart>
        <c:grouping val="standard"/>
        <c:varyColors val="0"/>
        <c:ser>
          <c:idx val="0"/>
          <c:order val="0"/>
          <c:tx>
            <c:strRef>
              <c:f>[NATURA.xlsx]Resultados!$I$15</c:f>
              <c:strCache>
                <c:ptCount val="1"/>
                <c:pt idx="0">
                  <c:v>Margem Lucro Bruto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3.610127253948852E-2"/>
                  <c:y val="-3.78331048699884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8507821901323659E-2"/>
                  <c:y val="-2.70237070568608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101083032490974E-2"/>
                  <c:y val="-2.70237070568608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1287605294825514E-2"/>
                  <c:y val="-3.23886639676113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[NATURA.xlsx]Resultados!$J$14:$M$14</c:f>
              <c:numCache>
                <c:formatCode>General</c:formatCode>
                <c:ptCount val="4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</c:numCache>
            </c:numRef>
          </c:cat>
          <c:val>
            <c:numRef>
              <c:f>[NATURA.xlsx]Resultados!$J$15:$M$15</c:f>
              <c:numCache>
                <c:formatCode>0%</c:formatCode>
                <c:ptCount val="4"/>
                <c:pt idx="0">
                  <c:v>0.7</c:v>
                </c:pt>
                <c:pt idx="1">
                  <c:v>0.7</c:v>
                </c:pt>
                <c:pt idx="2">
                  <c:v>0.71</c:v>
                </c:pt>
                <c:pt idx="3">
                  <c:v>0.7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[NATURA.xlsx]Resultados!$I$16</c:f>
              <c:strCache>
                <c:ptCount val="1"/>
                <c:pt idx="0">
                  <c:v>Margem Lucro Operacional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3.610127253948852E-2"/>
                  <c:y val="-2.70237070568608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8507821901323659E-2"/>
                  <c:y val="-2.70237070568608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8880866425992781E-2"/>
                  <c:y val="-2.7016906287523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1287605294825514E-2"/>
                  <c:y val="-3.23886639676113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[NATURA.xlsx]Resultados!$J$14:$M$14</c:f>
              <c:numCache>
                <c:formatCode>General</c:formatCode>
                <c:ptCount val="4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</c:numCache>
            </c:numRef>
          </c:cat>
          <c:val>
            <c:numRef>
              <c:f>[NATURA.xlsx]Resultados!$J$16:$M$16</c:f>
              <c:numCache>
                <c:formatCode>0%</c:formatCode>
                <c:ptCount val="4"/>
                <c:pt idx="0">
                  <c:v>0.23</c:v>
                </c:pt>
                <c:pt idx="1">
                  <c:v>0.24</c:v>
                </c:pt>
                <c:pt idx="2">
                  <c:v>0.22</c:v>
                </c:pt>
                <c:pt idx="3">
                  <c:v>0.2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[NATURA.xlsx]Resultados!$I$17</c:f>
              <c:strCache>
                <c:ptCount val="1"/>
                <c:pt idx="0">
                  <c:v>Margem Lucro Líquido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3.8509148450306528E-2"/>
                  <c:y val="2.70237070568608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8509148450306528E-2"/>
                  <c:y val="3.2428193439382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8880866425992781E-2"/>
                  <c:y val="3.2428193439382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1287605294825514E-2"/>
                  <c:y val="3.23886639676112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[NATURA.xlsx]Resultados!$J$14:$M$14</c:f>
              <c:numCache>
                <c:formatCode>General</c:formatCode>
                <c:ptCount val="4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</c:numCache>
            </c:numRef>
          </c:cat>
          <c:val>
            <c:numRef>
              <c:f>[NATURA.xlsx]Resultados!$J$17:$M$17</c:f>
              <c:numCache>
                <c:formatCode>0%</c:formatCode>
                <c:ptCount val="4"/>
                <c:pt idx="0">
                  <c:v>0.14000000000000001</c:v>
                </c:pt>
                <c:pt idx="1">
                  <c:v>0.15</c:v>
                </c:pt>
                <c:pt idx="2">
                  <c:v>0.14000000000000001</c:v>
                </c:pt>
                <c:pt idx="3">
                  <c:v>0.12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5898496"/>
        <c:axId val="35900032"/>
      </c:lineChart>
      <c:catAx>
        <c:axId val="358984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5900032"/>
        <c:crosses val="autoZero"/>
        <c:auto val="1"/>
        <c:lblAlgn val="ctr"/>
        <c:lblOffset val="100"/>
        <c:noMultiLvlLbl val="0"/>
      </c:catAx>
      <c:valAx>
        <c:axId val="35900032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358984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23947233742068"/>
          <c:y val="0.35213108778069407"/>
          <c:w val="0.31315635234062145"/>
          <c:h val="0.50638597258675999"/>
        </c:manualLayout>
      </c:layout>
      <c:overlay val="0"/>
    </c:legend>
    <c:plotVisOnly val="1"/>
    <c:dispBlanksAs val="gap"/>
    <c:showDLblsOverMax val="0"/>
  </c:chart>
  <c:spPr>
    <a:ln>
      <a:solidFill>
        <a:schemeClr val="tx1"/>
      </a:solidFill>
    </a:ln>
  </c:spPr>
  <c:txPr>
    <a:bodyPr/>
    <a:lstStyle/>
    <a:p>
      <a:pPr>
        <a:defRPr sz="1000">
          <a:latin typeface="Arial" pitchFamily="34" charset="0"/>
          <a:cs typeface="Arial" pitchFamily="34" charset="0"/>
        </a:defRPr>
      </a:pPr>
      <a:endParaRPr lang="pt-B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51925813084866"/>
          <c:y val="0.14958733044191308"/>
          <c:w val="0.51458503266638234"/>
          <c:h val="0.6812300413862763"/>
        </c:manualLayout>
      </c:layout>
      <c:lineChart>
        <c:grouping val="standard"/>
        <c:varyColors val="0"/>
        <c:ser>
          <c:idx val="0"/>
          <c:order val="0"/>
          <c:tx>
            <c:strRef>
              <c:f>[NATURA.xlsx]Resultados!$I$22</c:f>
              <c:strCache>
                <c:ptCount val="1"/>
                <c:pt idx="0">
                  <c:v>Retorno sobre Ativo Total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5.3430479659987859E-2"/>
                  <c:y val="-3.22864279061890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6.0716454159077109E-2"/>
                  <c:y val="-3.22864279061891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3715846994535519E-2"/>
                  <c:y val="-4.30348827364321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4001214329083179E-2"/>
                  <c:y val="-3.76344086021505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[NATURA.xlsx]Resultados!$J$21:$M$21</c:f>
              <c:numCache>
                <c:formatCode>General</c:formatCode>
                <c:ptCount val="4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</c:numCache>
            </c:numRef>
          </c:cat>
          <c:val>
            <c:numRef>
              <c:f>[NATURA.xlsx]Resultados!$J$22:$M$22</c:f>
              <c:numCache>
                <c:formatCode>_-[$R$-416]\ * #,##0.00_-;\-[$R$-416]\ * #,##0.00_-;_-[$R$-416]\ * "-"??_-;_-@_-</c:formatCode>
                <c:ptCount val="4"/>
                <c:pt idx="0">
                  <c:v>0.23</c:v>
                </c:pt>
                <c:pt idx="1">
                  <c:v>0.22</c:v>
                </c:pt>
                <c:pt idx="2">
                  <c:v>0.16</c:v>
                </c:pt>
                <c:pt idx="3">
                  <c:v>0.14000000000000001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[NATURA.xlsx]Resultados!$I$23</c:f>
              <c:strCache>
                <c:ptCount val="1"/>
                <c:pt idx="0">
                  <c:v>Retorno sobre Capital Próprio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5.3430479659987859E-2"/>
                  <c:y val="-3.76746253492507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5.3430479659987859E-2"/>
                  <c:y val="-4.30429260858521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3715846994535519E-2"/>
                  <c:y val="-3.76746253492507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1572556162720096E-2"/>
                  <c:y val="-3.76344086021505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[NATURA.xlsx]Resultados!$J$21:$M$21</c:f>
              <c:numCache>
                <c:formatCode>General</c:formatCode>
                <c:ptCount val="4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</c:numCache>
            </c:numRef>
          </c:cat>
          <c:val>
            <c:numRef>
              <c:f>[NATURA.xlsx]Resultados!$J$23:$M$23</c:f>
              <c:numCache>
                <c:formatCode>_-[$R$-416]\ * #,##0.00_-;\-[$R$-416]\ * #,##0.00_-;_-[$R$-416]\ * "-"??_-;_-@_-</c:formatCode>
                <c:ptCount val="4"/>
                <c:pt idx="0">
                  <c:v>0.59</c:v>
                </c:pt>
                <c:pt idx="1">
                  <c:v>0.66</c:v>
                </c:pt>
                <c:pt idx="2">
                  <c:v>0.68</c:v>
                </c:pt>
                <c:pt idx="3">
                  <c:v>0.73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[NATURA.xlsx]Resultados!$I$24</c:f>
              <c:strCache>
                <c:ptCount val="1"/>
                <c:pt idx="0">
                  <c:v>Lucro por Ação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5.8284162567110803E-2"/>
                  <c:y val="-3.23186013038692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5.1001821493624776E-2"/>
                  <c:y val="-4.84235035136736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8573163327261686E-2"/>
                  <c:y val="-3.765049530099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8855662167912072E-2"/>
                  <c:y val="-3.7682668698670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[NATURA.xlsx]Resultados!$J$21:$M$21</c:f>
              <c:numCache>
                <c:formatCode>General</c:formatCode>
                <c:ptCount val="4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</c:numCache>
            </c:numRef>
          </c:cat>
          <c:val>
            <c:numRef>
              <c:f>[NATURA.xlsx]Resultados!$J$24:$M$24</c:f>
              <c:numCache>
                <c:formatCode>_-[$R$-416]\ * #,##0.00_-;\-[$R$-416]\ * #,##0.00_-;_-[$R$-416]\ * "-"??_-;_-@_-</c:formatCode>
                <c:ptCount val="4"/>
                <c:pt idx="0">
                  <c:v>1.73</c:v>
                </c:pt>
                <c:pt idx="1">
                  <c:v>1.93</c:v>
                </c:pt>
                <c:pt idx="2">
                  <c:v>2.0299999999999998</c:v>
                </c:pt>
                <c:pt idx="3">
                  <c:v>1.97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5943552"/>
        <c:axId val="35945088"/>
      </c:lineChart>
      <c:catAx>
        <c:axId val="35943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35945088"/>
        <c:crosses val="autoZero"/>
        <c:auto val="1"/>
        <c:lblAlgn val="ctr"/>
        <c:lblOffset val="100"/>
        <c:noMultiLvlLbl val="0"/>
      </c:catAx>
      <c:valAx>
        <c:axId val="35945088"/>
        <c:scaling>
          <c:orientation val="minMax"/>
        </c:scaling>
        <c:delete val="0"/>
        <c:axPos val="l"/>
        <c:majorGridlines/>
        <c:numFmt formatCode="_-[$R$-416]\ * #,##0.00_-;\-[$R$-416]\ * #,##0.00_-;_-[$R$-416]\ * &quot;-&quot;??_-;_-@_-" sourceLinked="1"/>
        <c:majorTickMark val="none"/>
        <c:minorTickMark val="none"/>
        <c:tickLblPos val="nextTo"/>
        <c:crossAx val="359435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solidFill>
        <a:schemeClr val="tx1"/>
      </a:solidFill>
    </a:ln>
  </c:spPr>
  <c:txPr>
    <a:bodyPr/>
    <a:lstStyle/>
    <a:p>
      <a:pPr>
        <a:defRPr sz="1000">
          <a:latin typeface="Arial" pitchFamily="34" charset="0"/>
          <a:cs typeface="Arial" pitchFamily="34" charset="0"/>
        </a:defRPr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12A24-049D-4A5A-A23B-93375C5B1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5500</Words>
  <Characters>29705</Characters>
  <Application>Microsoft Office Word</Application>
  <DocSecurity>0</DocSecurity>
  <Lines>247</Lines>
  <Paragraphs>70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MBIOS</Company>
  <LinksUpToDate>false</LinksUpToDate>
  <CharactersWithSpaces>35135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Thierre</dc:creator>
  <cp:lastModifiedBy>Alissandra</cp:lastModifiedBy>
  <cp:revision>4</cp:revision>
  <dcterms:created xsi:type="dcterms:W3CDTF">2014-11-14T20:51:00Z</dcterms:created>
  <dcterms:modified xsi:type="dcterms:W3CDTF">2014-11-14T20:56:00Z</dcterms:modified>
</cp:coreProperties>
</file>