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DED" w:rsidRDefault="00484DED" w:rsidP="00973A09">
      <w:pPr>
        <w:spacing w:line="360" w:lineRule="auto"/>
        <w:jc w:val="center"/>
        <w:rPr>
          <w:rFonts w:ascii="Times New Roman" w:hAnsi="Times New Roman" w:cs="Times New Roman"/>
          <w:sz w:val="28"/>
          <w:szCs w:val="28"/>
        </w:rPr>
      </w:pPr>
      <w:r>
        <w:rPr>
          <w:rFonts w:ascii="Times New Roman" w:hAnsi="Times New Roman" w:cs="Times New Roman"/>
          <w:b/>
          <w:sz w:val="28"/>
          <w:szCs w:val="28"/>
        </w:rPr>
        <w:t xml:space="preserve">SINOPSE DO CASE: </w:t>
      </w:r>
      <w:r w:rsidR="007A27CB">
        <w:rPr>
          <w:rFonts w:ascii="Times New Roman" w:hAnsi="Times New Roman" w:cs="Times New Roman"/>
          <w:sz w:val="28"/>
          <w:szCs w:val="28"/>
        </w:rPr>
        <w:t xml:space="preserve">A criação da Via </w:t>
      </w:r>
      <w:r w:rsidR="007A27CB" w:rsidRPr="007A27CB">
        <w:rPr>
          <w:rFonts w:ascii="Times New Roman" w:hAnsi="Times New Roman" w:cs="Times New Roman"/>
          <w:sz w:val="28"/>
          <w:szCs w:val="28"/>
        </w:rPr>
        <w:t xml:space="preserve">Varejo - </w:t>
      </w:r>
      <w:r w:rsidR="007A27CB">
        <w:rPr>
          <w:rFonts w:ascii="Times New Roman" w:hAnsi="Times New Roman" w:cs="Times New Roman"/>
          <w:sz w:val="28"/>
          <w:szCs w:val="28"/>
        </w:rPr>
        <w:t>setor de v</w:t>
      </w:r>
      <w:r w:rsidR="007A27CB" w:rsidRPr="007A27CB">
        <w:rPr>
          <w:rFonts w:ascii="Times New Roman" w:hAnsi="Times New Roman" w:cs="Times New Roman"/>
          <w:sz w:val="28"/>
          <w:szCs w:val="28"/>
        </w:rPr>
        <w:t>arejo de bens duráveis e multiprodutos</w:t>
      </w:r>
      <w:r>
        <w:rPr>
          <w:rStyle w:val="Refdenotaderodap"/>
          <w:rFonts w:ascii="Times New Roman" w:hAnsi="Times New Roman" w:cs="Times New Roman"/>
          <w:sz w:val="28"/>
          <w:szCs w:val="28"/>
        </w:rPr>
        <w:footnoteReference w:id="1"/>
      </w:r>
    </w:p>
    <w:p w:rsidR="00F051A6" w:rsidRPr="00F051A6" w:rsidRDefault="00F051A6" w:rsidP="00F051A6">
      <w:pPr>
        <w:spacing w:after="0" w:line="360" w:lineRule="auto"/>
        <w:jc w:val="right"/>
        <w:rPr>
          <w:rFonts w:ascii="Times New Roman" w:hAnsi="Times New Roman" w:cs="Times New Roman"/>
          <w:sz w:val="24"/>
          <w:szCs w:val="24"/>
        </w:rPr>
      </w:pPr>
      <w:r w:rsidRPr="00F051A6">
        <w:rPr>
          <w:rFonts w:ascii="Times New Roman" w:hAnsi="Times New Roman" w:cs="Times New Roman"/>
          <w:sz w:val="24"/>
          <w:szCs w:val="24"/>
        </w:rPr>
        <w:t>Fernando Pinto Morais</w:t>
      </w:r>
    </w:p>
    <w:p w:rsidR="00F051A6" w:rsidRPr="00F051A6" w:rsidRDefault="00484DED" w:rsidP="00F051A6">
      <w:pPr>
        <w:spacing w:after="0"/>
        <w:jc w:val="right"/>
        <w:rPr>
          <w:rFonts w:ascii="Times New Roman" w:hAnsi="Times New Roman" w:cs="Times New Roman"/>
          <w:sz w:val="24"/>
          <w:szCs w:val="24"/>
        </w:rPr>
      </w:pPr>
      <w:proofErr w:type="spellStart"/>
      <w:r w:rsidRPr="00F051A6">
        <w:rPr>
          <w:rFonts w:ascii="Times New Roman" w:hAnsi="Times New Roman" w:cs="Times New Roman"/>
          <w:sz w:val="24"/>
          <w:szCs w:val="24"/>
        </w:rPr>
        <w:t>Renatta</w:t>
      </w:r>
      <w:proofErr w:type="spellEnd"/>
      <w:r w:rsidRPr="00F051A6">
        <w:rPr>
          <w:rFonts w:ascii="Times New Roman" w:hAnsi="Times New Roman" w:cs="Times New Roman"/>
          <w:sz w:val="24"/>
          <w:szCs w:val="24"/>
        </w:rPr>
        <w:t xml:space="preserve"> Maysa Campos </w:t>
      </w:r>
      <w:proofErr w:type="spellStart"/>
      <w:r w:rsidRPr="00F051A6">
        <w:rPr>
          <w:rFonts w:ascii="Times New Roman" w:hAnsi="Times New Roman" w:cs="Times New Roman"/>
          <w:sz w:val="24"/>
          <w:szCs w:val="24"/>
        </w:rPr>
        <w:t>Froz</w:t>
      </w:r>
      <w:proofErr w:type="spellEnd"/>
      <w:r w:rsidRPr="00F051A6">
        <w:rPr>
          <w:rStyle w:val="Refdenotaderodap"/>
          <w:rFonts w:ascii="Times New Roman" w:hAnsi="Times New Roman" w:cs="Times New Roman"/>
          <w:sz w:val="24"/>
          <w:szCs w:val="24"/>
        </w:rPr>
        <w:footnoteReference w:id="2"/>
      </w:r>
    </w:p>
    <w:p w:rsidR="00F051A6" w:rsidRDefault="00F051A6" w:rsidP="00F051A6">
      <w:pPr>
        <w:spacing w:after="0"/>
        <w:jc w:val="right"/>
        <w:rPr>
          <w:rFonts w:ascii="Times New Roman" w:hAnsi="Times New Roman" w:cs="Times New Roman"/>
          <w:sz w:val="24"/>
          <w:szCs w:val="24"/>
        </w:rPr>
      </w:pPr>
    </w:p>
    <w:p w:rsidR="00484DED" w:rsidRPr="005123DE" w:rsidRDefault="007A27CB" w:rsidP="00F051A6">
      <w:pPr>
        <w:spacing w:after="0"/>
        <w:jc w:val="right"/>
        <w:rPr>
          <w:rFonts w:ascii="Times New Roman" w:hAnsi="Times New Roman" w:cs="Times New Roman"/>
          <w:sz w:val="24"/>
          <w:szCs w:val="24"/>
        </w:rPr>
      </w:pPr>
      <w:r w:rsidRPr="00F051A6">
        <w:rPr>
          <w:rFonts w:ascii="Times New Roman" w:hAnsi="Times New Roman" w:cs="Times New Roman"/>
          <w:sz w:val="24"/>
          <w:szCs w:val="24"/>
        </w:rPr>
        <w:t xml:space="preserve">Alexsandro </w:t>
      </w:r>
      <w:proofErr w:type="spellStart"/>
      <w:r w:rsidRPr="00F051A6">
        <w:rPr>
          <w:rFonts w:ascii="Times New Roman" w:hAnsi="Times New Roman" w:cs="Times New Roman"/>
          <w:sz w:val="24"/>
          <w:szCs w:val="24"/>
        </w:rPr>
        <w:t>Rahbani</w:t>
      </w:r>
      <w:proofErr w:type="spellEnd"/>
      <w:r w:rsidRPr="00F051A6">
        <w:rPr>
          <w:rFonts w:ascii="Times New Roman" w:hAnsi="Times New Roman" w:cs="Times New Roman"/>
          <w:sz w:val="24"/>
          <w:szCs w:val="24"/>
        </w:rPr>
        <w:t xml:space="preserve"> Aragão Feijó</w:t>
      </w:r>
      <w:r w:rsidR="00484DED" w:rsidRPr="005123DE">
        <w:rPr>
          <w:rStyle w:val="Refdenotaderodap"/>
          <w:rFonts w:ascii="Times New Roman" w:hAnsi="Times New Roman" w:cs="Times New Roman"/>
          <w:sz w:val="24"/>
          <w:szCs w:val="24"/>
        </w:rPr>
        <w:footnoteReference w:id="3"/>
      </w:r>
    </w:p>
    <w:p w:rsidR="00484DED" w:rsidRDefault="00065EE8" w:rsidP="00F051A6">
      <w:pPr>
        <w:spacing w:after="0"/>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00484DED" w:rsidRPr="00065EE8">
        <w:rPr>
          <w:rFonts w:ascii="Times New Roman" w:hAnsi="Times New Roman" w:cs="Times New Roman"/>
          <w:b/>
          <w:sz w:val="24"/>
          <w:szCs w:val="24"/>
        </w:rPr>
        <w:t>DESCRIÇÃO DO CASO</w:t>
      </w:r>
    </w:p>
    <w:p w:rsidR="00567E97" w:rsidRDefault="007A27CB" w:rsidP="00567E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ano de 2009, as redes Ponto Frio e Casas Bahia </w:t>
      </w:r>
      <w:r w:rsidR="00494673">
        <w:rPr>
          <w:rFonts w:ascii="Times New Roman" w:hAnsi="Times New Roman" w:cs="Times New Roman"/>
          <w:sz w:val="24"/>
          <w:szCs w:val="24"/>
        </w:rPr>
        <w:t xml:space="preserve">anunciaram a fusão, e neste mesmo ano notificaram o CADE sobre a realização da fusão. Produziram a holding Via Varejo para administrar as redes supramencionadas. Com a realização da fusão, o grupo Pão de Açúcar, dono das Casas Bahia e Extra, </w:t>
      </w:r>
      <w:proofErr w:type="gramStart"/>
      <w:r w:rsidR="00494673">
        <w:rPr>
          <w:rFonts w:ascii="Times New Roman" w:hAnsi="Times New Roman" w:cs="Times New Roman"/>
          <w:sz w:val="24"/>
          <w:szCs w:val="24"/>
        </w:rPr>
        <w:t>foi alçado</w:t>
      </w:r>
      <w:proofErr w:type="gramEnd"/>
      <w:r w:rsidR="00494673">
        <w:rPr>
          <w:rFonts w:ascii="Times New Roman" w:hAnsi="Times New Roman" w:cs="Times New Roman"/>
          <w:sz w:val="24"/>
          <w:szCs w:val="24"/>
        </w:rPr>
        <w:t xml:space="preserve"> à liderança do mercado de varejo no Brasil. </w:t>
      </w:r>
      <w:r w:rsidR="0091119B">
        <w:rPr>
          <w:rFonts w:ascii="Times New Roman" w:hAnsi="Times New Roman" w:cs="Times New Roman"/>
          <w:sz w:val="24"/>
          <w:szCs w:val="24"/>
        </w:rPr>
        <w:t xml:space="preserve">Em relação ao controle de fusões é realizado pela Secretaria de Acompanhamento Econômico, no qual, é a primeira instância do governo brasileiro para avaliar grandes fusões e verificar se elas provocarão ou não concentração de mercado. E sobre o caso relatado, a secretaria elaborou um parecer que foi encaminhado e analisado pelo Conselho Administrativo de Defesa Econômica (CADE), do Ministério da Justiça. </w:t>
      </w:r>
    </w:p>
    <w:p w:rsidR="00911A36" w:rsidRDefault="00567E97" w:rsidP="00911A3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fusão do Ponto Frio com as Casas Bahia, criando a Via Varejo, é apenas um </w:t>
      </w:r>
      <w:proofErr w:type="gramStart"/>
      <w:r>
        <w:rPr>
          <w:rFonts w:ascii="Times New Roman" w:hAnsi="Times New Roman" w:cs="Times New Roman"/>
          <w:sz w:val="24"/>
          <w:szCs w:val="24"/>
        </w:rPr>
        <w:t>dos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casos</w:t>
      </w:r>
      <w:proofErr w:type="gramEnd"/>
      <w:r>
        <w:rPr>
          <w:rFonts w:ascii="Times New Roman" w:hAnsi="Times New Roman" w:cs="Times New Roman"/>
          <w:sz w:val="24"/>
          <w:szCs w:val="24"/>
        </w:rPr>
        <w:t xml:space="preserve"> de grandes fusões que foram e estão sendo analisados pelas autoridades brasileiras de defesa de concorrência. </w:t>
      </w:r>
      <w:r w:rsidR="007E2B24">
        <w:rPr>
          <w:rFonts w:ascii="Times New Roman" w:hAnsi="Times New Roman" w:cs="Times New Roman"/>
          <w:sz w:val="24"/>
          <w:szCs w:val="24"/>
        </w:rPr>
        <w:t xml:space="preserve">Existem outros casos como </w:t>
      </w:r>
      <w:proofErr w:type="gramStart"/>
      <w:r w:rsidR="007E2B24">
        <w:rPr>
          <w:rFonts w:ascii="Times New Roman" w:hAnsi="Times New Roman" w:cs="Times New Roman"/>
          <w:sz w:val="24"/>
          <w:szCs w:val="24"/>
        </w:rPr>
        <w:t xml:space="preserve">este, tais como a criação da BRF Brasil </w:t>
      </w:r>
      <w:proofErr w:type="spellStart"/>
      <w:r w:rsidR="007E2B24">
        <w:rPr>
          <w:rFonts w:ascii="Times New Roman" w:hAnsi="Times New Roman" w:cs="Times New Roman"/>
          <w:sz w:val="24"/>
          <w:szCs w:val="24"/>
        </w:rPr>
        <w:t>Foods</w:t>
      </w:r>
      <w:proofErr w:type="spellEnd"/>
      <w:r w:rsidR="007E2B24">
        <w:rPr>
          <w:rFonts w:ascii="Times New Roman" w:hAnsi="Times New Roman" w:cs="Times New Roman"/>
          <w:sz w:val="24"/>
          <w:szCs w:val="24"/>
        </w:rPr>
        <w:t>, empresa</w:t>
      </w:r>
      <w:proofErr w:type="gramEnd"/>
      <w:r w:rsidR="007E2B24">
        <w:rPr>
          <w:rFonts w:ascii="Times New Roman" w:hAnsi="Times New Roman" w:cs="Times New Roman"/>
          <w:sz w:val="24"/>
          <w:szCs w:val="24"/>
        </w:rPr>
        <w:t xml:space="preserve"> de alimentos originada pela fusão da Perdigão com a Sadia, e a criação da LATIN, resultante da fusão das empresas aéreas TAM e LAN. </w:t>
      </w:r>
      <w:r w:rsidR="00911A36">
        <w:rPr>
          <w:rFonts w:ascii="Times New Roman" w:hAnsi="Times New Roman" w:cs="Times New Roman"/>
          <w:sz w:val="24"/>
          <w:szCs w:val="24"/>
        </w:rPr>
        <w:t>Diante disso, é válido questionar se essa fusão é (in</w:t>
      </w:r>
      <w:proofErr w:type="gramStart"/>
      <w:r w:rsidR="00911A36">
        <w:rPr>
          <w:rFonts w:ascii="Times New Roman" w:hAnsi="Times New Roman" w:cs="Times New Roman"/>
          <w:sz w:val="24"/>
          <w:szCs w:val="24"/>
        </w:rPr>
        <w:t>)constitucional</w:t>
      </w:r>
      <w:proofErr w:type="gramEnd"/>
      <w:r w:rsidR="00911A36">
        <w:rPr>
          <w:rFonts w:ascii="Times New Roman" w:hAnsi="Times New Roman" w:cs="Times New Roman"/>
          <w:sz w:val="24"/>
          <w:szCs w:val="24"/>
        </w:rPr>
        <w:t xml:space="preserve"> e (i)legal? Portanto, será analisado no decorrer desse case a decisão do CADE, bem como, a ótica da concentração de mercado no setor de varejo das empresas envolvidas. </w:t>
      </w:r>
    </w:p>
    <w:p w:rsidR="00484DED" w:rsidRPr="00065EE8" w:rsidRDefault="00065EE8" w:rsidP="00065EE8">
      <w:pPr>
        <w:tabs>
          <w:tab w:val="left" w:pos="284"/>
        </w:tabs>
        <w:spacing w:after="0" w:line="3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00484DED" w:rsidRPr="00065EE8">
        <w:rPr>
          <w:rFonts w:ascii="Times New Roman" w:hAnsi="Times New Roman" w:cs="Times New Roman"/>
          <w:b/>
          <w:sz w:val="24"/>
          <w:szCs w:val="24"/>
        </w:rPr>
        <w:t>IDENTIFICAÇÃO E ANÁLISE DO CASO</w:t>
      </w:r>
    </w:p>
    <w:p w:rsidR="005123DE" w:rsidRPr="00065EE8" w:rsidRDefault="00065EE8" w:rsidP="00065EE8">
      <w:pPr>
        <w:tabs>
          <w:tab w:val="left" w:pos="284"/>
        </w:tabs>
        <w:spacing w:after="0" w:line="360" w:lineRule="auto"/>
        <w:jc w:val="both"/>
        <w:rPr>
          <w:rFonts w:ascii="Times New Roman" w:eastAsia="Calibri" w:hAnsi="Times New Roman" w:cs="Times New Roman"/>
          <w:b/>
          <w:sz w:val="24"/>
        </w:rPr>
      </w:pPr>
      <w:proofErr w:type="gramStart"/>
      <w:r>
        <w:rPr>
          <w:rFonts w:ascii="Times New Roman" w:eastAsia="Calibri" w:hAnsi="Times New Roman" w:cs="Times New Roman"/>
          <w:b/>
          <w:sz w:val="24"/>
        </w:rPr>
        <w:t xml:space="preserve">2.1 </w:t>
      </w:r>
      <w:r w:rsidRPr="00065EE8">
        <w:rPr>
          <w:rFonts w:ascii="Times New Roman" w:eastAsia="Calibri" w:hAnsi="Times New Roman" w:cs="Times New Roman"/>
          <w:b/>
          <w:sz w:val="24"/>
        </w:rPr>
        <w:t>DESCRIÇÃO</w:t>
      </w:r>
      <w:proofErr w:type="gramEnd"/>
      <w:r w:rsidRPr="00065EE8">
        <w:rPr>
          <w:rFonts w:ascii="Times New Roman" w:eastAsia="Calibri" w:hAnsi="Times New Roman" w:cs="Times New Roman"/>
          <w:b/>
          <w:sz w:val="24"/>
        </w:rPr>
        <w:t xml:space="preserve"> DAS DECISÕES POSSÍVEIS</w:t>
      </w:r>
    </w:p>
    <w:p w:rsidR="00811B25" w:rsidRDefault="00D14817" w:rsidP="00065EE8">
      <w:pPr>
        <w:tabs>
          <w:tab w:val="left" w:pos="0"/>
        </w:tabs>
        <w:spacing w:after="0" w:line="360" w:lineRule="auto"/>
        <w:jc w:val="both"/>
        <w:rPr>
          <w:rFonts w:ascii="Times New Roman" w:hAnsi="Times New Roman" w:cs="Times New Roman"/>
          <w:b/>
          <w:sz w:val="24"/>
          <w:szCs w:val="24"/>
          <w:shd w:val="clear" w:color="auto" w:fill="FAFBFB"/>
        </w:rPr>
      </w:pPr>
      <w:r>
        <w:rPr>
          <w:rFonts w:ascii="Times New Roman" w:hAnsi="Times New Roman" w:cs="Times New Roman"/>
          <w:b/>
          <w:sz w:val="24"/>
          <w:szCs w:val="24"/>
          <w:shd w:val="clear" w:color="auto" w:fill="FAFBFB"/>
        </w:rPr>
        <w:t>2.1.1 A Fusão</w:t>
      </w:r>
      <w:r w:rsidR="00982A0C">
        <w:rPr>
          <w:rFonts w:ascii="Times New Roman" w:hAnsi="Times New Roman" w:cs="Times New Roman"/>
          <w:b/>
          <w:sz w:val="24"/>
          <w:szCs w:val="24"/>
          <w:shd w:val="clear" w:color="auto" w:fill="FAFBFB"/>
        </w:rPr>
        <w:t xml:space="preserve"> das empresas Casas Bahia e Ponto Frio </w:t>
      </w:r>
      <w:r>
        <w:rPr>
          <w:rFonts w:ascii="Times New Roman" w:hAnsi="Times New Roman" w:cs="Times New Roman"/>
          <w:b/>
          <w:sz w:val="24"/>
          <w:szCs w:val="24"/>
          <w:shd w:val="clear" w:color="auto" w:fill="FAFBFB"/>
        </w:rPr>
        <w:t>é const</w:t>
      </w:r>
      <w:r w:rsidR="00982A0C">
        <w:rPr>
          <w:rFonts w:ascii="Times New Roman" w:hAnsi="Times New Roman" w:cs="Times New Roman"/>
          <w:b/>
          <w:sz w:val="24"/>
          <w:szCs w:val="24"/>
          <w:shd w:val="clear" w:color="auto" w:fill="FAFBFB"/>
        </w:rPr>
        <w:t xml:space="preserve">itucional e legalmente </w:t>
      </w:r>
      <w:proofErr w:type="gramStart"/>
      <w:r w:rsidR="00982A0C">
        <w:rPr>
          <w:rFonts w:ascii="Times New Roman" w:hAnsi="Times New Roman" w:cs="Times New Roman"/>
          <w:b/>
          <w:sz w:val="24"/>
          <w:szCs w:val="24"/>
          <w:shd w:val="clear" w:color="auto" w:fill="FAFBFB"/>
        </w:rPr>
        <w:t>possível</w:t>
      </w:r>
      <w:proofErr w:type="gramEnd"/>
    </w:p>
    <w:p w:rsidR="008E5E4E" w:rsidRDefault="00594C39" w:rsidP="000A6525">
      <w:pPr>
        <w:tabs>
          <w:tab w:val="left" w:pos="0"/>
        </w:tabs>
        <w:spacing w:after="0" w:line="336" w:lineRule="auto"/>
        <w:ind w:firstLine="1134"/>
        <w:jc w:val="both"/>
        <w:rPr>
          <w:rFonts w:ascii="Times New Roman" w:hAnsi="Times New Roman" w:cs="Times New Roman"/>
          <w:sz w:val="24"/>
          <w:szCs w:val="24"/>
          <w:shd w:val="clear" w:color="auto" w:fill="FAFBFB"/>
        </w:rPr>
      </w:pPr>
      <w:r>
        <w:rPr>
          <w:rFonts w:ascii="Times New Roman" w:hAnsi="Times New Roman" w:cs="Times New Roman"/>
          <w:sz w:val="24"/>
          <w:szCs w:val="24"/>
          <w:shd w:val="clear" w:color="auto" w:fill="FAFBFB"/>
        </w:rPr>
        <w:t xml:space="preserve">A fusão das empresas Casas Bahia e Ponto Frio foi totalmente </w:t>
      </w:r>
      <w:proofErr w:type="gramStart"/>
      <w:r>
        <w:rPr>
          <w:rFonts w:ascii="Times New Roman" w:hAnsi="Times New Roman" w:cs="Times New Roman"/>
          <w:sz w:val="24"/>
          <w:szCs w:val="24"/>
          <w:shd w:val="clear" w:color="auto" w:fill="FAFBFB"/>
        </w:rPr>
        <w:t>constitucional</w:t>
      </w:r>
      <w:proofErr w:type="gramEnd"/>
      <w:r>
        <w:rPr>
          <w:rFonts w:ascii="Times New Roman" w:hAnsi="Times New Roman" w:cs="Times New Roman"/>
          <w:sz w:val="24"/>
          <w:szCs w:val="24"/>
          <w:shd w:val="clear" w:color="auto" w:fill="FAFBFB"/>
        </w:rPr>
        <w:t xml:space="preserve">, pois atendeu os requisitos exigidos pelo </w:t>
      </w:r>
      <w:proofErr w:type="spellStart"/>
      <w:r>
        <w:rPr>
          <w:rFonts w:ascii="Times New Roman" w:hAnsi="Times New Roman" w:cs="Times New Roman"/>
          <w:sz w:val="24"/>
          <w:szCs w:val="24"/>
          <w:shd w:val="clear" w:color="auto" w:fill="FAFBFB"/>
        </w:rPr>
        <w:t>Cade</w:t>
      </w:r>
      <w:proofErr w:type="spellEnd"/>
      <w:r w:rsidRPr="00594C39">
        <w:rPr>
          <w:rFonts w:ascii="Times New Roman" w:hAnsi="Times New Roman" w:cs="Times New Roman"/>
          <w:sz w:val="24"/>
          <w:szCs w:val="24"/>
          <w:shd w:val="clear" w:color="auto" w:fill="FAFBFB"/>
        </w:rPr>
        <w:t xml:space="preserve">, pelo qual </w:t>
      </w:r>
      <w:r>
        <w:rPr>
          <w:rFonts w:ascii="Times New Roman" w:hAnsi="Times New Roman" w:cs="Times New Roman"/>
          <w:sz w:val="24"/>
          <w:szCs w:val="24"/>
          <w:shd w:val="clear" w:color="auto" w:fill="FAFBFB"/>
        </w:rPr>
        <w:t>exigiu que a Via Varejo se comprometesse</w:t>
      </w:r>
      <w:r w:rsidRPr="00594C39">
        <w:rPr>
          <w:rFonts w:ascii="Times New Roman" w:hAnsi="Times New Roman" w:cs="Times New Roman"/>
          <w:sz w:val="24"/>
          <w:szCs w:val="24"/>
          <w:shd w:val="clear" w:color="auto" w:fill="FAFBFB"/>
        </w:rPr>
        <w:t xml:space="preserve"> a vender 74 pontos comerciais em 54 municípios brasileiros. Desses, 25 estão localizados no Estado de São Paulo, 15 no Rio de Janeiro, seis em Minas Gerais, cinco no Distrito Federal, um em </w:t>
      </w:r>
      <w:r>
        <w:rPr>
          <w:rFonts w:ascii="Times New Roman" w:hAnsi="Times New Roman" w:cs="Times New Roman"/>
          <w:sz w:val="24"/>
          <w:szCs w:val="24"/>
          <w:shd w:val="clear" w:color="auto" w:fill="FAFBFB"/>
        </w:rPr>
        <w:t xml:space="preserve">Goiás, um no Espírito Santo e um no Mato Grosso. </w:t>
      </w:r>
      <w:r w:rsidR="00B03D8B">
        <w:rPr>
          <w:rFonts w:ascii="Times New Roman" w:hAnsi="Times New Roman" w:cs="Times New Roman"/>
          <w:sz w:val="24"/>
          <w:szCs w:val="24"/>
          <w:shd w:val="clear" w:color="auto" w:fill="FAFBFB"/>
        </w:rPr>
        <w:t xml:space="preserve">Foi decretada essa exigência, pelo fato que a Via Varejo, no caso as empresas, a Casas Bahia e o Ponto </w:t>
      </w:r>
      <w:proofErr w:type="gramStart"/>
      <w:r w:rsidR="00B03D8B">
        <w:rPr>
          <w:rFonts w:ascii="Times New Roman" w:hAnsi="Times New Roman" w:cs="Times New Roman"/>
          <w:sz w:val="24"/>
          <w:szCs w:val="24"/>
          <w:shd w:val="clear" w:color="auto" w:fill="FAFBFB"/>
        </w:rPr>
        <w:t>Frio juntas</w:t>
      </w:r>
      <w:proofErr w:type="gramEnd"/>
      <w:r w:rsidR="00B03D8B">
        <w:rPr>
          <w:rFonts w:ascii="Times New Roman" w:hAnsi="Times New Roman" w:cs="Times New Roman"/>
          <w:sz w:val="24"/>
          <w:szCs w:val="24"/>
          <w:shd w:val="clear" w:color="auto" w:fill="FAFBFB"/>
        </w:rPr>
        <w:t xml:space="preserve"> apresenta</w:t>
      </w:r>
      <w:r w:rsidR="008E5E4E">
        <w:rPr>
          <w:rFonts w:ascii="Times New Roman" w:hAnsi="Times New Roman" w:cs="Times New Roman"/>
          <w:sz w:val="24"/>
          <w:szCs w:val="24"/>
          <w:shd w:val="clear" w:color="auto" w:fill="FAFBFB"/>
        </w:rPr>
        <w:t>rem</w:t>
      </w:r>
      <w:r w:rsidR="00B03D8B">
        <w:rPr>
          <w:rFonts w:ascii="Times New Roman" w:hAnsi="Times New Roman" w:cs="Times New Roman"/>
          <w:sz w:val="24"/>
          <w:szCs w:val="24"/>
          <w:shd w:val="clear" w:color="auto" w:fill="FAFBFB"/>
        </w:rPr>
        <w:t xml:space="preserve"> </w:t>
      </w:r>
      <w:r w:rsidR="00B03D8B">
        <w:rPr>
          <w:rFonts w:ascii="Times New Roman" w:hAnsi="Times New Roman" w:cs="Times New Roman"/>
          <w:sz w:val="24"/>
          <w:szCs w:val="24"/>
          <w:shd w:val="clear" w:color="auto" w:fill="FAFBFB"/>
        </w:rPr>
        <w:lastRenderedPageBreak/>
        <w:t xml:space="preserve">participação de mercado superior a 60% nesses municípios, </w:t>
      </w:r>
      <w:r w:rsidR="000F4499">
        <w:rPr>
          <w:rFonts w:ascii="Times New Roman" w:hAnsi="Times New Roman" w:cs="Times New Roman"/>
          <w:sz w:val="24"/>
          <w:szCs w:val="24"/>
          <w:shd w:val="clear" w:color="auto" w:fill="FAFBFB"/>
        </w:rPr>
        <w:t>prejudicando</w:t>
      </w:r>
      <w:r w:rsidR="00AB59FA">
        <w:rPr>
          <w:rFonts w:ascii="Times New Roman" w:hAnsi="Times New Roman" w:cs="Times New Roman"/>
          <w:sz w:val="24"/>
          <w:szCs w:val="24"/>
          <w:shd w:val="clear" w:color="auto" w:fill="FAFBFB"/>
        </w:rPr>
        <w:t xml:space="preserve"> desta forma a livre concorrência</w:t>
      </w:r>
      <w:r w:rsidR="000F4499">
        <w:rPr>
          <w:rFonts w:ascii="Times New Roman" w:hAnsi="Times New Roman" w:cs="Times New Roman"/>
          <w:sz w:val="24"/>
          <w:szCs w:val="24"/>
          <w:shd w:val="clear" w:color="auto" w:fill="FAFBFB"/>
        </w:rPr>
        <w:t xml:space="preserve">. </w:t>
      </w:r>
      <w:r w:rsidR="008E5E4E">
        <w:rPr>
          <w:rFonts w:ascii="Times New Roman" w:hAnsi="Times New Roman" w:cs="Times New Roman"/>
          <w:sz w:val="24"/>
          <w:szCs w:val="24"/>
          <w:shd w:val="clear" w:color="auto" w:fill="FAFBFB"/>
        </w:rPr>
        <w:t xml:space="preserve">Portanto, as empresas realizaram o exigido e o que se observa é a importância do </w:t>
      </w:r>
      <w:proofErr w:type="spellStart"/>
      <w:r w:rsidR="008E5E4E">
        <w:rPr>
          <w:rFonts w:ascii="Times New Roman" w:hAnsi="Times New Roman" w:cs="Times New Roman"/>
          <w:sz w:val="24"/>
          <w:szCs w:val="24"/>
          <w:shd w:val="clear" w:color="auto" w:fill="FAFBFB"/>
        </w:rPr>
        <w:t>Cade</w:t>
      </w:r>
      <w:proofErr w:type="spellEnd"/>
      <w:r w:rsidR="008E5E4E">
        <w:rPr>
          <w:rFonts w:ascii="Times New Roman" w:hAnsi="Times New Roman" w:cs="Times New Roman"/>
          <w:sz w:val="24"/>
          <w:szCs w:val="24"/>
          <w:shd w:val="clear" w:color="auto" w:fill="FAFBFB"/>
        </w:rPr>
        <w:t xml:space="preserve"> em decisões de </w:t>
      </w:r>
      <w:proofErr w:type="gramStart"/>
      <w:r w:rsidR="008E5E4E">
        <w:rPr>
          <w:rFonts w:ascii="Times New Roman" w:hAnsi="Times New Roman" w:cs="Times New Roman"/>
          <w:sz w:val="24"/>
          <w:szCs w:val="24"/>
          <w:shd w:val="clear" w:color="auto" w:fill="FAFBFB"/>
        </w:rPr>
        <w:t>supra importância</w:t>
      </w:r>
      <w:proofErr w:type="gramEnd"/>
      <w:r w:rsidR="008E5E4E">
        <w:rPr>
          <w:rFonts w:ascii="Times New Roman" w:hAnsi="Times New Roman" w:cs="Times New Roman"/>
          <w:sz w:val="24"/>
          <w:szCs w:val="24"/>
          <w:shd w:val="clear" w:color="auto" w:fill="FAFBFB"/>
        </w:rPr>
        <w:t xml:space="preserve"> para o mercado brasileiro</w:t>
      </w:r>
      <w:r w:rsidR="004F1608">
        <w:rPr>
          <w:rFonts w:ascii="Times New Roman" w:hAnsi="Times New Roman" w:cs="Times New Roman"/>
          <w:sz w:val="24"/>
          <w:szCs w:val="24"/>
          <w:shd w:val="clear" w:color="auto" w:fill="FAFBFB"/>
        </w:rPr>
        <w:t xml:space="preserve">, ponderando tanto o mercado como as relações de grandes empresas. </w:t>
      </w:r>
    </w:p>
    <w:p w:rsidR="00D14817" w:rsidRDefault="00D14817" w:rsidP="00065EE8">
      <w:pPr>
        <w:tabs>
          <w:tab w:val="left" w:pos="0"/>
        </w:tabs>
        <w:spacing w:after="0" w:line="360" w:lineRule="auto"/>
        <w:jc w:val="both"/>
        <w:rPr>
          <w:rFonts w:ascii="Times New Roman" w:hAnsi="Times New Roman" w:cs="Times New Roman"/>
          <w:b/>
          <w:sz w:val="24"/>
          <w:szCs w:val="24"/>
          <w:shd w:val="clear" w:color="auto" w:fill="FAFBFB"/>
        </w:rPr>
      </w:pPr>
      <w:r>
        <w:rPr>
          <w:rFonts w:ascii="Times New Roman" w:hAnsi="Times New Roman" w:cs="Times New Roman"/>
          <w:b/>
          <w:sz w:val="24"/>
          <w:szCs w:val="24"/>
          <w:shd w:val="clear" w:color="auto" w:fill="FAFBFB"/>
        </w:rPr>
        <w:t xml:space="preserve">2.1.2 A Fusão </w:t>
      </w:r>
      <w:r w:rsidR="00982A0C">
        <w:rPr>
          <w:rFonts w:ascii="Times New Roman" w:hAnsi="Times New Roman" w:cs="Times New Roman"/>
          <w:b/>
          <w:sz w:val="24"/>
          <w:szCs w:val="24"/>
          <w:shd w:val="clear" w:color="auto" w:fill="FAFBFB"/>
        </w:rPr>
        <w:t xml:space="preserve">das empresas Casas Bahia e Ponto Frio </w:t>
      </w:r>
      <w:proofErr w:type="gramStart"/>
      <w:r>
        <w:rPr>
          <w:rFonts w:ascii="Times New Roman" w:hAnsi="Times New Roman" w:cs="Times New Roman"/>
          <w:b/>
          <w:sz w:val="24"/>
          <w:szCs w:val="24"/>
          <w:shd w:val="clear" w:color="auto" w:fill="FAFBFB"/>
        </w:rPr>
        <w:t>é inconstitu</w:t>
      </w:r>
      <w:r w:rsidR="00D43A43">
        <w:rPr>
          <w:rFonts w:ascii="Times New Roman" w:hAnsi="Times New Roman" w:cs="Times New Roman"/>
          <w:b/>
          <w:sz w:val="24"/>
          <w:szCs w:val="24"/>
          <w:shd w:val="clear" w:color="auto" w:fill="FAFBFB"/>
        </w:rPr>
        <w:t>cional</w:t>
      </w:r>
      <w:proofErr w:type="gramEnd"/>
      <w:r w:rsidR="00D43A43">
        <w:rPr>
          <w:rFonts w:ascii="Times New Roman" w:hAnsi="Times New Roman" w:cs="Times New Roman"/>
          <w:b/>
          <w:sz w:val="24"/>
          <w:szCs w:val="24"/>
          <w:shd w:val="clear" w:color="auto" w:fill="FAFBFB"/>
        </w:rPr>
        <w:t xml:space="preserve"> e viola os preceitos do Direito E</w:t>
      </w:r>
      <w:r>
        <w:rPr>
          <w:rFonts w:ascii="Times New Roman" w:hAnsi="Times New Roman" w:cs="Times New Roman"/>
          <w:b/>
          <w:sz w:val="24"/>
          <w:szCs w:val="24"/>
          <w:shd w:val="clear" w:color="auto" w:fill="FAFBFB"/>
        </w:rPr>
        <w:t>conômico</w:t>
      </w:r>
      <w:r w:rsidR="00982A0C">
        <w:rPr>
          <w:rFonts w:ascii="Times New Roman" w:hAnsi="Times New Roman" w:cs="Times New Roman"/>
          <w:b/>
          <w:sz w:val="24"/>
          <w:szCs w:val="24"/>
          <w:shd w:val="clear" w:color="auto" w:fill="FAFBFB"/>
        </w:rPr>
        <w:t>, como a</w:t>
      </w:r>
      <w:r w:rsidR="00594C39">
        <w:rPr>
          <w:rFonts w:ascii="Times New Roman" w:hAnsi="Times New Roman" w:cs="Times New Roman"/>
          <w:b/>
          <w:sz w:val="24"/>
          <w:szCs w:val="24"/>
          <w:shd w:val="clear" w:color="auto" w:fill="FAFBFB"/>
        </w:rPr>
        <w:t xml:space="preserve"> livre</w:t>
      </w:r>
      <w:r w:rsidR="00982A0C">
        <w:rPr>
          <w:rFonts w:ascii="Times New Roman" w:hAnsi="Times New Roman" w:cs="Times New Roman"/>
          <w:b/>
          <w:sz w:val="24"/>
          <w:szCs w:val="24"/>
          <w:shd w:val="clear" w:color="auto" w:fill="FAFBFB"/>
        </w:rPr>
        <w:t xml:space="preserve"> concorrência</w:t>
      </w:r>
    </w:p>
    <w:p w:rsidR="009C7B3B" w:rsidRDefault="004F1608" w:rsidP="000A6525">
      <w:pPr>
        <w:tabs>
          <w:tab w:val="left" w:pos="0"/>
        </w:tabs>
        <w:spacing w:after="0" w:line="336" w:lineRule="auto"/>
        <w:ind w:firstLine="1134"/>
        <w:jc w:val="both"/>
        <w:rPr>
          <w:rFonts w:ascii="Times New Roman" w:hAnsi="Times New Roman" w:cs="Times New Roman"/>
          <w:sz w:val="24"/>
          <w:szCs w:val="24"/>
          <w:shd w:val="clear" w:color="auto" w:fill="FAFBFB"/>
        </w:rPr>
      </w:pPr>
      <w:r>
        <w:rPr>
          <w:rFonts w:ascii="Times New Roman" w:hAnsi="Times New Roman" w:cs="Times New Roman"/>
          <w:sz w:val="24"/>
          <w:szCs w:val="24"/>
          <w:shd w:val="clear" w:color="auto" w:fill="FAFBFB"/>
        </w:rPr>
        <w:t xml:space="preserve">A Lei nº 12.529 de 2011 refere-se sobre a estrutura do sistema brasileiro de defesa da concorrência, além disso, dispõe sobre a prevenção e repressão às infrações contra a ordem econômica. No art. 36 da Lei nº 12.529/11 </w:t>
      </w:r>
      <w:r w:rsidR="00532738">
        <w:rPr>
          <w:rFonts w:ascii="Times New Roman" w:hAnsi="Times New Roman" w:cs="Times New Roman"/>
          <w:sz w:val="24"/>
          <w:szCs w:val="24"/>
          <w:shd w:val="clear" w:color="auto" w:fill="FAFBFB"/>
        </w:rPr>
        <w:t xml:space="preserve">alude sobre as infrações, como: </w:t>
      </w:r>
      <w:r w:rsidR="00532738" w:rsidRPr="00532738">
        <w:rPr>
          <w:rFonts w:ascii="Times New Roman" w:hAnsi="Times New Roman" w:cs="Times New Roman"/>
          <w:i/>
          <w:sz w:val="24"/>
          <w:szCs w:val="24"/>
          <w:shd w:val="clear" w:color="auto" w:fill="FAFBFB"/>
        </w:rPr>
        <w:t xml:space="preserve">‘’Art. 36.  </w:t>
      </w:r>
      <w:proofErr w:type="gramStart"/>
      <w:r w:rsidR="00532738" w:rsidRPr="00532738">
        <w:rPr>
          <w:rFonts w:ascii="Times New Roman" w:hAnsi="Times New Roman" w:cs="Times New Roman"/>
          <w:i/>
          <w:sz w:val="24"/>
          <w:szCs w:val="24"/>
          <w:shd w:val="clear" w:color="auto" w:fill="FAFBFB"/>
        </w:rPr>
        <w:t>Constituem</w:t>
      </w:r>
      <w:proofErr w:type="gramEnd"/>
      <w:r w:rsidR="00532738" w:rsidRPr="00532738">
        <w:rPr>
          <w:rFonts w:ascii="Times New Roman" w:hAnsi="Times New Roman" w:cs="Times New Roman"/>
          <w:i/>
          <w:sz w:val="24"/>
          <w:szCs w:val="24"/>
          <w:shd w:val="clear" w:color="auto" w:fill="FAFBFB"/>
        </w:rPr>
        <w:t xml:space="preserve"> infração da ordem econômica, independentemente de culpa, os atos sob qualquer forma manifestados, que tenham por objeto ou possam produzir os seguintes efeitos, ainda que não sejam alcançados: I - limitar, falsear ou de qualquer forma prejudicar a livre concorrência ou a livre iniciativa; II - dominar mercado relevante de bens ou serviços</w:t>
      </w:r>
      <w:r w:rsidR="00532738">
        <w:rPr>
          <w:rFonts w:ascii="Times New Roman" w:hAnsi="Times New Roman" w:cs="Times New Roman"/>
          <w:i/>
          <w:sz w:val="24"/>
          <w:szCs w:val="24"/>
          <w:shd w:val="clear" w:color="auto" w:fill="FAFBFB"/>
        </w:rPr>
        <w:t>.</w:t>
      </w:r>
      <w:r w:rsidR="009C7B3B">
        <w:rPr>
          <w:rFonts w:ascii="Times New Roman" w:hAnsi="Times New Roman" w:cs="Times New Roman"/>
          <w:sz w:val="24"/>
          <w:szCs w:val="24"/>
          <w:shd w:val="clear" w:color="auto" w:fill="FAFBFB"/>
        </w:rPr>
        <w:t xml:space="preserve"> </w:t>
      </w:r>
    </w:p>
    <w:p w:rsidR="00D14817" w:rsidRDefault="009C7B3B" w:rsidP="000A6525">
      <w:pPr>
        <w:tabs>
          <w:tab w:val="left" w:pos="0"/>
        </w:tabs>
        <w:spacing w:after="0" w:line="336" w:lineRule="auto"/>
        <w:ind w:firstLine="1134"/>
        <w:jc w:val="both"/>
        <w:rPr>
          <w:rFonts w:ascii="Times New Roman" w:hAnsi="Times New Roman" w:cs="Times New Roman"/>
          <w:sz w:val="24"/>
          <w:szCs w:val="24"/>
          <w:shd w:val="clear" w:color="auto" w:fill="FAFBFB"/>
        </w:rPr>
      </w:pPr>
      <w:r>
        <w:rPr>
          <w:rFonts w:ascii="Times New Roman" w:hAnsi="Times New Roman" w:cs="Times New Roman"/>
          <w:sz w:val="24"/>
          <w:szCs w:val="24"/>
          <w:shd w:val="clear" w:color="auto" w:fill="FAFBFB"/>
        </w:rPr>
        <w:t xml:space="preserve">Diante disso, o que se observa com a fusão das referidas empresas é que se trata de uma operação inconstitucional, violando </w:t>
      </w:r>
      <w:r w:rsidR="008F24F8">
        <w:rPr>
          <w:rFonts w:ascii="Times New Roman" w:hAnsi="Times New Roman" w:cs="Times New Roman"/>
          <w:sz w:val="24"/>
          <w:szCs w:val="24"/>
          <w:shd w:val="clear" w:color="auto" w:fill="FAFBFB"/>
        </w:rPr>
        <w:t xml:space="preserve">um dos preceitos mais importante da economia brasileira que é a </w:t>
      </w:r>
      <w:r>
        <w:rPr>
          <w:rFonts w:ascii="Times New Roman" w:hAnsi="Times New Roman" w:cs="Times New Roman"/>
          <w:sz w:val="24"/>
          <w:szCs w:val="24"/>
          <w:shd w:val="clear" w:color="auto" w:fill="FAFBFB"/>
        </w:rPr>
        <w:t xml:space="preserve">atividade da livre concorrência, pois com a fusão a Via Varejo terá cerca de 60% em apenas 54 municípios, e a </w:t>
      </w:r>
      <w:r w:rsidR="00123C4A">
        <w:rPr>
          <w:rFonts w:ascii="Times New Roman" w:hAnsi="Times New Roman" w:cs="Times New Roman"/>
          <w:sz w:val="24"/>
          <w:szCs w:val="24"/>
          <w:shd w:val="clear" w:color="auto" w:fill="FAFBFB"/>
        </w:rPr>
        <w:t>l</w:t>
      </w:r>
      <w:r>
        <w:rPr>
          <w:rFonts w:ascii="Times New Roman" w:hAnsi="Times New Roman" w:cs="Times New Roman"/>
          <w:sz w:val="24"/>
          <w:szCs w:val="24"/>
          <w:shd w:val="clear" w:color="auto" w:fill="FAFBFB"/>
        </w:rPr>
        <w:t xml:space="preserve">ei mencionada anteriormente indica no </w:t>
      </w:r>
      <w:r w:rsidRPr="009C7B3B">
        <w:rPr>
          <w:rFonts w:ascii="Times New Roman" w:hAnsi="Times New Roman" w:cs="Times New Roman"/>
          <w:i/>
          <w:sz w:val="24"/>
          <w:szCs w:val="24"/>
          <w:shd w:val="clear" w:color="auto" w:fill="FAFBFB"/>
        </w:rPr>
        <w:t>§ 2</w:t>
      </w:r>
      <w:r w:rsidRPr="009C7B3B">
        <w:rPr>
          <w:rFonts w:ascii="Times New Roman" w:hAnsi="Times New Roman" w:cs="Times New Roman"/>
          <w:i/>
          <w:sz w:val="24"/>
          <w:szCs w:val="24"/>
          <w:u w:val="single"/>
          <w:shd w:val="clear" w:color="auto" w:fill="FAFBFB"/>
          <w:vertAlign w:val="superscript"/>
        </w:rPr>
        <w:t>o</w:t>
      </w:r>
      <w:r w:rsidRPr="009C7B3B">
        <w:rPr>
          <w:rFonts w:ascii="Times New Roman" w:hAnsi="Times New Roman" w:cs="Times New Roman"/>
          <w:i/>
          <w:sz w:val="24"/>
          <w:szCs w:val="24"/>
          <w:shd w:val="clear" w:color="auto" w:fill="FAFBFB"/>
        </w:rPr>
        <w:t xml:space="preserve">  </w:t>
      </w:r>
      <w:r w:rsidR="008F24F8">
        <w:rPr>
          <w:rFonts w:ascii="Times New Roman" w:hAnsi="Times New Roman" w:cs="Times New Roman"/>
          <w:i/>
          <w:sz w:val="24"/>
          <w:szCs w:val="24"/>
          <w:shd w:val="clear" w:color="auto" w:fill="FAFBFB"/>
        </w:rPr>
        <w:t>‘’</w:t>
      </w:r>
      <w:r w:rsidRPr="009C7B3B">
        <w:rPr>
          <w:rFonts w:ascii="Times New Roman" w:hAnsi="Times New Roman" w:cs="Times New Roman"/>
          <w:i/>
          <w:sz w:val="24"/>
          <w:szCs w:val="24"/>
          <w:shd w:val="clear" w:color="auto" w:fill="FAFBFB"/>
        </w:rPr>
        <w:t xml:space="preserve">-se posição dominante sempre que uma empresa ou grupo de empresas for capaz de alterar unilateral ou coordenadamente as condições de mercado ou quando controlar 20% (vinte por cento) ou mais do mercado relevante, podendo este percentual ser alterado pelo </w:t>
      </w:r>
      <w:proofErr w:type="spellStart"/>
      <w:r w:rsidRPr="009C7B3B">
        <w:rPr>
          <w:rFonts w:ascii="Times New Roman" w:hAnsi="Times New Roman" w:cs="Times New Roman"/>
          <w:i/>
          <w:sz w:val="24"/>
          <w:szCs w:val="24"/>
          <w:shd w:val="clear" w:color="auto" w:fill="FAFBFB"/>
        </w:rPr>
        <w:t>Cade</w:t>
      </w:r>
      <w:proofErr w:type="spellEnd"/>
      <w:r w:rsidRPr="009C7B3B">
        <w:rPr>
          <w:rFonts w:ascii="Times New Roman" w:hAnsi="Times New Roman" w:cs="Times New Roman"/>
          <w:i/>
          <w:sz w:val="24"/>
          <w:szCs w:val="24"/>
          <w:shd w:val="clear" w:color="auto" w:fill="FAFBFB"/>
        </w:rPr>
        <w:t xml:space="preserve"> para setores específicos da </w:t>
      </w:r>
      <w:proofErr w:type="gramStart"/>
      <w:r w:rsidRPr="009C7B3B">
        <w:rPr>
          <w:rFonts w:ascii="Times New Roman" w:hAnsi="Times New Roman" w:cs="Times New Roman"/>
          <w:i/>
          <w:sz w:val="24"/>
          <w:szCs w:val="24"/>
          <w:shd w:val="clear" w:color="auto" w:fill="FAFBFB"/>
        </w:rPr>
        <w:t>economia.</w:t>
      </w:r>
      <w:proofErr w:type="gramEnd"/>
      <w:r w:rsidR="008F24F8">
        <w:rPr>
          <w:rFonts w:ascii="Times New Roman" w:hAnsi="Times New Roman" w:cs="Times New Roman"/>
          <w:sz w:val="24"/>
          <w:szCs w:val="24"/>
          <w:shd w:val="clear" w:color="auto" w:fill="FAFBFB"/>
        </w:rPr>
        <w:t>’’ Portanto, a Via Varejo tem uma concentração de mercado de varejo maior que autorizado por lei, tornando a fusão totalmente inconstitucional, gerando desta maneira um domí</w:t>
      </w:r>
      <w:r w:rsidR="005F7427">
        <w:rPr>
          <w:rFonts w:ascii="Times New Roman" w:hAnsi="Times New Roman" w:cs="Times New Roman"/>
          <w:sz w:val="24"/>
          <w:szCs w:val="24"/>
          <w:shd w:val="clear" w:color="auto" w:fill="FAFBFB"/>
        </w:rPr>
        <w:t xml:space="preserve">nio de mercado (aproximadamente </w:t>
      </w:r>
      <w:r w:rsidR="008F24F8">
        <w:rPr>
          <w:rFonts w:ascii="Times New Roman" w:hAnsi="Times New Roman" w:cs="Times New Roman"/>
          <w:sz w:val="24"/>
          <w:szCs w:val="24"/>
          <w:shd w:val="clear" w:color="auto" w:fill="FAFBFB"/>
        </w:rPr>
        <w:t>um monopólio).</w:t>
      </w:r>
    </w:p>
    <w:p w:rsidR="00065EE8" w:rsidRDefault="00065EE8" w:rsidP="00065EE8">
      <w:pPr>
        <w:pStyle w:val="NormalWeb"/>
        <w:spacing w:before="0" w:beforeAutospacing="0" w:after="0" w:afterAutospacing="0" w:line="360" w:lineRule="auto"/>
        <w:jc w:val="both"/>
        <w:rPr>
          <w:rFonts w:eastAsia="Calibri"/>
          <w:b/>
        </w:rPr>
      </w:pPr>
      <w:r w:rsidRPr="006764AD">
        <w:rPr>
          <w:b/>
        </w:rPr>
        <w:t>2.2 ARGUMENTOS CAPAZ</w:t>
      </w:r>
      <w:r>
        <w:rPr>
          <w:b/>
        </w:rPr>
        <w:t>ES DE FUNDAMENTAR CADA DECISÃO</w:t>
      </w:r>
      <w:r w:rsidRPr="00065EE8">
        <w:rPr>
          <w:rFonts w:eastAsia="Calibri"/>
          <w:b/>
        </w:rPr>
        <w:t xml:space="preserve"> </w:t>
      </w:r>
    </w:p>
    <w:p w:rsidR="00065EE8" w:rsidRDefault="00982A0C" w:rsidP="00065EE8">
      <w:pPr>
        <w:pStyle w:val="NormalWeb"/>
        <w:spacing w:before="0" w:beforeAutospacing="0" w:after="0" w:afterAutospacing="0" w:line="360" w:lineRule="auto"/>
        <w:jc w:val="both"/>
        <w:rPr>
          <w:b/>
          <w:shd w:val="clear" w:color="auto" w:fill="FAFBFB"/>
        </w:rPr>
      </w:pPr>
      <w:r>
        <w:rPr>
          <w:b/>
          <w:shd w:val="clear" w:color="auto" w:fill="FAFBFB"/>
        </w:rPr>
        <w:t xml:space="preserve">2.2.1 A Fusão das empresas Casas Bahia e Ponto Frio é constitucional e legalmente </w:t>
      </w:r>
      <w:proofErr w:type="gramStart"/>
      <w:r>
        <w:rPr>
          <w:b/>
          <w:shd w:val="clear" w:color="auto" w:fill="FAFBFB"/>
        </w:rPr>
        <w:t>possível</w:t>
      </w:r>
      <w:proofErr w:type="gramEnd"/>
    </w:p>
    <w:p w:rsidR="00D90880" w:rsidRDefault="00782DCB" w:rsidP="000A6525">
      <w:pPr>
        <w:pStyle w:val="NormalWeb"/>
        <w:spacing w:before="0" w:beforeAutospacing="0" w:after="0" w:afterAutospacing="0" w:line="336" w:lineRule="auto"/>
        <w:ind w:firstLine="1134"/>
        <w:jc w:val="both"/>
        <w:rPr>
          <w:shd w:val="clear" w:color="auto" w:fill="FAFBFB"/>
        </w:rPr>
      </w:pPr>
      <w:r>
        <w:rPr>
          <w:shd w:val="clear" w:color="auto" w:fill="FAFBFB"/>
        </w:rPr>
        <w:t>Primeiramente, vale destacar o conceito de Fusão de empresas, a fusão é o instrumento jurídico adotado quando duas ou mais empresas se unificam, criando uma nova empresa</w:t>
      </w:r>
      <w:r>
        <w:rPr>
          <w:rStyle w:val="Refdenotaderodap"/>
          <w:shd w:val="clear" w:color="auto" w:fill="FAFBFB"/>
        </w:rPr>
        <w:footnoteReference w:id="4"/>
      </w:r>
      <w:r>
        <w:rPr>
          <w:shd w:val="clear" w:color="auto" w:fill="FAFBFB"/>
        </w:rPr>
        <w:t>. Se tratando do</w:t>
      </w:r>
      <w:r w:rsidR="00456FCE">
        <w:rPr>
          <w:shd w:val="clear" w:color="auto" w:fill="FAFBFB"/>
        </w:rPr>
        <w:t xml:space="preserve"> Conselho Administrativo de Defesa Econômica – </w:t>
      </w:r>
      <w:proofErr w:type="spellStart"/>
      <w:r w:rsidR="00456FCE">
        <w:rPr>
          <w:shd w:val="clear" w:color="auto" w:fill="FAFBFB"/>
        </w:rPr>
        <w:t>Cade</w:t>
      </w:r>
      <w:proofErr w:type="spellEnd"/>
      <w:r w:rsidR="00456FCE">
        <w:rPr>
          <w:shd w:val="clear" w:color="auto" w:fill="FAFBFB"/>
        </w:rPr>
        <w:t>, este constitui uma autarquia federal, no qual, é vinculada ao Ministério da Justiça, tendo como sede e foro no Distrito Federal, exercendo</w:t>
      </w:r>
      <w:r w:rsidR="004E34B3">
        <w:rPr>
          <w:shd w:val="clear" w:color="auto" w:fill="FAFBFB"/>
        </w:rPr>
        <w:t xml:space="preserve"> seu poder</w:t>
      </w:r>
      <w:r w:rsidR="00456FCE">
        <w:rPr>
          <w:shd w:val="clear" w:color="auto" w:fill="FAFBFB"/>
        </w:rPr>
        <w:t xml:space="preserve"> por todo território brasileiro, </w:t>
      </w:r>
      <w:r w:rsidR="004E34B3">
        <w:rPr>
          <w:shd w:val="clear" w:color="auto" w:fill="FAFBFB"/>
        </w:rPr>
        <w:t xml:space="preserve">e suas </w:t>
      </w:r>
      <w:r w:rsidR="00456FCE">
        <w:rPr>
          <w:shd w:val="clear" w:color="auto" w:fill="FAFBFB"/>
        </w:rPr>
        <w:t xml:space="preserve">atribuições </w:t>
      </w:r>
      <w:r w:rsidR="004E34B3">
        <w:rPr>
          <w:shd w:val="clear" w:color="auto" w:fill="FAFBFB"/>
        </w:rPr>
        <w:t xml:space="preserve">são </w:t>
      </w:r>
      <w:r w:rsidR="00456FCE">
        <w:rPr>
          <w:shd w:val="clear" w:color="auto" w:fill="FAFBFB"/>
        </w:rPr>
        <w:t xml:space="preserve">delegadas pela Lei nº 12.529 de 2011. </w:t>
      </w:r>
      <w:r w:rsidR="004E34B3">
        <w:rPr>
          <w:shd w:val="clear" w:color="auto" w:fill="FAFBFB"/>
        </w:rPr>
        <w:t xml:space="preserve">A função do </w:t>
      </w:r>
      <w:proofErr w:type="spellStart"/>
      <w:r w:rsidR="004E34B3">
        <w:rPr>
          <w:shd w:val="clear" w:color="auto" w:fill="FAFBFB"/>
        </w:rPr>
        <w:t>Cade</w:t>
      </w:r>
      <w:proofErr w:type="spellEnd"/>
      <w:r w:rsidR="004E34B3">
        <w:rPr>
          <w:shd w:val="clear" w:color="auto" w:fill="FAFBFB"/>
        </w:rPr>
        <w:t xml:space="preserve"> é </w:t>
      </w:r>
      <w:r w:rsidR="00D90880">
        <w:rPr>
          <w:shd w:val="clear" w:color="auto" w:fill="FAFBFB"/>
        </w:rPr>
        <w:t xml:space="preserve">administrar </w:t>
      </w:r>
      <w:r w:rsidR="004E34B3">
        <w:rPr>
          <w:shd w:val="clear" w:color="auto" w:fill="FAFBFB"/>
        </w:rPr>
        <w:t>a livre concorrência no mercado</w:t>
      </w:r>
      <w:r w:rsidR="00D90880">
        <w:rPr>
          <w:shd w:val="clear" w:color="auto" w:fill="FAFBFB"/>
        </w:rPr>
        <w:t xml:space="preserve">, sua responsabilidade no âmbito do Poder Executivo não é meramente de investigar e decidir, em última instância, sobre a matéria concorrencial, mas também de instigar e disseminar a cultura da livre concorrência. </w:t>
      </w:r>
    </w:p>
    <w:p w:rsidR="00D90880" w:rsidRDefault="00D90880" w:rsidP="000A6525">
      <w:pPr>
        <w:pStyle w:val="NormalWeb"/>
        <w:spacing w:before="0" w:beforeAutospacing="0" w:after="0" w:afterAutospacing="0" w:line="336" w:lineRule="auto"/>
        <w:ind w:firstLine="1134"/>
        <w:jc w:val="both"/>
        <w:rPr>
          <w:shd w:val="clear" w:color="auto" w:fill="FFFFFF"/>
        </w:rPr>
      </w:pPr>
      <w:r>
        <w:rPr>
          <w:shd w:val="clear" w:color="auto" w:fill="FAFBFB"/>
        </w:rPr>
        <w:lastRenderedPageBreak/>
        <w:t xml:space="preserve">O </w:t>
      </w:r>
      <w:proofErr w:type="spellStart"/>
      <w:r>
        <w:rPr>
          <w:shd w:val="clear" w:color="auto" w:fill="FAFBFB"/>
        </w:rPr>
        <w:t>cade</w:t>
      </w:r>
      <w:proofErr w:type="spellEnd"/>
      <w:r>
        <w:rPr>
          <w:shd w:val="clear" w:color="auto" w:fill="FAFBFB"/>
        </w:rPr>
        <w:t xml:space="preserve"> exerce três funções, bem como: preventiva, repressiva e educacional ou pedagógica. A preventiva trata-se de analisar e depois decidir sobre as fusões, aquisições de controle, incorporações e outros atos de concentração econômica entre grandes empresas que possam colocar em risco a livre concorrência. Em relação </w:t>
      </w:r>
      <w:r w:rsidR="00553FCF">
        <w:rPr>
          <w:shd w:val="clear" w:color="auto" w:fill="FAFBFB"/>
        </w:rPr>
        <w:t>à</w:t>
      </w:r>
      <w:r>
        <w:rPr>
          <w:shd w:val="clear" w:color="auto" w:fill="FAFBFB"/>
        </w:rPr>
        <w:t xml:space="preserve"> repressiva, esta se trata de investigar, em todo o território nacional, e posteriormente julgar cartéis e outras condutas nocivas à livre concorrência. E a última função é a educacional ou pedagógica que tem como papel instruir o público em geral sobre as diversas condutas, que possam prejudicar a livre concorrência; incentivar e estimular </w:t>
      </w:r>
      <w:r w:rsidRPr="00D90880">
        <w:rPr>
          <w:shd w:val="clear" w:color="auto" w:fill="FFFFFF"/>
        </w:rPr>
        <w:t>estudos e pesquisas acadêmicas sobre o tema, firmando parcerias com universidades, institutos de pesquisa, associações e órgãos do governo; realizar ou apoiar cursos, palestras, seminários e eventos relacionados ao assunto; editar publicações, como a Revista de Direito da Concorrência e cartilhas</w:t>
      </w:r>
      <w:r>
        <w:rPr>
          <w:rStyle w:val="Refdenotaderodap"/>
          <w:shd w:val="clear" w:color="auto" w:fill="FFFFFF"/>
        </w:rPr>
        <w:footnoteReference w:id="5"/>
      </w:r>
      <w:r w:rsidRPr="00D90880">
        <w:rPr>
          <w:shd w:val="clear" w:color="auto" w:fill="FFFFFF"/>
        </w:rPr>
        <w:t>.</w:t>
      </w:r>
    </w:p>
    <w:p w:rsidR="0071761C" w:rsidRPr="000A6525" w:rsidRDefault="004A0195" w:rsidP="000A6525">
      <w:pPr>
        <w:pStyle w:val="NormalWeb"/>
        <w:spacing w:before="0" w:beforeAutospacing="0" w:after="0" w:afterAutospacing="0" w:line="336" w:lineRule="auto"/>
        <w:ind w:firstLine="1134"/>
        <w:jc w:val="both"/>
        <w:rPr>
          <w:shd w:val="clear" w:color="auto" w:fill="FFFFFF"/>
        </w:rPr>
      </w:pPr>
      <w:r>
        <w:rPr>
          <w:shd w:val="clear" w:color="auto" w:fill="FFFFFF"/>
        </w:rPr>
        <w:t xml:space="preserve">Se tratando da estrutura do </w:t>
      </w:r>
      <w:proofErr w:type="spellStart"/>
      <w:r>
        <w:rPr>
          <w:shd w:val="clear" w:color="auto" w:fill="FFFFFF"/>
        </w:rPr>
        <w:t>Cade</w:t>
      </w:r>
      <w:proofErr w:type="spellEnd"/>
      <w:r>
        <w:rPr>
          <w:shd w:val="clear" w:color="auto" w:fill="FFFFFF"/>
        </w:rPr>
        <w:t>, este é formado p</w:t>
      </w:r>
      <w:r w:rsidR="007E36E8">
        <w:rPr>
          <w:shd w:val="clear" w:color="auto" w:fill="FFFFFF"/>
        </w:rPr>
        <w:t>elo Tribunal Administrativo de Defesa Econômica, pela Superintendência – Geral e pelo Departamento de Estudos Econômicos de forma auxiliar participa também a Procuradoria Federal e o Ministério Público Federal.</w:t>
      </w:r>
      <w:r w:rsidR="000A6525">
        <w:rPr>
          <w:shd w:val="clear" w:color="auto" w:fill="FFFFFF"/>
        </w:rPr>
        <w:t xml:space="preserve"> </w:t>
      </w:r>
      <w:r w:rsidR="00691620" w:rsidRPr="0071761C">
        <w:rPr>
          <w:shd w:val="clear" w:color="auto" w:fill="FFFFFF"/>
        </w:rPr>
        <w:t>A fusão é constitucional</w:t>
      </w:r>
      <w:r w:rsidR="00973A09" w:rsidRPr="0071761C">
        <w:rPr>
          <w:shd w:val="clear" w:color="auto" w:fill="FFFFFF"/>
        </w:rPr>
        <w:t>,</w:t>
      </w:r>
      <w:r w:rsidR="00166537" w:rsidRPr="0071761C">
        <w:rPr>
          <w:shd w:val="clear" w:color="auto" w:fill="FFFFFF"/>
        </w:rPr>
        <w:t xml:space="preserve"> pois segundo as empresas envolvidas no caso com a ‘’unificação da expertise de CBD e Casas Bahia permitirá às partes capturar sinergias important</w:t>
      </w:r>
      <w:r w:rsidR="00166537" w:rsidRPr="0071761C">
        <w:rPr>
          <w:shd w:val="clear" w:color="auto" w:fill="FAFBFB"/>
        </w:rPr>
        <w:t>es para, em um cenário de ampliação do acesso ao crédito e à luz das recentes associações do setor financeiro, incrementar sua atuação no varejo de bens duráveis no Brasil. A operação as garantirá maior poder de negociação em face da concentração de seus fornecedores, com ganhos de escalas e aumento de eficiências comerciais, decorrente da identificação das melhores práticas administrativas e comerciais de ambas as companhias, com claros ganhos ao consumidor também por essa razão</w:t>
      </w:r>
      <w:r w:rsidR="00166537" w:rsidRPr="0071761C">
        <w:rPr>
          <w:rStyle w:val="Refdenotaderodap"/>
          <w:shd w:val="clear" w:color="auto" w:fill="FAFBFB"/>
        </w:rPr>
        <w:footnoteReference w:id="6"/>
      </w:r>
      <w:r w:rsidR="0071761C" w:rsidRPr="0071761C">
        <w:rPr>
          <w:shd w:val="clear" w:color="auto" w:fill="FAFBFB"/>
        </w:rPr>
        <w:t>’’.</w:t>
      </w:r>
    </w:p>
    <w:p w:rsidR="0071761C" w:rsidRPr="000A6525" w:rsidRDefault="0071761C" w:rsidP="000A6525">
      <w:pPr>
        <w:spacing w:after="0" w:line="336" w:lineRule="auto"/>
        <w:ind w:firstLine="1134"/>
        <w:jc w:val="both"/>
        <w:rPr>
          <w:rFonts w:ascii="Times New Roman" w:hAnsi="Times New Roman" w:cs="Times New Roman"/>
          <w:sz w:val="24"/>
          <w:szCs w:val="24"/>
          <w:shd w:val="clear" w:color="auto" w:fill="FAFBFB"/>
        </w:rPr>
      </w:pPr>
      <w:r w:rsidRPr="0071761C">
        <w:rPr>
          <w:rFonts w:ascii="Times New Roman" w:hAnsi="Times New Roman" w:cs="Times New Roman"/>
          <w:sz w:val="24"/>
          <w:szCs w:val="24"/>
          <w:shd w:val="clear" w:color="auto" w:fill="FAFBFB"/>
        </w:rPr>
        <w:t xml:space="preserve"> Desta forma, a fusão trouxe um beneficio ainda maior para as empresas envolvidas e o mercado em geral</w:t>
      </w:r>
      <w:r>
        <w:rPr>
          <w:rFonts w:ascii="Times New Roman" w:hAnsi="Times New Roman" w:cs="Times New Roman"/>
          <w:sz w:val="24"/>
          <w:szCs w:val="24"/>
          <w:shd w:val="clear" w:color="auto" w:fill="FAFBFB"/>
        </w:rPr>
        <w:t xml:space="preserve">, o </w:t>
      </w:r>
      <w:proofErr w:type="spellStart"/>
      <w:r>
        <w:rPr>
          <w:rFonts w:ascii="Times New Roman" w:hAnsi="Times New Roman" w:cs="Times New Roman"/>
          <w:sz w:val="24"/>
          <w:szCs w:val="24"/>
          <w:shd w:val="clear" w:color="auto" w:fill="FAFBFB"/>
        </w:rPr>
        <w:t>Cade</w:t>
      </w:r>
      <w:proofErr w:type="spellEnd"/>
      <w:r>
        <w:rPr>
          <w:rFonts w:ascii="Times New Roman" w:hAnsi="Times New Roman" w:cs="Times New Roman"/>
          <w:sz w:val="24"/>
          <w:szCs w:val="24"/>
          <w:shd w:val="clear" w:color="auto" w:fill="FAFBFB"/>
        </w:rPr>
        <w:t xml:space="preserve"> para autorizar a fusão dessas grandes empresas e que não viesse a causar nenhum prejuízo ao mercado de concorrência, ou seja, a concentração de mercado nas mãos da Via Varejo</w:t>
      </w:r>
      <w:proofErr w:type="gramStart"/>
      <w:r>
        <w:rPr>
          <w:rFonts w:ascii="Times New Roman" w:hAnsi="Times New Roman" w:cs="Times New Roman"/>
          <w:sz w:val="24"/>
          <w:szCs w:val="24"/>
          <w:shd w:val="clear" w:color="auto" w:fill="FAFBFB"/>
        </w:rPr>
        <w:t>, exigiu</w:t>
      </w:r>
      <w:proofErr w:type="gramEnd"/>
      <w:r>
        <w:rPr>
          <w:rFonts w:ascii="Times New Roman" w:hAnsi="Times New Roman" w:cs="Times New Roman"/>
          <w:sz w:val="24"/>
          <w:szCs w:val="24"/>
          <w:shd w:val="clear" w:color="auto" w:fill="FAFBFB"/>
        </w:rPr>
        <w:t xml:space="preserve"> que a mesma </w:t>
      </w:r>
      <w:r w:rsidRPr="0071761C">
        <w:rPr>
          <w:rFonts w:ascii="Times New Roman" w:hAnsi="Times New Roman" w:cs="Times New Roman"/>
          <w:sz w:val="24"/>
          <w:szCs w:val="24"/>
          <w:shd w:val="clear" w:color="auto" w:fill="FAFBFB"/>
        </w:rPr>
        <w:t xml:space="preserve">se </w:t>
      </w:r>
      <w:r w:rsidR="000A6525">
        <w:rPr>
          <w:rFonts w:ascii="Times New Roman" w:hAnsi="Times New Roman" w:cs="Times New Roman"/>
          <w:sz w:val="24"/>
          <w:szCs w:val="24"/>
          <w:shd w:val="clear" w:color="auto" w:fill="FAFBFB"/>
        </w:rPr>
        <w:t xml:space="preserve">comprometesse a vender 74 pontos comerciais em 54 municípios, pois com base no conselheiro relator </w:t>
      </w:r>
      <w:r w:rsidRPr="0071761C">
        <w:rPr>
          <w:rFonts w:ascii="Times New Roman" w:hAnsi="Times New Roman" w:cs="Times New Roman"/>
          <w:sz w:val="24"/>
          <w:szCs w:val="24"/>
          <w:shd w:val="clear" w:color="auto" w:fill="FAFBFB"/>
        </w:rPr>
        <w:t xml:space="preserve">Marcos Paulo Verissimo, o desinvestimento por parte da Via Varejo se faz necessário porque, juntas, Casas Bahia e Ponto Frio apresentam participação de mercado – varejo de bens duráveis e multiprodutos – superior a 60% nesses municípios. Foi realizado o Termo de Compromisso de Desempenho que caracteriza </w:t>
      </w:r>
      <w:r>
        <w:rPr>
          <w:rFonts w:ascii="Times New Roman" w:hAnsi="Times New Roman" w:cs="Times New Roman"/>
          <w:sz w:val="24"/>
          <w:szCs w:val="24"/>
          <w:shd w:val="clear" w:color="auto" w:fill="FAFBFB"/>
        </w:rPr>
        <w:t xml:space="preserve">um </w:t>
      </w:r>
      <w:r w:rsidRPr="0071761C">
        <w:rPr>
          <w:rFonts w:ascii="Times New Roman" w:hAnsi="Times New Roman" w:cs="Times New Roman"/>
          <w:sz w:val="24"/>
          <w:szCs w:val="24"/>
        </w:rPr>
        <w:t xml:space="preserve">nome técnico do acordo e tem sido uma ferramenta usada pelo tribunal administrativo para evitar que suas decisões, quando desagradam às empresas, acabem parando na Justiça e demorem ainda mais tempo para serem aplicadas. De qualquer forma, o Broadcast apurou que o TCD é visto </w:t>
      </w:r>
      <w:r w:rsidRPr="0071761C">
        <w:rPr>
          <w:rFonts w:ascii="Times New Roman" w:hAnsi="Times New Roman" w:cs="Times New Roman"/>
          <w:sz w:val="24"/>
          <w:szCs w:val="24"/>
        </w:rPr>
        <w:lastRenderedPageBreak/>
        <w:t>como "uma grande</w:t>
      </w:r>
      <w:r w:rsidRPr="0094720D">
        <w:rPr>
          <w:rFonts w:ascii="Times New Roman" w:hAnsi="Times New Roman" w:cs="Times New Roman"/>
          <w:sz w:val="24"/>
          <w:szCs w:val="24"/>
        </w:rPr>
        <w:t xml:space="preserve"> intervenção" no varejo e que seus itens proporcionarão a oportunidade do fortalecimento de novos players nesses mercados</w:t>
      </w:r>
      <w:r>
        <w:rPr>
          <w:rStyle w:val="Refdenotaderodap"/>
          <w:rFonts w:ascii="Times New Roman" w:hAnsi="Times New Roman" w:cs="Times New Roman"/>
          <w:sz w:val="24"/>
          <w:szCs w:val="24"/>
        </w:rPr>
        <w:footnoteReference w:id="7"/>
      </w:r>
      <w:r w:rsidRPr="0094720D">
        <w:rPr>
          <w:rFonts w:ascii="Times New Roman" w:hAnsi="Times New Roman" w:cs="Times New Roman"/>
          <w:sz w:val="24"/>
          <w:szCs w:val="24"/>
        </w:rPr>
        <w:t>.</w:t>
      </w:r>
      <w:r>
        <w:rPr>
          <w:rFonts w:ascii="Times New Roman" w:hAnsi="Times New Roman" w:cs="Times New Roman"/>
          <w:sz w:val="24"/>
          <w:szCs w:val="24"/>
        </w:rPr>
        <w:t xml:space="preserve"> </w:t>
      </w:r>
    </w:p>
    <w:p w:rsidR="00973A09" w:rsidRPr="000A6525" w:rsidRDefault="0071761C" w:rsidP="000A6525">
      <w:pPr>
        <w:spacing w:after="0" w:line="336"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 com a fusão foi criada a </w:t>
      </w:r>
      <w:r w:rsidRPr="0071761C">
        <w:rPr>
          <w:rFonts w:ascii="Times New Roman" w:hAnsi="Times New Roman" w:cs="Times New Roman"/>
          <w:sz w:val="24"/>
          <w:szCs w:val="24"/>
        </w:rPr>
        <w:t>holding</w:t>
      </w:r>
      <w:r>
        <w:rPr>
          <w:rFonts w:ascii="Times New Roman" w:hAnsi="Times New Roman" w:cs="Times New Roman"/>
          <w:sz w:val="24"/>
          <w:szCs w:val="24"/>
        </w:rPr>
        <w:t xml:space="preserve">, no qual, constitui </w:t>
      </w:r>
      <w:r w:rsidR="005F7427">
        <w:rPr>
          <w:rFonts w:ascii="Times New Roman" w:hAnsi="Times New Roman" w:cs="Times New Roman"/>
          <w:sz w:val="24"/>
          <w:szCs w:val="24"/>
        </w:rPr>
        <w:t>d</w:t>
      </w:r>
      <w:r w:rsidRPr="0094720D">
        <w:rPr>
          <w:rFonts w:ascii="Times New Roman" w:hAnsi="Times New Roman" w:cs="Times New Roman"/>
          <w:sz w:val="24"/>
          <w:szCs w:val="24"/>
        </w:rPr>
        <w:t xml:space="preserve">epois de todas as operações consolidadas, o Pão de Açúcar criou </w:t>
      </w:r>
      <w:proofErr w:type="gramStart"/>
      <w:r w:rsidRPr="0094720D">
        <w:rPr>
          <w:rFonts w:ascii="Times New Roman" w:hAnsi="Times New Roman" w:cs="Times New Roman"/>
          <w:sz w:val="24"/>
          <w:szCs w:val="24"/>
        </w:rPr>
        <w:t>uma holding</w:t>
      </w:r>
      <w:proofErr w:type="gramEnd"/>
      <w:r w:rsidRPr="0094720D">
        <w:rPr>
          <w:rFonts w:ascii="Times New Roman" w:hAnsi="Times New Roman" w:cs="Times New Roman"/>
          <w:sz w:val="24"/>
          <w:szCs w:val="24"/>
        </w:rPr>
        <w:t>, a Via</w:t>
      </w:r>
      <w:r>
        <w:rPr>
          <w:rFonts w:ascii="Times New Roman" w:hAnsi="Times New Roman" w:cs="Times New Roman"/>
          <w:sz w:val="24"/>
          <w:szCs w:val="24"/>
        </w:rPr>
        <w:t xml:space="preserve"> </w:t>
      </w:r>
      <w:r w:rsidRPr="0094720D">
        <w:rPr>
          <w:rFonts w:ascii="Times New Roman" w:hAnsi="Times New Roman" w:cs="Times New Roman"/>
          <w:sz w:val="24"/>
          <w:szCs w:val="24"/>
        </w:rPr>
        <w:t xml:space="preserve">Varejo, que controla as lojas de Ponto Frio e Casas Bahia, além da Nova </w:t>
      </w:r>
      <w:proofErr w:type="spellStart"/>
      <w:r w:rsidRPr="0094720D">
        <w:rPr>
          <w:rFonts w:ascii="Times New Roman" w:hAnsi="Times New Roman" w:cs="Times New Roman"/>
          <w:sz w:val="24"/>
          <w:szCs w:val="24"/>
        </w:rPr>
        <w:t>Pontocom</w:t>
      </w:r>
      <w:proofErr w:type="spellEnd"/>
      <w:r w:rsidRPr="0094720D">
        <w:rPr>
          <w:rFonts w:ascii="Times New Roman" w:hAnsi="Times New Roman" w:cs="Times New Roman"/>
          <w:sz w:val="24"/>
          <w:szCs w:val="24"/>
        </w:rPr>
        <w:t>, empresa responsável pelas atividades das vendas das três marcas na internet.</w:t>
      </w:r>
      <w:r w:rsidRPr="0094720D">
        <w:t xml:space="preserve"> </w:t>
      </w:r>
      <w:r w:rsidRPr="0094720D">
        <w:rPr>
          <w:rFonts w:ascii="Times New Roman" w:hAnsi="Times New Roman" w:cs="Times New Roman"/>
          <w:sz w:val="24"/>
          <w:szCs w:val="24"/>
        </w:rPr>
        <w:t>Este tipo de empresa se caracteriza por controlar outras sociedades por meio de uma figura previamente definida, significando, de forma simples, aquela companhia que detém o controle acionário de outras</w:t>
      </w:r>
      <w:r w:rsidR="000A6525">
        <w:rPr>
          <w:rFonts w:ascii="Times New Roman" w:hAnsi="Times New Roman" w:cs="Times New Roman"/>
          <w:sz w:val="24"/>
          <w:szCs w:val="24"/>
        </w:rPr>
        <w:t>. Portanto, a fusão é constitucional e legal.</w:t>
      </w:r>
    </w:p>
    <w:p w:rsidR="00065EE8" w:rsidRDefault="00982A0C" w:rsidP="000A6525">
      <w:pPr>
        <w:pStyle w:val="NormalWeb"/>
        <w:spacing w:before="0" w:beforeAutospacing="0" w:after="0" w:afterAutospacing="0" w:line="360" w:lineRule="auto"/>
        <w:jc w:val="both"/>
        <w:rPr>
          <w:b/>
          <w:shd w:val="clear" w:color="auto" w:fill="FAFBFB"/>
        </w:rPr>
      </w:pPr>
      <w:r>
        <w:rPr>
          <w:b/>
        </w:rPr>
        <w:t>2.2.2</w:t>
      </w:r>
      <w:r w:rsidRPr="00982A0C">
        <w:rPr>
          <w:b/>
          <w:shd w:val="clear" w:color="auto" w:fill="FAFBFB"/>
        </w:rPr>
        <w:t xml:space="preserve"> </w:t>
      </w:r>
      <w:r>
        <w:rPr>
          <w:b/>
          <w:shd w:val="clear" w:color="auto" w:fill="FAFBFB"/>
        </w:rPr>
        <w:t xml:space="preserve">A Fusão das empresas Casas Bahia e Ponto Frio </w:t>
      </w:r>
      <w:proofErr w:type="gramStart"/>
      <w:r>
        <w:rPr>
          <w:b/>
          <w:shd w:val="clear" w:color="auto" w:fill="FAFBFB"/>
        </w:rPr>
        <w:t>é inconstitu</w:t>
      </w:r>
      <w:r w:rsidR="004876C1">
        <w:rPr>
          <w:b/>
          <w:shd w:val="clear" w:color="auto" w:fill="FAFBFB"/>
        </w:rPr>
        <w:t>cional</w:t>
      </w:r>
      <w:proofErr w:type="gramEnd"/>
      <w:r w:rsidR="004876C1">
        <w:rPr>
          <w:b/>
          <w:shd w:val="clear" w:color="auto" w:fill="FAFBFB"/>
        </w:rPr>
        <w:t xml:space="preserve"> e viola os preceitos do Direito E</w:t>
      </w:r>
      <w:r>
        <w:rPr>
          <w:b/>
          <w:shd w:val="clear" w:color="auto" w:fill="FAFBFB"/>
        </w:rPr>
        <w:t xml:space="preserve">conômico, como a </w:t>
      </w:r>
      <w:r w:rsidR="004876C1">
        <w:rPr>
          <w:b/>
          <w:shd w:val="clear" w:color="auto" w:fill="FAFBFB"/>
        </w:rPr>
        <w:t>livre</w:t>
      </w:r>
      <w:r>
        <w:rPr>
          <w:b/>
          <w:shd w:val="clear" w:color="auto" w:fill="FAFBFB"/>
        </w:rPr>
        <w:t xml:space="preserve"> concorrência</w:t>
      </w:r>
    </w:p>
    <w:p w:rsidR="00982A0C" w:rsidRDefault="00B05C04" w:rsidP="000A6525">
      <w:pPr>
        <w:pStyle w:val="NormalWeb"/>
        <w:spacing w:before="0" w:beforeAutospacing="0" w:after="0" w:afterAutospacing="0" w:line="336" w:lineRule="auto"/>
        <w:ind w:firstLine="1134"/>
        <w:jc w:val="both"/>
        <w:rPr>
          <w:shd w:val="clear" w:color="auto" w:fill="FAFBFB"/>
        </w:rPr>
      </w:pPr>
      <w:r>
        <w:rPr>
          <w:shd w:val="clear" w:color="auto" w:fill="FAFBFB"/>
        </w:rPr>
        <w:t xml:space="preserve">A Constituição Federal Brasileira de 1988 aborda princípios gerais da ordem econômica e estes, estão nos artigos 170 e 191, além disso, define as modalidades de intervenção do Estado na economia. No caput do art. 170, dispõe sobre a finalidade da ordem econômica, </w:t>
      </w:r>
      <w:r w:rsidR="004876C1">
        <w:rPr>
          <w:shd w:val="clear" w:color="auto" w:fill="FAFBFB"/>
        </w:rPr>
        <w:t xml:space="preserve">no qual, </w:t>
      </w:r>
      <w:r>
        <w:rPr>
          <w:shd w:val="clear" w:color="auto" w:fill="FAFBFB"/>
        </w:rPr>
        <w:t>assegura a todos uma exigência digna</w:t>
      </w:r>
      <w:r w:rsidR="004876C1">
        <w:rPr>
          <w:shd w:val="clear" w:color="auto" w:fill="FAFBFB"/>
        </w:rPr>
        <w:t xml:space="preserve"> tendo fundamentos na valorização do trabalho humano e a livre iniciativa. E</w:t>
      </w:r>
      <w:r>
        <w:rPr>
          <w:shd w:val="clear" w:color="auto" w:fill="FAFBFB"/>
        </w:rPr>
        <w:t>m relação à intervenção do Estado</w:t>
      </w:r>
      <w:r w:rsidR="004876C1">
        <w:rPr>
          <w:shd w:val="clear" w:color="auto" w:fill="FAFBFB"/>
        </w:rPr>
        <w:t xml:space="preserve"> </w:t>
      </w:r>
      <w:r w:rsidR="00B43FF8">
        <w:rPr>
          <w:shd w:val="clear" w:color="auto" w:fill="FAFBFB"/>
        </w:rPr>
        <w:t xml:space="preserve">tem </w:t>
      </w:r>
      <w:r>
        <w:rPr>
          <w:shd w:val="clear" w:color="auto" w:fill="FAFBFB"/>
        </w:rPr>
        <w:t xml:space="preserve">o intuito de proteger a ordem econômica de monopólios, cartéis, trustes e outras manobras prejudiciais à valorização do trabalho humano e à livre iniciativa. </w:t>
      </w:r>
    </w:p>
    <w:p w:rsidR="004876C1" w:rsidRDefault="004876C1" w:rsidP="000A6525">
      <w:pPr>
        <w:pStyle w:val="NormalWeb"/>
        <w:spacing w:before="0" w:beforeAutospacing="0" w:after="0" w:afterAutospacing="0" w:line="336" w:lineRule="auto"/>
        <w:ind w:firstLine="1134"/>
        <w:jc w:val="both"/>
        <w:rPr>
          <w:shd w:val="clear" w:color="auto" w:fill="FAFBFB"/>
        </w:rPr>
      </w:pPr>
      <w:r>
        <w:rPr>
          <w:shd w:val="clear" w:color="auto" w:fill="FAFBFB"/>
        </w:rPr>
        <w:t xml:space="preserve">Desse prisma, vale destacar o conceito de concorrência, conforme o autor Arthur </w:t>
      </w:r>
      <w:proofErr w:type="spellStart"/>
      <w:r>
        <w:rPr>
          <w:shd w:val="clear" w:color="auto" w:fill="FAFBFB"/>
        </w:rPr>
        <w:t>Zeger</w:t>
      </w:r>
      <w:proofErr w:type="spellEnd"/>
      <w:r>
        <w:rPr>
          <w:shd w:val="clear" w:color="auto" w:fill="FAFBFB"/>
        </w:rPr>
        <w:t xml:space="preserve"> (2010, p. 51) ressaltou</w:t>
      </w:r>
      <w:r w:rsidRPr="000A6525">
        <w:rPr>
          <w:shd w:val="clear" w:color="auto" w:fill="FAFBFB"/>
        </w:rPr>
        <w:t xml:space="preserve">: A proteção à concorrência não faz apenas com que os preços e quantidades tendem a convergir para o maior beneficio ao consumidor final, como propicia a igualdade de oportunidades nas disputas de mercado. </w:t>
      </w:r>
      <w:r w:rsidR="00973A09" w:rsidRPr="000A6525">
        <w:rPr>
          <w:shd w:val="clear" w:color="auto" w:fill="FAFBFB"/>
        </w:rPr>
        <w:t xml:space="preserve">Os órgãos de defesa da concorrência têm o dever de evitar que as grandes empresas usem seu poder econômico para fins </w:t>
      </w:r>
      <w:proofErr w:type="spellStart"/>
      <w:r w:rsidR="00973A09" w:rsidRPr="000A6525">
        <w:rPr>
          <w:shd w:val="clear" w:color="auto" w:fill="FAFBFB"/>
        </w:rPr>
        <w:t>anticoncorrenciais</w:t>
      </w:r>
      <w:proofErr w:type="spellEnd"/>
      <w:r w:rsidR="00973A09" w:rsidRPr="000A6525">
        <w:rPr>
          <w:shd w:val="clear" w:color="auto" w:fill="FAFBFB"/>
        </w:rPr>
        <w:t xml:space="preserve">, garantindo o direito de aproveitar as oportunidades de mercado. </w:t>
      </w:r>
    </w:p>
    <w:p w:rsidR="000A6525" w:rsidRPr="0072504B" w:rsidRDefault="00206544" w:rsidP="0072504B">
      <w:pPr>
        <w:pStyle w:val="NormalWeb"/>
        <w:spacing w:before="0" w:beforeAutospacing="0" w:after="0" w:afterAutospacing="0" w:line="336" w:lineRule="auto"/>
        <w:ind w:firstLine="1134"/>
        <w:jc w:val="both"/>
        <w:rPr>
          <w:shd w:val="clear" w:color="auto" w:fill="FAFBFB"/>
        </w:rPr>
      </w:pPr>
      <w:r>
        <w:rPr>
          <w:shd w:val="clear" w:color="auto" w:fill="FAFBFB"/>
        </w:rPr>
        <w:t xml:space="preserve">Diante disso, a fusão é totalmente </w:t>
      </w:r>
      <w:r w:rsidR="005F7427">
        <w:rPr>
          <w:shd w:val="clear" w:color="auto" w:fill="FAFBFB"/>
        </w:rPr>
        <w:t>in</w:t>
      </w:r>
      <w:r>
        <w:rPr>
          <w:shd w:val="clear" w:color="auto" w:fill="FAFBFB"/>
        </w:rPr>
        <w:t xml:space="preserve">constitucional, pois há uma enorme concentração de mercado nas mãos dessas empresas, fazendo com que seja desleal a concorrência com empresas menores. O </w:t>
      </w:r>
      <w:proofErr w:type="spellStart"/>
      <w:r>
        <w:rPr>
          <w:shd w:val="clear" w:color="auto" w:fill="FAFBFB"/>
        </w:rPr>
        <w:t>Cade</w:t>
      </w:r>
      <w:proofErr w:type="spellEnd"/>
      <w:r>
        <w:rPr>
          <w:shd w:val="clear" w:color="auto" w:fill="FAFBFB"/>
        </w:rPr>
        <w:t xml:space="preserve"> não agiu corretamente, não deveria ter autorizado </w:t>
      </w:r>
      <w:proofErr w:type="gramStart"/>
      <w:r>
        <w:rPr>
          <w:shd w:val="clear" w:color="auto" w:fill="FAFBFB"/>
        </w:rPr>
        <w:t>a</w:t>
      </w:r>
      <w:proofErr w:type="gramEnd"/>
      <w:r>
        <w:rPr>
          <w:shd w:val="clear" w:color="auto" w:fill="FAFBFB"/>
        </w:rPr>
        <w:t xml:space="preserve"> fusão, sendo que a Via Varejo tem porcentagem </w:t>
      </w:r>
      <w:r w:rsidR="0072504B">
        <w:rPr>
          <w:shd w:val="clear" w:color="auto" w:fill="FAFBFB"/>
        </w:rPr>
        <w:t>muito elevada em consideração à exigência da Lei nº 12.529/11. Com essa operação, há grandes riscos no mercado econômico</w:t>
      </w:r>
      <w:r w:rsidR="00E07542">
        <w:rPr>
          <w:shd w:val="clear" w:color="auto" w:fill="FAFBFB"/>
        </w:rPr>
        <w:t>, principalmente no que tange a livre concorrência e o monopólio de mercado.</w:t>
      </w:r>
    </w:p>
    <w:p w:rsidR="005123DE" w:rsidRPr="000A6525" w:rsidRDefault="00EB5859" w:rsidP="000A6525">
      <w:pPr>
        <w:tabs>
          <w:tab w:val="left" w:pos="284"/>
          <w:tab w:val="left" w:pos="567"/>
        </w:tabs>
        <w:spacing w:after="0" w:line="360" w:lineRule="auto"/>
        <w:jc w:val="both"/>
        <w:rPr>
          <w:rFonts w:ascii="Times New Roman" w:hAnsi="Times New Roman" w:cs="Times New Roman"/>
          <w:b/>
          <w:sz w:val="24"/>
          <w:szCs w:val="24"/>
        </w:rPr>
      </w:pPr>
      <w:proofErr w:type="gramStart"/>
      <w:r w:rsidRPr="005123DE">
        <w:rPr>
          <w:rFonts w:ascii="Times New Roman" w:eastAsia="Calibri" w:hAnsi="Times New Roman" w:cs="Times New Roman"/>
          <w:b/>
          <w:sz w:val="24"/>
        </w:rPr>
        <w:t>2</w:t>
      </w:r>
      <w:r>
        <w:rPr>
          <w:rFonts w:ascii="Times New Roman" w:eastAsia="Calibri" w:hAnsi="Times New Roman" w:cs="Times New Roman"/>
          <w:b/>
          <w:sz w:val="24"/>
        </w:rPr>
        <w:t>.</w:t>
      </w:r>
      <w:r w:rsidRPr="005123DE">
        <w:rPr>
          <w:rFonts w:ascii="Times New Roman" w:eastAsia="Calibri" w:hAnsi="Times New Roman" w:cs="Times New Roman"/>
          <w:b/>
          <w:sz w:val="24"/>
        </w:rPr>
        <w:t xml:space="preserve">3 </w:t>
      </w:r>
      <w:r w:rsidRPr="005123DE">
        <w:rPr>
          <w:rFonts w:ascii="Times New Roman" w:hAnsi="Times New Roman" w:cs="Times New Roman"/>
          <w:b/>
          <w:sz w:val="24"/>
          <w:szCs w:val="24"/>
        </w:rPr>
        <w:t>DESCRIÇÃO</w:t>
      </w:r>
      <w:proofErr w:type="gramEnd"/>
      <w:r w:rsidRPr="005123DE">
        <w:rPr>
          <w:rFonts w:ascii="Times New Roman" w:hAnsi="Times New Roman" w:cs="Times New Roman"/>
          <w:b/>
          <w:sz w:val="24"/>
          <w:szCs w:val="24"/>
        </w:rPr>
        <w:t xml:space="preserve"> DOS CRITÉRIOS E VALORES (EXPLÍCITOS E/OU IMPLÍCITOS) CONTIDOS NAS DECISÕES POSSÍVEIS:</w:t>
      </w:r>
    </w:p>
    <w:p w:rsidR="00973A09" w:rsidRPr="00AB4003" w:rsidRDefault="00E07542" w:rsidP="00AB400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 tratando da constitucionalidade, os valores referem-se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liberdade das empresas, a autonomia de mercado, benefícios para o mercado</w:t>
      </w:r>
      <w:r w:rsidR="005F7427">
        <w:rPr>
          <w:rFonts w:ascii="Times New Roman" w:hAnsi="Times New Roman" w:cs="Times New Roman"/>
          <w:sz w:val="24"/>
          <w:szCs w:val="24"/>
        </w:rPr>
        <w:t xml:space="preserve"> e amplitude dos negócios empresariais</w:t>
      </w:r>
      <w:r>
        <w:rPr>
          <w:rFonts w:ascii="Times New Roman" w:hAnsi="Times New Roman" w:cs="Times New Roman"/>
          <w:sz w:val="24"/>
          <w:szCs w:val="24"/>
        </w:rPr>
        <w:t xml:space="preserve">. No que se refere </w:t>
      </w:r>
      <w:r w:rsidR="00AB4003">
        <w:rPr>
          <w:rFonts w:ascii="Times New Roman" w:hAnsi="Times New Roman" w:cs="Times New Roman"/>
          <w:sz w:val="24"/>
          <w:szCs w:val="24"/>
        </w:rPr>
        <w:t>à</w:t>
      </w:r>
      <w:r>
        <w:rPr>
          <w:rFonts w:ascii="Times New Roman" w:hAnsi="Times New Roman" w:cs="Times New Roman"/>
          <w:sz w:val="24"/>
          <w:szCs w:val="24"/>
        </w:rPr>
        <w:t xml:space="preserve"> inconstitucionalidade</w:t>
      </w:r>
      <w:r w:rsidR="00AB4003">
        <w:rPr>
          <w:rFonts w:ascii="Times New Roman" w:hAnsi="Times New Roman" w:cs="Times New Roman"/>
          <w:sz w:val="24"/>
          <w:szCs w:val="24"/>
        </w:rPr>
        <w:t xml:space="preserve">, a fusão não pode prosperar em razão da </w:t>
      </w:r>
      <w:r w:rsidR="005F7427">
        <w:rPr>
          <w:rFonts w:ascii="Times New Roman" w:hAnsi="Times New Roman" w:cs="Times New Roman"/>
          <w:sz w:val="24"/>
          <w:szCs w:val="24"/>
        </w:rPr>
        <w:t xml:space="preserve">violação da livre </w:t>
      </w:r>
      <w:r w:rsidR="005F7427">
        <w:rPr>
          <w:rFonts w:ascii="Times New Roman" w:hAnsi="Times New Roman" w:cs="Times New Roman"/>
          <w:sz w:val="24"/>
          <w:szCs w:val="24"/>
        </w:rPr>
        <w:lastRenderedPageBreak/>
        <w:t>concorrência,</w:t>
      </w:r>
      <w:r w:rsidR="00AB4003">
        <w:rPr>
          <w:rFonts w:ascii="Times New Roman" w:hAnsi="Times New Roman" w:cs="Times New Roman"/>
          <w:sz w:val="24"/>
          <w:szCs w:val="24"/>
        </w:rPr>
        <w:t xml:space="preserve"> a possibilidade de monopólio</w:t>
      </w:r>
      <w:r w:rsidR="005F7427">
        <w:rPr>
          <w:rFonts w:ascii="Times New Roman" w:hAnsi="Times New Roman" w:cs="Times New Roman"/>
          <w:sz w:val="24"/>
          <w:szCs w:val="24"/>
        </w:rPr>
        <w:t xml:space="preserve"> e uma estimativa de desemprego, sendo que várias empresas vão ser fechadas</w:t>
      </w:r>
      <w:r w:rsidR="00AB4003">
        <w:rPr>
          <w:rFonts w:ascii="Times New Roman" w:hAnsi="Times New Roman" w:cs="Times New Roman"/>
          <w:sz w:val="24"/>
          <w:szCs w:val="24"/>
        </w:rPr>
        <w:t xml:space="preserve">. </w:t>
      </w:r>
    </w:p>
    <w:p w:rsidR="005F7427" w:rsidRDefault="005F7427" w:rsidP="002B4998">
      <w:pPr>
        <w:jc w:val="center"/>
        <w:rPr>
          <w:rFonts w:ascii="Times New Roman" w:hAnsi="Times New Roman" w:cs="Times New Roman"/>
          <w:b/>
          <w:sz w:val="24"/>
          <w:szCs w:val="24"/>
        </w:rPr>
      </w:pPr>
    </w:p>
    <w:p w:rsidR="002B4998" w:rsidRPr="00782DCB" w:rsidRDefault="002B4998" w:rsidP="002B4998">
      <w:pPr>
        <w:jc w:val="center"/>
        <w:rPr>
          <w:rFonts w:ascii="Times New Roman" w:hAnsi="Times New Roman" w:cs="Times New Roman"/>
          <w:b/>
          <w:sz w:val="24"/>
          <w:szCs w:val="24"/>
        </w:rPr>
      </w:pPr>
      <w:r w:rsidRPr="005123DE">
        <w:rPr>
          <w:rFonts w:ascii="Times New Roman" w:hAnsi="Times New Roman" w:cs="Times New Roman"/>
          <w:b/>
          <w:sz w:val="24"/>
          <w:szCs w:val="24"/>
        </w:rPr>
        <w:t>REFERÊNCIAS</w:t>
      </w:r>
    </w:p>
    <w:p w:rsidR="002B4998" w:rsidRPr="00782DCB" w:rsidRDefault="002B4998" w:rsidP="002B4998">
      <w:pPr>
        <w:jc w:val="both"/>
        <w:rPr>
          <w:rFonts w:ascii="Times New Roman" w:hAnsi="Times New Roman" w:cs="Times New Roman"/>
          <w:sz w:val="24"/>
          <w:szCs w:val="24"/>
        </w:rPr>
      </w:pPr>
    </w:p>
    <w:p w:rsidR="002B4998" w:rsidRDefault="002B4998" w:rsidP="002B4998">
      <w:pPr>
        <w:pStyle w:val="Textodenotaderodap"/>
        <w:jc w:val="both"/>
        <w:rPr>
          <w:rFonts w:ascii="Times New Roman" w:hAnsi="Times New Roman" w:cs="Times New Roman"/>
          <w:sz w:val="24"/>
          <w:szCs w:val="24"/>
        </w:rPr>
      </w:pPr>
      <w:r w:rsidRPr="00782DCB">
        <w:rPr>
          <w:rFonts w:ascii="Times New Roman" w:hAnsi="Times New Roman" w:cs="Times New Roman"/>
          <w:sz w:val="24"/>
          <w:szCs w:val="24"/>
        </w:rPr>
        <w:t xml:space="preserve">FROUFE, Célia. </w:t>
      </w:r>
      <w:r w:rsidRPr="00782DCB">
        <w:rPr>
          <w:rFonts w:ascii="Times New Roman" w:hAnsi="Times New Roman" w:cs="Times New Roman"/>
          <w:b/>
          <w:sz w:val="24"/>
          <w:szCs w:val="24"/>
        </w:rPr>
        <w:t xml:space="preserve">Para aprovar fusão, </w:t>
      </w:r>
      <w:proofErr w:type="spellStart"/>
      <w:r w:rsidRPr="00782DCB">
        <w:rPr>
          <w:rFonts w:ascii="Times New Roman" w:hAnsi="Times New Roman" w:cs="Times New Roman"/>
          <w:b/>
          <w:sz w:val="24"/>
          <w:szCs w:val="24"/>
        </w:rPr>
        <w:t>Cade</w:t>
      </w:r>
      <w:proofErr w:type="spellEnd"/>
      <w:r w:rsidRPr="00782DCB">
        <w:rPr>
          <w:rFonts w:ascii="Times New Roman" w:hAnsi="Times New Roman" w:cs="Times New Roman"/>
          <w:b/>
          <w:sz w:val="24"/>
          <w:szCs w:val="24"/>
        </w:rPr>
        <w:t xml:space="preserve"> quer venda de lojas do Ponto Frio e </w:t>
      </w:r>
      <w:proofErr w:type="gramStart"/>
      <w:r w:rsidRPr="00782DCB">
        <w:rPr>
          <w:rFonts w:ascii="Times New Roman" w:hAnsi="Times New Roman" w:cs="Times New Roman"/>
          <w:b/>
          <w:sz w:val="24"/>
          <w:szCs w:val="24"/>
        </w:rPr>
        <w:t>da Casas</w:t>
      </w:r>
      <w:proofErr w:type="gramEnd"/>
      <w:r w:rsidRPr="00782DCB">
        <w:rPr>
          <w:rFonts w:ascii="Times New Roman" w:hAnsi="Times New Roman" w:cs="Times New Roman"/>
          <w:b/>
          <w:sz w:val="24"/>
          <w:szCs w:val="24"/>
        </w:rPr>
        <w:t xml:space="preserve"> Bahia.</w:t>
      </w:r>
      <w:r w:rsidRPr="00782DCB">
        <w:rPr>
          <w:rFonts w:ascii="Times New Roman" w:hAnsi="Times New Roman" w:cs="Times New Roman"/>
          <w:sz w:val="24"/>
          <w:szCs w:val="24"/>
        </w:rPr>
        <w:t xml:space="preserve"> Disponível em: &lt; </w:t>
      </w:r>
      <w:proofErr w:type="gramStart"/>
      <w:r w:rsidRPr="00782DCB">
        <w:rPr>
          <w:rFonts w:ascii="Times New Roman" w:hAnsi="Times New Roman" w:cs="Times New Roman"/>
          <w:sz w:val="24"/>
          <w:szCs w:val="24"/>
        </w:rPr>
        <w:t>http://www.estadao.com.br/noticias/impresso,</w:t>
      </w:r>
      <w:proofErr w:type="gramEnd"/>
      <w:r w:rsidRPr="00782DCB">
        <w:rPr>
          <w:rFonts w:ascii="Times New Roman" w:hAnsi="Times New Roman" w:cs="Times New Roman"/>
          <w:sz w:val="24"/>
          <w:szCs w:val="24"/>
        </w:rPr>
        <w:t xml:space="preserve">para-aprovar-fusao-cade-quer-venda-de-lojas-do-ponto-frio-e-da-casas-bahia,1021907,0.htm &gt;. Acesso em 26 de março de 2014. </w:t>
      </w:r>
    </w:p>
    <w:p w:rsidR="002B4998" w:rsidRDefault="002B4998" w:rsidP="002B4998">
      <w:pPr>
        <w:pStyle w:val="Textodenotaderodap"/>
        <w:jc w:val="both"/>
        <w:rPr>
          <w:rFonts w:ascii="Times New Roman" w:hAnsi="Times New Roman" w:cs="Times New Roman"/>
          <w:sz w:val="24"/>
          <w:szCs w:val="24"/>
        </w:rPr>
      </w:pPr>
    </w:p>
    <w:p w:rsidR="002B4998" w:rsidRDefault="002B4998" w:rsidP="002B4998">
      <w:pPr>
        <w:spacing w:after="0"/>
        <w:jc w:val="both"/>
        <w:rPr>
          <w:rFonts w:ascii="Times New Roman" w:hAnsi="Times New Roman" w:cs="Times New Roman"/>
          <w:sz w:val="24"/>
          <w:szCs w:val="24"/>
        </w:rPr>
      </w:pPr>
      <w:r w:rsidRPr="00782DCB">
        <w:rPr>
          <w:rFonts w:ascii="Times New Roman" w:hAnsi="Times New Roman" w:cs="Times New Roman"/>
          <w:sz w:val="24"/>
          <w:szCs w:val="24"/>
        </w:rPr>
        <w:t xml:space="preserve">HUNGARO, Fernando Martinez. </w:t>
      </w:r>
      <w:r w:rsidRPr="00782DCB">
        <w:rPr>
          <w:rFonts w:ascii="Times New Roman" w:hAnsi="Times New Roman" w:cs="Times New Roman"/>
          <w:b/>
          <w:sz w:val="24"/>
          <w:szCs w:val="24"/>
        </w:rPr>
        <w:t xml:space="preserve">A figura das empresas Holding como forma de proteção patrimonial, planejamento sucessório e controle de grupos empresariais. </w:t>
      </w:r>
      <w:r w:rsidRPr="00782DCB">
        <w:rPr>
          <w:rFonts w:ascii="Times New Roman" w:hAnsi="Times New Roman" w:cs="Times New Roman"/>
          <w:sz w:val="24"/>
          <w:szCs w:val="24"/>
        </w:rPr>
        <w:t xml:space="preserve">Disponível em: &lt; </w:t>
      </w:r>
      <w:proofErr w:type="gramStart"/>
      <w:r w:rsidRPr="00782DCB">
        <w:rPr>
          <w:rFonts w:ascii="Times New Roman" w:hAnsi="Times New Roman" w:cs="Times New Roman"/>
          <w:sz w:val="24"/>
          <w:szCs w:val="24"/>
        </w:rPr>
        <w:t>http://intertemas.unitoledo.br/revista/index.</w:t>
      </w:r>
      <w:proofErr w:type="gramEnd"/>
      <w:r w:rsidRPr="00782DCB">
        <w:rPr>
          <w:rFonts w:ascii="Times New Roman" w:hAnsi="Times New Roman" w:cs="Times New Roman"/>
          <w:sz w:val="24"/>
          <w:szCs w:val="24"/>
        </w:rPr>
        <w:t xml:space="preserve">php/ETIC/article/viewFile/2231/2395 &gt;. Acesso em 26 de Março de 2014. </w:t>
      </w:r>
    </w:p>
    <w:p w:rsidR="002B4998" w:rsidRDefault="002B4998" w:rsidP="002B4998">
      <w:pPr>
        <w:spacing w:after="0"/>
        <w:jc w:val="both"/>
        <w:rPr>
          <w:rFonts w:ascii="Times New Roman" w:hAnsi="Times New Roman" w:cs="Times New Roman"/>
          <w:sz w:val="24"/>
          <w:szCs w:val="24"/>
        </w:rPr>
      </w:pPr>
    </w:p>
    <w:p w:rsidR="002B4998" w:rsidRDefault="002B4998" w:rsidP="002B4998">
      <w:pPr>
        <w:spacing w:after="0"/>
        <w:jc w:val="both"/>
        <w:rPr>
          <w:rFonts w:ascii="Times New Roman" w:hAnsi="Times New Roman" w:cs="Times New Roman"/>
          <w:sz w:val="24"/>
          <w:szCs w:val="24"/>
        </w:rPr>
      </w:pPr>
      <w:r>
        <w:rPr>
          <w:rFonts w:ascii="Times New Roman" w:hAnsi="Times New Roman" w:cs="Times New Roman"/>
          <w:sz w:val="24"/>
          <w:szCs w:val="24"/>
        </w:rPr>
        <w:t xml:space="preserve">PORTAL DO CADE. </w:t>
      </w:r>
      <w:r>
        <w:rPr>
          <w:rFonts w:ascii="Times New Roman" w:hAnsi="Times New Roman" w:cs="Times New Roman"/>
          <w:b/>
          <w:sz w:val="24"/>
          <w:szCs w:val="24"/>
        </w:rPr>
        <w:t xml:space="preserve">Conselho administrativo de Defesa Econômica. </w:t>
      </w:r>
      <w:r>
        <w:rPr>
          <w:rFonts w:ascii="Times New Roman" w:hAnsi="Times New Roman" w:cs="Times New Roman"/>
          <w:sz w:val="24"/>
          <w:szCs w:val="24"/>
        </w:rPr>
        <w:t>Disponível em: &lt;</w:t>
      </w:r>
      <w:r w:rsidRPr="00782DCB">
        <w:t xml:space="preserve"> </w:t>
      </w:r>
      <w:r w:rsidRPr="00782DCB">
        <w:rPr>
          <w:rFonts w:ascii="Times New Roman" w:hAnsi="Times New Roman" w:cs="Times New Roman"/>
          <w:sz w:val="24"/>
          <w:szCs w:val="24"/>
        </w:rPr>
        <w:t>http://www.cade.gov.br/</w:t>
      </w:r>
      <w:r>
        <w:rPr>
          <w:rFonts w:ascii="Times New Roman" w:hAnsi="Times New Roman" w:cs="Times New Roman"/>
          <w:sz w:val="24"/>
          <w:szCs w:val="24"/>
        </w:rPr>
        <w:t xml:space="preserve">&gt;. Acesso em 26 de março de 2014. </w:t>
      </w:r>
    </w:p>
    <w:p w:rsidR="002B4998" w:rsidRDefault="002B4998" w:rsidP="002B4998">
      <w:pPr>
        <w:pStyle w:val="Textodenotaderodap"/>
        <w:jc w:val="both"/>
        <w:rPr>
          <w:rFonts w:ascii="Times New Roman" w:hAnsi="Times New Roman" w:cs="Times New Roman"/>
          <w:sz w:val="24"/>
          <w:szCs w:val="24"/>
        </w:rPr>
      </w:pPr>
    </w:p>
    <w:p w:rsidR="002B4998" w:rsidRDefault="002B4998" w:rsidP="002B4998">
      <w:pPr>
        <w:pStyle w:val="Textodenotaderodap"/>
        <w:jc w:val="both"/>
        <w:rPr>
          <w:rFonts w:ascii="Times New Roman" w:hAnsi="Times New Roman" w:cs="Times New Roman"/>
          <w:sz w:val="24"/>
          <w:szCs w:val="24"/>
        </w:rPr>
      </w:pPr>
      <w:r w:rsidRPr="00782DCB">
        <w:rPr>
          <w:rFonts w:ascii="Times New Roman" w:hAnsi="Times New Roman" w:cs="Times New Roman"/>
          <w:sz w:val="24"/>
          <w:szCs w:val="24"/>
        </w:rPr>
        <w:t xml:space="preserve">NASI, </w:t>
      </w:r>
      <w:proofErr w:type="spellStart"/>
      <w:r w:rsidRPr="00782DCB">
        <w:rPr>
          <w:rFonts w:ascii="Times New Roman" w:hAnsi="Times New Roman" w:cs="Times New Roman"/>
          <w:sz w:val="24"/>
          <w:szCs w:val="24"/>
        </w:rPr>
        <w:t>Antonio</w:t>
      </w:r>
      <w:proofErr w:type="spellEnd"/>
      <w:r w:rsidRPr="00782DCB">
        <w:rPr>
          <w:rFonts w:ascii="Times New Roman" w:hAnsi="Times New Roman" w:cs="Times New Roman"/>
          <w:sz w:val="24"/>
          <w:szCs w:val="24"/>
        </w:rPr>
        <w:t xml:space="preserve"> Carlos. </w:t>
      </w:r>
      <w:r w:rsidRPr="00782DCB">
        <w:rPr>
          <w:rFonts w:ascii="Times New Roman" w:hAnsi="Times New Roman" w:cs="Times New Roman"/>
          <w:b/>
          <w:sz w:val="24"/>
          <w:szCs w:val="24"/>
        </w:rPr>
        <w:t xml:space="preserve">Incorporação, fusão, cisão, joint venture. </w:t>
      </w:r>
      <w:r w:rsidRPr="00782DCB">
        <w:rPr>
          <w:rFonts w:ascii="Times New Roman" w:hAnsi="Times New Roman" w:cs="Times New Roman"/>
          <w:sz w:val="24"/>
          <w:szCs w:val="24"/>
        </w:rPr>
        <w:t xml:space="preserve">Disponível em: &lt; http://www.nardonnasi.com.br/images/stories/artigos/pdf/Incorporacao_Fusao_Cisao_Joint-Venture.pdf &gt;. Acesso em 26 de março de 2014. </w:t>
      </w:r>
    </w:p>
    <w:p w:rsidR="002B4998" w:rsidRPr="00782DCB" w:rsidRDefault="002B4998" w:rsidP="002B4998">
      <w:pPr>
        <w:pStyle w:val="Textodenotaderodap"/>
        <w:jc w:val="both"/>
        <w:rPr>
          <w:rFonts w:ascii="Times New Roman" w:hAnsi="Times New Roman" w:cs="Times New Roman"/>
          <w:sz w:val="24"/>
          <w:szCs w:val="24"/>
        </w:rPr>
      </w:pPr>
    </w:p>
    <w:p w:rsidR="002B4998" w:rsidRDefault="002B4998" w:rsidP="00D14817">
      <w:pPr>
        <w:spacing w:line="360" w:lineRule="auto"/>
        <w:jc w:val="both"/>
        <w:rPr>
          <w:rFonts w:ascii="Times New Roman" w:hAnsi="Times New Roman" w:cs="Times New Roman"/>
          <w:color w:val="FF0000"/>
          <w:sz w:val="24"/>
          <w:szCs w:val="24"/>
        </w:rPr>
      </w:pPr>
    </w:p>
    <w:p w:rsidR="002B4998" w:rsidRDefault="002B4998" w:rsidP="00D14817">
      <w:pPr>
        <w:spacing w:line="360" w:lineRule="auto"/>
        <w:jc w:val="both"/>
        <w:rPr>
          <w:rFonts w:ascii="Times New Roman" w:hAnsi="Times New Roman" w:cs="Times New Roman"/>
          <w:color w:val="FF0000"/>
          <w:sz w:val="24"/>
          <w:szCs w:val="24"/>
        </w:rPr>
      </w:pPr>
    </w:p>
    <w:p w:rsidR="002B4998" w:rsidRDefault="002B4998" w:rsidP="00D14817">
      <w:pPr>
        <w:spacing w:line="360" w:lineRule="auto"/>
        <w:jc w:val="both"/>
        <w:rPr>
          <w:rFonts w:ascii="Times New Roman" w:hAnsi="Times New Roman" w:cs="Times New Roman"/>
          <w:color w:val="FF0000"/>
          <w:sz w:val="24"/>
          <w:szCs w:val="24"/>
        </w:rPr>
      </w:pPr>
    </w:p>
    <w:p w:rsidR="00B546C9" w:rsidRPr="008A2B84" w:rsidRDefault="00B546C9" w:rsidP="00B546C9">
      <w:pPr>
        <w:jc w:val="both"/>
        <w:rPr>
          <w:rFonts w:ascii="Times New Roman" w:hAnsi="Times New Roman" w:cs="Times New Roman"/>
          <w:sz w:val="24"/>
          <w:szCs w:val="24"/>
        </w:rPr>
      </w:pPr>
    </w:p>
    <w:sectPr w:rsidR="00B546C9" w:rsidRPr="008A2B84" w:rsidSect="00AB4003">
      <w:headerReference w:type="default" r:id="rId9"/>
      <w:pgSz w:w="11906" w:h="16838"/>
      <w:pgMar w:top="1560" w:right="1133"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FF8" w:rsidRDefault="00203FF8" w:rsidP="00484DED">
      <w:pPr>
        <w:spacing w:after="0" w:line="240" w:lineRule="auto"/>
      </w:pPr>
      <w:r>
        <w:separator/>
      </w:r>
    </w:p>
  </w:endnote>
  <w:endnote w:type="continuationSeparator" w:id="0">
    <w:p w:rsidR="00203FF8" w:rsidRDefault="00203FF8" w:rsidP="00484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FF8" w:rsidRDefault="00203FF8" w:rsidP="00484DED">
      <w:pPr>
        <w:spacing w:after="0" w:line="240" w:lineRule="auto"/>
      </w:pPr>
      <w:r>
        <w:separator/>
      </w:r>
    </w:p>
  </w:footnote>
  <w:footnote w:type="continuationSeparator" w:id="0">
    <w:p w:rsidR="00203FF8" w:rsidRDefault="00203FF8" w:rsidP="00484DED">
      <w:pPr>
        <w:spacing w:after="0" w:line="240" w:lineRule="auto"/>
      </w:pPr>
      <w:r>
        <w:continuationSeparator/>
      </w:r>
    </w:p>
  </w:footnote>
  <w:footnote w:id="1">
    <w:p w:rsidR="0071761C" w:rsidRPr="00484DED" w:rsidRDefault="0071761C">
      <w:pPr>
        <w:pStyle w:val="Textodenotaderodap"/>
        <w:rPr>
          <w:rFonts w:ascii="Times New Roman" w:hAnsi="Times New Roman" w:cs="Times New Roman"/>
        </w:rPr>
      </w:pPr>
      <w:r w:rsidRPr="00484DED">
        <w:rPr>
          <w:rStyle w:val="Refdenotaderodap"/>
          <w:rFonts w:ascii="Times New Roman" w:hAnsi="Times New Roman" w:cs="Times New Roman"/>
        </w:rPr>
        <w:footnoteRef/>
      </w:r>
      <w:r w:rsidRPr="00484DED">
        <w:rPr>
          <w:rFonts w:ascii="Times New Roman" w:hAnsi="Times New Roman" w:cs="Times New Roman"/>
        </w:rPr>
        <w:t xml:space="preserve"> Case apresentado à disciplina </w:t>
      </w:r>
      <w:r>
        <w:rPr>
          <w:rFonts w:ascii="Times New Roman" w:hAnsi="Times New Roman" w:cs="Times New Roman"/>
        </w:rPr>
        <w:t>Direito Econômico</w:t>
      </w:r>
      <w:r w:rsidRPr="00484DED">
        <w:rPr>
          <w:rFonts w:ascii="Times New Roman" w:hAnsi="Times New Roman" w:cs="Times New Roman"/>
        </w:rPr>
        <w:t>, da Unidade de Ensino Superior Dom Bosco - UNDB.</w:t>
      </w:r>
    </w:p>
  </w:footnote>
  <w:footnote w:id="2">
    <w:p w:rsidR="0071761C" w:rsidRPr="00484DED" w:rsidRDefault="0071761C">
      <w:pPr>
        <w:pStyle w:val="Textodenotaderodap"/>
        <w:rPr>
          <w:rFonts w:ascii="Times New Roman" w:hAnsi="Times New Roman" w:cs="Times New Roman"/>
        </w:rPr>
      </w:pPr>
      <w:r w:rsidRPr="00484DED">
        <w:rPr>
          <w:rStyle w:val="Refdenotaderodap"/>
          <w:rFonts w:ascii="Times New Roman" w:hAnsi="Times New Roman" w:cs="Times New Roman"/>
        </w:rPr>
        <w:footnoteRef/>
      </w:r>
      <w:r w:rsidR="00F051A6">
        <w:rPr>
          <w:rFonts w:ascii="Times New Roman" w:hAnsi="Times New Roman" w:cs="Times New Roman"/>
        </w:rPr>
        <w:t xml:space="preserve"> </w:t>
      </w:r>
      <w:r w:rsidR="00F051A6">
        <w:rPr>
          <w:rFonts w:ascii="Times New Roman" w:hAnsi="Times New Roman" w:cs="Times New Roman"/>
        </w:rPr>
        <w:t>Alunos</w:t>
      </w:r>
      <w:bookmarkStart w:id="0" w:name="_GoBack"/>
      <w:bookmarkEnd w:id="0"/>
      <w:r>
        <w:rPr>
          <w:rFonts w:ascii="Times New Roman" w:hAnsi="Times New Roman" w:cs="Times New Roman"/>
        </w:rPr>
        <w:t xml:space="preserve"> do 8</w:t>
      </w:r>
      <w:r w:rsidRPr="00484DED">
        <w:rPr>
          <w:rFonts w:ascii="Times New Roman" w:hAnsi="Times New Roman" w:cs="Times New Roman"/>
        </w:rPr>
        <w:t>º período vespertino, do Curso de Direito, da UNDB</w:t>
      </w:r>
    </w:p>
  </w:footnote>
  <w:footnote w:id="3">
    <w:p w:rsidR="0071761C" w:rsidRPr="00484DED" w:rsidRDefault="0071761C">
      <w:pPr>
        <w:pStyle w:val="Textodenotaderodap"/>
        <w:rPr>
          <w:rFonts w:ascii="Times New Roman" w:hAnsi="Times New Roman" w:cs="Times New Roman"/>
        </w:rPr>
      </w:pPr>
      <w:r w:rsidRPr="00484DED">
        <w:rPr>
          <w:rStyle w:val="Refdenotaderodap"/>
          <w:rFonts w:ascii="Times New Roman" w:hAnsi="Times New Roman" w:cs="Times New Roman"/>
        </w:rPr>
        <w:footnoteRef/>
      </w:r>
      <w:r>
        <w:rPr>
          <w:rFonts w:ascii="Times New Roman" w:hAnsi="Times New Roman" w:cs="Times New Roman"/>
        </w:rPr>
        <w:t xml:space="preserve"> Professor mestre</w:t>
      </w:r>
      <w:r w:rsidRPr="00484DED">
        <w:rPr>
          <w:rFonts w:ascii="Times New Roman" w:hAnsi="Times New Roman" w:cs="Times New Roman"/>
        </w:rPr>
        <w:t xml:space="preserve">, orientador. </w:t>
      </w:r>
    </w:p>
  </w:footnote>
  <w:footnote w:id="4">
    <w:p w:rsidR="0071761C" w:rsidRPr="00782DCB" w:rsidRDefault="0071761C" w:rsidP="00782DCB">
      <w:pPr>
        <w:pStyle w:val="Textodenotaderodap"/>
        <w:jc w:val="both"/>
        <w:rPr>
          <w:rFonts w:ascii="Times New Roman" w:hAnsi="Times New Roman" w:cs="Times New Roman"/>
        </w:rPr>
      </w:pPr>
      <w:r w:rsidRPr="00782DCB">
        <w:rPr>
          <w:rStyle w:val="Refdenotaderodap"/>
          <w:rFonts w:ascii="Times New Roman" w:hAnsi="Times New Roman" w:cs="Times New Roman"/>
        </w:rPr>
        <w:footnoteRef/>
      </w:r>
      <w:r w:rsidRPr="00782DCB">
        <w:rPr>
          <w:rFonts w:ascii="Times New Roman" w:hAnsi="Times New Roman" w:cs="Times New Roman"/>
        </w:rPr>
        <w:t xml:space="preserve"> NASI, </w:t>
      </w:r>
      <w:proofErr w:type="spellStart"/>
      <w:r w:rsidRPr="00782DCB">
        <w:rPr>
          <w:rFonts w:ascii="Times New Roman" w:hAnsi="Times New Roman" w:cs="Times New Roman"/>
        </w:rPr>
        <w:t>Antonio</w:t>
      </w:r>
      <w:proofErr w:type="spellEnd"/>
      <w:r w:rsidRPr="00782DCB">
        <w:rPr>
          <w:rFonts w:ascii="Times New Roman" w:hAnsi="Times New Roman" w:cs="Times New Roman"/>
        </w:rPr>
        <w:t xml:space="preserve"> Carlos. </w:t>
      </w:r>
      <w:r w:rsidRPr="00782DCB">
        <w:rPr>
          <w:rFonts w:ascii="Times New Roman" w:hAnsi="Times New Roman" w:cs="Times New Roman"/>
          <w:b/>
        </w:rPr>
        <w:t xml:space="preserve">Incorporação, fusão, cisão, joint venture. </w:t>
      </w:r>
      <w:r w:rsidRPr="00782DCB">
        <w:rPr>
          <w:rFonts w:ascii="Times New Roman" w:hAnsi="Times New Roman" w:cs="Times New Roman"/>
        </w:rPr>
        <w:t xml:space="preserve">Disponível em: &lt; http://www.nardonnasi.com.br/images/stories/artigos/pdf/Incorporacao_Fusao_Cisao_Joint-Venture.pdf &gt;. Acesso em 26 de março de 2014. </w:t>
      </w:r>
    </w:p>
  </w:footnote>
  <w:footnote w:id="5">
    <w:p w:rsidR="0071761C" w:rsidRPr="0071761C" w:rsidRDefault="0071761C" w:rsidP="00166537">
      <w:pPr>
        <w:spacing w:after="0"/>
        <w:jc w:val="both"/>
        <w:rPr>
          <w:rFonts w:ascii="Times New Roman" w:hAnsi="Times New Roman" w:cs="Times New Roman"/>
          <w:sz w:val="20"/>
          <w:szCs w:val="20"/>
        </w:rPr>
      </w:pPr>
      <w:r w:rsidRPr="00594C39">
        <w:rPr>
          <w:rStyle w:val="Refdenotaderodap"/>
          <w:rFonts w:ascii="Times New Roman" w:hAnsi="Times New Roman" w:cs="Times New Roman"/>
          <w:sz w:val="20"/>
          <w:szCs w:val="20"/>
        </w:rPr>
        <w:footnoteRef/>
      </w:r>
      <w:r w:rsidRPr="00594C39">
        <w:rPr>
          <w:rFonts w:ascii="Times New Roman" w:hAnsi="Times New Roman" w:cs="Times New Roman"/>
          <w:sz w:val="20"/>
          <w:szCs w:val="20"/>
        </w:rPr>
        <w:t xml:space="preserve"> PORTAL DO CADE. </w:t>
      </w:r>
      <w:r w:rsidRPr="00594C39">
        <w:rPr>
          <w:rFonts w:ascii="Times New Roman" w:hAnsi="Times New Roman" w:cs="Times New Roman"/>
          <w:b/>
          <w:sz w:val="20"/>
          <w:szCs w:val="20"/>
        </w:rPr>
        <w:t xml:space="preserve">Conselho administrativo de Defesa Econômica. </w:t>
      </w:r>
      <w:r w:rsidRPr="00594C39">
        <w:rPr>
          <w:rFonts w:ascii="Times New Roman" w:hAnsi="Times New Roman" w:cs="Times New Roman"/>
          <w:sz w:val="20"/>
          <w:szCs w:val="20"/>
        </w:rPr>
        <w:t>Disponível em: &lt;</w:t>
      </w:r>
      <w:r w:rsidRPr="00594C39">
        <w:rPr>
          <w:sz w:val="20"/>
          <w:szCs w:val="20"/>
        </w:rPr>
        <w:t xml:space="preserve"> </w:t>
      </w:r>
      <w:r w:rsidRPr="0071761C">
        <w:rPr>
          <w:rFonts w:ascii="Times New Roman" w:hAnsi="Times New Roman" w:cs="Times New Roman"/>
          <w:sz w:val="20"/>
          <w:szCs w:val="20"/>
        </w:rPr>
        <w:t xml:space="preserve">http://www.cade.gov.br/&gt;. Acesso em 26 de março de 2014. </w:t>
      </w:r>
    </w:p>
  </w:footnote>
  <w:footnote w:id="6">
    <w:p w:rsidR="0071761C" w:rsidRDefault="0071761C">
      <w:pPr>
        <w:pStyle w:val="Textodenotaderodap"/>
      </w:pPr>
      <w:r w:rsidRPr="0071761C">
        <w:rPr>
          <w:rStyle w:val="Refdenotaderodap"/>
          <w:rFonts w:ascii="Times New Roman" w:hAnsi="Times New Roman" w:cs="Times New Roman"/>
        </w:rPr>
        <w:footnoteRef/>
      </w:r>
      <w:r w:rsidRPr="0071761C">
        <w:rPr>
          <w:rFonts w:ascii="Times New Roman" w:hAnsi="Times New Roman" w:cs="Times New Roman"/>
        </w:rPr>
        <w:t xml:space="preserve"> MINISTÉRIO DA FAZENDA. </w:t>
      </w:r>
      <w:r w:rsidRPr="0071761C">
        <w:rPr>
          <w:rFonts w:ascii="Times New Roman" w:hAnsi="Times New Roman" w:cs="Times New Roman"/>
          <w:b/>
        </w:rPr>
        <w:t>Parecer nº 06249/2011/RJ</w:t>
      </w:r>
      <w:r w:rsidRPr="0071761C">
        <w:rPr>
          <w:rFonts w:ascii="Times New Roman" w:hAnsi="Times New Roman" w:cs="Times New Roman"/>
        </w:rPr>
        <w:t>. 24 de março de 2011.</w:t>
      </w:r>
      <w:r>
        <w:t xml:space="preserve"> </w:t>
      </w:r>
    </w:p>
  </w:footnote>
  <w:footnote w:id="7">
    <w:p w:rsidR="0071761C" w:rsidRPr="0071761C" w:rsidRDefault="0071761C" w:rsidP="0071761C">
      <w:pPr>
        <w:pStyle w:val="Textodenotaderodap"/>
        <w:rPr>
          <w:rFonts w:ascii="Times New Roman" w:hAnsi="Times New Roman" w:cs="Times New Roman"/>
        </w:rPr>
      </w:pPr>
      <w:r w:rsidRPr="0071761C">
        <w:rPr>
          <w:rStyle w:val="Refdenotaderodap"/>
          <w:rFonts w:ascii="Times New Roman" w:hAnsi="Times New Roman" w:cs="Times New Roman"/>
        </w:rPr>
        <w:footnoteRef/>
      </w:r>
      <w:r w:rsidRPr="0071761C">
        <w:rPr>
          <w:rFonts w:ascii="Times New Roman" w:hAnsi="Times New Roman" w:cs="Times New Roman"/>
        </w:rPr>
        <w:t xml:space="preserve"> FROUFE, Célia. </w:t>
      </w:r>
      <w:r w:rsidRPr="0071761C">
        <w:rPr>
          <w:rFonts w:ascii="Times New Roman" w:hAnsi="Times New Roman" w:cs="Times New Roman"/>
          <w:b/>
        </w:rPr>
        <w:t xml:space="preserve">Para aprovar fusão, </w:t>
      </w:r>
      <w:proofErr w:type="spellStart"/>
      <w:r w:rsidRPr="0071761C">
        <w:rPr>
          <w:rFonts w:ascii="Times New Roman" w:hAnsi="Times New Roman" w:cs="Times New Roman"/>
          <w:b/>
        </w:rPr>
        <w:t>Cade</w:t>
      </w:r>
      <w:proofErr w:type="spellEnd"/>
      <w:r w:rsidRPr="0071761C">
        <w:rPr>
          <w:rFonts w:ascii="Times New Roman" w:hAnsi="Times New Roman" w:cs="Times New Roman"/>
          <w:b/>
        </w:rPr>
        <w:t xml:space="preserve"> quer venda de lojas do Ponto Frio e </w:t>
      </w:r>
      <w:proofErr w:type="gramStart"/>
      <w:r w:rsidRPr="0071761C">
        <w:rPr>
          <w:rFonts w:ascii="Times New Roman" w:hAnsi="Times New Roman" w:cs="Times New Roman"/>
          <w:b/>
        </w:rPr>
        <w:t>da Casas</w:t>
      </w:r>
      <w:proofErr w:type="gramEnd"/>
      <w:r w:rsidRPr="0071761C">
        <w:rPr>
          <w:rFonts w:ascii="Times New Roman" w:hAnsi="Times New Roman" w:cs="Times New Roman"/>
          <w:b/>
        </w:rPr>
        <w:t xml:space="preserve"> Bahia.</w:t>
      </w:r>
      <w:r w:rsidRPr="0071761C">
        <w:rPr>
          <w:rFonts w:ascii="Times New Roman" w:hAnsi="Times New Roman" w:cs="Times New Roman"/>
        </w:rPr>
        <w:t xml:space="preserve"> Disponível em: &lt; </w:t>
      </w:r>
      <w:proofErr w:type="gramStart"/>
      <w:r w:rsidRPr="0071761C">
        <w:rPr>
          <w:rFonts w:ascii="Times New Roman" w:hAnsi="Times New Roman" w:cs="Times New Roman"/>
        </w:rPr>
        <w:t>http://www.estadao.com.br/noticias/impresso,</w:t>
      </w:r>
      <w:proofErr w:type="gramEnd"/>
      <w:r w:rsidRPr="0071761C">
        <w:rPr>
          <w:rFonts w:ascii="Times New Roman" w:hAnsi="Times New Roman" w:cs="Times New Roman"/>
        </w:rPr>
        <w:t xml:space="preserve">para-aprovar-fusao-cade-quer-venda-de-lojas-do-ponto-frio-e-da-casas-bahia,1021907,0.htm &gt;. Acesso em 26 de março de 2014. </w:t>
      </w:r>
    </w:p>
    <w:p w:rsidR="0071761C" w:rsidRDefault="0071761C">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7036"/>
      <w:docPartObj>
        <w:docPartGallery w:val="Page Numbers (Top of Page)"/>
        <w:docPartUnique/>
      </w:docPartObj>
    </w:sdtPr>
    <w:sdtEndPr/>
    <w:sdtContent>
      <w:p w:rsidR="0071761C" w:rsidRDefault="00203FF8">
        <w:pPr>
          <w:pStyle w:val="Cabealho"/>
          <w:jc w:val="right"/>
        </w:pPr>
        <w:r>
          <w:fldChar w:fldCharType="begin"/>
        </w:r>
        <w:r>
          <w:instrText>PAGE   \* MERGEFORMAT</w:instrText>
        </w:r>
        <w:r>
          <w:fldChar w:fldCharType="separate"/>
        </w:r>
        <w:r w:rsidR="00F051A6">
          <w:rPr>
            <w:noProof/>
          </w:rPr>
          <w:t>2</w:t>
        </w:r>
        <w:r>
          <w:rPr>
            <w:noProof/>
          </w:rPr>
          <w:fldChar w:fldCharType="end"/>
        </w:r>
      </w:p>
    </w:sdtContent>
  </w:sdt>
  <w:p w:rsidR="0071761C" w:rsidRDefault="0071761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AAD"/>
    <w:multiLevelType w:val="multilevel"/>
    <w:tmpl w:val="9AB8F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86242"/>
    <w:multiLevelType w:val="multilevel"/>
    <w:tmpl w:val="92624F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EE3D2F"/>
    <w:multiLevelType w:val="hybridMultilevel"/>
    <w:tmpl w:val="F63AC8C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85B6CEA"/>
    <w:multiLevelType w:val="multilevel"/>
    <w:tmpl w:val="413E7644"/>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112497E"/>
    <w:multiLevelType w:val="multilevel"/>
    <w:tmpl w:val="3DBA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50140A"/>
    <w:multiLevelType w:val="hybridMultilevel"/>
    <w:tmpl w:val="E718435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15E171E"/>
    <w:multiLevelType w:val="multilevel"/>
    <w:tmpl w:val="0830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AE2C5A"/>
    <w:multiLevelType w:val="multilevel"/>
    <w:tmpl w:val="634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625191"/>
    <w:multiLevelType w:val="hybridMultilevel"/>
    <w:tmpl w:val="AB08E6E4"/>
    <w:lvl w:ilvl="0" w:tplc="26223EC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E4346B6"/>
    <w:multiLevelType w:val="hybridMultilevel"/>
    <w:tmpl w:val="90489D04"/>
    <w:lvl w:ilvl="0" w:tplc="96D040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AF0109F"/>
    <w:multiLevelType w:val="multilevel"/>
    <w:tmpl w:val="C85854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BD7F21"/>
    <w:multiLevelType w:val="hybridMultilevel"/>
    <w:tmpl w:val="6C881B10"/>
    <w:lvl w:ilvl="0" w:tplc="CA0E06F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num>
  <w:num w:numId="4">
    <w:abstractNumId w:val="11"/>
  </w:num>
  <w:num w:numId="5">
    <w:abstractNumId w:val="5"/>
  </w:num>
  <w:num w:numId="6">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6"/>
  </w:num>
  <w:num w:numId="8">
    <w:abstractNumId w:val="7"/>
  </w:num>
  <w:num w:numId="9">
    <w:abstractNumId w:val="2"/>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84DED"/>
    <w:rsid w:val="000360CE"/>
    <w:rsid w:val="00065EE8"/>
    <w:rsid w:val="000A6525"/>
    <w:rsid w:val="000F4499"/>
    <w:rsid w:val="00123C4A"/>
    <w:rsid w:val="00125D0B"/>
    <w:rsid w:val="00166537"/>
    <w:rsid w:val="001931AC"/>
    <w:rsid w:val="001F2299"/>
    <w:rsid w:val="001F25F3"/>
    <w:rsid w:val="00203FF8"/>
    <w:rsid w:val="00206544"/>
    <w:rsid w:val="00251C00"/>
    <w:rsid w:val="002B4998"/>
    <w:rsid w:val="002D2606"/>
    <w:rsid w:val="002F7603"/>
    <w:rsid w:val="003C5120"/>
    <w:rsid w:val="00456FCE"/>
    <w:rsid w:val="004609C9"/>
    <w:rsid w:val="00466905"/>
    <w:rsid w:val="00470AC3"/>
    <w:rsid w:val="00484DED"/>
    <w:rsid w:val="004876C1"/>
    <w:rsid w:val="00494673"/>
    <w:rsid w:val="004A0195"/>
    <w:rsid w:val="004E34B3"/>
    <w:rsid w:val="004F1608"/>
    <w:rsid w:val="005032DE"/>
    <w:rsid w:val="005123DE"/>
    <w:rsid w:val="00532738"/>
    <w:rsid w:val="00534FBF"/>
    <w:rsid w:val="00553FCF"/>
    <w:rsid w:val="00567E97"/>
    <w:rsid w:val="00580521"/>
    <w:rsid w:val="00592FF3"/>
    <w:rsid w:val="00594C39"/>
    <w:rsid w:val="005F7427"/>
    <w:rsid w:val="006218DD"/>
    <w:rsid w:val="00691620"/>
    <w:rsid w:val="006D127F"/>
    <w:rsid w:val="006E06D7"/>
    <w:rsid w:val="0071761C"/>
    <w:rsid w:val="0072504B"/>
    <w:rsid w:val="00782DCB"/>
    <w:rsid w:val="007A27CB"/>
    <w:rsid w:val="007E2B24"/>
    <w:rsid w:val="007E36E8"/>
    <w:rsid w:val="00811B25"/>
    <w:rsid w:val="00843CF1"/>
    <w:rsid w:val="008A2B84"/>
    <w:rsid w:val="008E5E4E"/>
    <w:rsid w:val="008F24F8"/>
    <w:rsid w:val="0091119B"/>
    <w:rsid w:val="00911A36"/>
    <w:rsid w:val="0094720D"/>
    <w:rsid w:val="00973A09"/>
    <w:rsid w:val="00982A0C"/>
    <w:rsid w:val="00990952"/>
    <w:rsid w:val="009C4261"/>
    <w:rsid w:val="009C7B3B"/>
    <w:rsid w:val="00A7422E"/>
    <w:rsid w:val="00A770F1"/>
    <w:rsid w:val="00AB4003"/>
    <w:rsid w:val="00AB59FA"/>
    <w:rsid w:val="00B03D8B"/>
    <w:rsid w:val="00B05C04"/>
    <w:rsid w:val="00B43FF8"/>
    <w:rsid w:val="00B546C9"/>
    <w:rsid w:val="00B90F67"/>
    <w:rsid w:val="00BA7427"/>
    <w:rsid w:val="00BB5A3B"/>
    <w:rsid w:val="00CE6096"/>
    <w:rsid w:val="00CE6CBC"/>
    <w:rsid w:val="00D14817"/>
    <w:rsid w:val="00D43A43"/>
    <w:rsid w:val="00D90880"/>
    <w:rsid w:val="00E07542"/>
    <w:rsid w:val="00E30C22"/>
    <w:rsid w:val="00E65AFB"/>
    <w:rsid w:val="00E96373"/>
    <w:rsid w:val="00EB5859"/>
    <w:rsid w:val="00ED3D92"/>
    <w:rsid w:val="00F051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6D7"/>
  </w:style>
  <w:style w:type="paragraph" w:styleId="Ttulo3">
    <w:name w:val="heading 3"/>
    <w:basedOn w:val="Normal"/>
    <w:link w:val="Ttulo3Char"/>
    <w:uiPriority w:val="9"/>
    <w:qFormat/>
    <w:rsid w:val="00B546C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B546C9"/>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484DE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84DED"/>
    <w:rPr>
      <w:sz w:val="20"/>
      <w:szCs w:val="20"/>
    </w:rPr>
  </w:style>
  <w:style w:type="character" w:styleId="Refdenotaderodap">
    <w:name w:val="footnote reference"/>
    <w:basedOn w:val="Fontepargpadro"/>
    <w:uiPriority w:val="99"/>
    <w:semiHidden/>
    <w:unhideWhenUsed/>
    <w:rsid w:val="00484DED"/>
    <w:rPr>
      <w:vertAlign w:val="superscript"/>
    </w:rPr>
  </w:style>
  <w:style w:type="paragraph" w:styleId="PargrafodaLista">
    <w:name w:val="List Paragraph"/>
    <w:basedOn w:val="Normal"/>
    <w:uiPriority w:val="34"/>
    <w:qFormat/>
    <w:rsid w:val="005123DE"/>
    <w:pPr>
      <w:spacing w:after="200" w:line="276" w:lineRule="auto"/>
      <w:ind w:left="720"/>
      <w:contextualSpacing/>
    </w:pPr>
  </w:style>
  <w:style w:type="paragraph" w:styleId="NormalWeb">
    <w:name w:val="Normal (Web)"/>
    <w:basedOn w:val="Normal"/>
    <w:uiPriority w:val="99"/>
    <w:unhideWhenUsed/>
    <w:rsid w:val="00065EE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A2B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2B84"/>
  </w:style>
  <w:style w:type="paragraph" w:styleId="Rodap">
    <w:name w:val="footer"/>
    <w:basedOn w:val="Normal"/>
    <w:link w:val="RodapChar"/>
    <w:uiPriority w:val="99"/>
    <w:unhideWhenUsed/>
    <w:rsid w:val="008A2B84"/>
    <w:pPr>
      <w:tabs>
        <w:tab w:val="center" w:pos="4252"/>
        <w:tab w:val="right" w:pos="8504"/>
      </w:tabs>
      <w:spacing w:after="0" w:line="240" w:lineRule="auto"/>
    </w:pPr>
  </w:style>
  <w:style w:type="character" w:customStyle="1" w:styleId="RodapChar">
    <w:name w:val="Rodapé Char"/>
    <w:basedOn w:val="Fontepargpadro"/>
    <w:link w:val="Rodap"/>
    <w:uiPriority w:val="99"/>
    <w:rsid w:val="008A2B84"/>
  </w:style>
  <w:style w:type="character" w:customStyle="1" w:styleId="apple-converted-space">
    <w:name w:val="apple-converted-space"/>
    <w:basedOn w:val="Fontepargpadro"/>
    <w:rsid w:val="00811B25"/>
  </w:style>
  <w:style w:type="character" w:styleId="Hyperlink">
    <w:name w:val="Hyperlink"/>
    <w:basedOn w:val="Fontepargpadro"/>
    <w:uiPriority w:val="99"/>
    <w:unhideWhenUsed/>
    <w:rsid w:val="00811B25"/>
    <w:rPr>
      <w:color w:val="0000FF"/>
      <w:u w:val="single"/>
    </w:rPr>
  </w:style>
  <w:style w:type="character" w:styleId="Forte">
    <w:name w:val="Strong"/>
    <w:basedOn w:val="Fontepargpadro"/>
    <w:uiPriority w:val="22"/>
    <w:qFormat/>
    <w:rsid w:val="00ED3D92"/>
    <w:rPr>
      <w:b/>
      <w:bCs/>
    </w:rPr>
  </w:style>
  <w:style w:type="character" w:styleId="nfase">
    <w:name w:val="Emphasis"/>
    <w:basedOn w:val="Fontepargpadro"/>
    <w:uiPriority w:val="20"/>
    <w:qFormat/>
    <w:rsid w:val="00ED3D92"/>
    <w:rPr>
      <w:i/>
      <w:iCs/>
    </w:rPr>
  </w:style>
  <w:style w:type="character" w:customStyle="1" w:styleId="Ttulo3Char">
    <w:name w:val="Título 3 Char"/>
    <w:basedOn w:val="Fontepargpadro"/>
    <w:link w:val="Ttulo3"/>
    <w:uiPriority w:val="9"/>
    <w:rsid w:val="00B546C9"/>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B546C9"/>
    <w:rPr>
      <w:rFonts w:ascii="Times New Roman" w:eastAsia="Times New Roman" w:hAnsi="Times New Roman" w:cs="Times New Roman"/>
      <w:b/>
      <w:bCs/>
      <w:sz w:val="24"/>
      <w:szCs w:val="24"/>
      <w:lang w:eastAsia="pt-BR"/>
    </w:rPr>
  </w:style>
  <w:style w:type="character" w:customStyle="1" w:styleId="disabled">
    <w:name w:val="disabled"/>
    <w:basedOn w:val="Fontepargpadro"/>
    <w:rsid w:val="00B546C9"/>
  </w:style>
  <w:style w:type="character" w:customStyle="1" w:styleId="current">
    <w:name w:val="current"/>
    <w:basedOn w:val="Fontepargpadro"/>
    <w:rsid w:val="00B546C9"/>
  </w:style>
  <w:style w:type="paragraph" w:customStyle="1" w:styleId="button">
    <w:name w:val="button"/>
    <w:basedOn w:val="Normal"/>
    <w:rsid w:val="00B546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EndereoHTML">
    <w:name w:val="HTML Address"/>
    <w:basedOn w:val="Normal"/>
    <w:link w:val="EndereoHTMLChar"/>
    <w:uiPriority w:val="99"/>
    <w:semiHidden/>
    <w:unhideWhenUsed/>
    <w:rsid w:val="00B546C9"/>
    <w:pPr>
      <w:spacing w:after="0" w:line="240" w:lineRule="auto"/>
    </w:pPr>
    <w:rPr>
      <w:rFonts w:ascii="Times New Roman" w:eastAsia="Times New Roman" w:hAnsi="Times New Roman" w:cs="Times New Roman"/>
      <w:i/>
      <w:iCs/>
      <w:sz w:val="24"/>
      <w:szCs w:val="24"/>
      <w:lang w:eastAsia="pt-BR"/>
    </w:rPr>
  </w:style>
  <w:style w:type="character" w:customStyle="1" w:styleId="EndereoHTMLChar">
    <w:name w:val="Endereço HTML Char"/>
    <w:basedOn w:val="Fontepargpadro"/>
    <w:link w:val="EndereoHTML"/>
    <w:uiPriority w:val="99"/>
    <w:semiHidden/>
    <w:rsid w:val="00B546C9"/>
    <w:rPr>
      <w:rFonts w:ascii="Times New Roman" w:eastAsia="Times New Roman" w:hAnsi="Times New Roman" w:cs="Times New Roman"/>
      <w:i/>
      <w:iCs/>
      <w:sz w:val="24"/>
      <w:szCs w:val="24"/>
      <w:lang w:eastAsia="pt-BR"/>
    </w:rPr>
  </w:style>
  <w:style w:type="paragraph" w:customStyle="1" w:styleId="role">
    <w:name w:val="role"/>
    <w:basedOn w:val="Normal"/>
    <w:rsid w:val="00B546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this">
    <w:name w:val="text_this"/>
    <w:basedOn w:val="Normal"/>
    <w:rsid w:val="00B546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llwith">
    <w:name w:val="tell_with"/>
    <w:basedOn w:val="Normal"/>
    <w:rsid w:val="00B546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uthorsite">
    <w:name w:val="author_site"/>
    <w:basedOn w:val="Normal"/>
    <w:rsid w:val="00B546C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rl">
    <w:name w:val="url"/>
    <w:basedOn w:val="Fontepargpadro"/>
    <w:rsid w:val="00B546C9"/>
  </w:style>
  <w:style w:type="character" w:customStyle="1" w:styleId="timeaccess">
    <w:name w:val="timeaccess"/>
    <w:basedOn w:val="Fontepargpadro"/>
    <w:rsid w:val="00B546C9"/>
  </w:style>
  <w:style w:type="paragraph" w:styleId="Textodebalo">
    <w:name w:val="Balloon Text"/>
    <w:basedOn w:val="Normal"/>
    <w:link w:val="TextodebaloChar"/>
    <w:uiPriority w:val="99"/>
    <w:semiHidden/>
    <w:unhideWhenUsed/>
    <w:rsid w:val="00B546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546C9"/>
    <w:rPr>
      <w:rFonts w:ascii="Tahoma" w:hAnsi="Tahoma" w:cs="Tahoma"/>
      <w:sz w:val="16"/>
      <w:szCs w:val="16"/>
    </w:rPr>
  </w:style>
  <w:style w:type="character" w:styleId="HiperlinkVisitado">
    <w:name w:val="FollowedHyperlink"/>
    <w:basedOn w:val="Fontepargpadro"/>
    <w:uiPriority w:val="99"/>
    <w:semiHidden/>
    <w:unhideWhenUsed/>
    <w:rsid w:val="00782DC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B546C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B546C9"/>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84D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84DED"/>
    <w:rPr>
      <w:sz w:val="20"/>
      <w:szCs w:val="20"/>
    </w:rPr>
  </w:style>
  <w:style w:type="character" w:styleId="Refdenotaderodap">
    <w:name w:val="footnote reference"/>
    <w:basedOn w:val="Fontepargpadro"/>
    <w:uiPriority w:val="99"/>
    <w:semiHidden/>
    <w:unhideWhenUsed/>
    <w:rsid w:val="00484DED"/>
    <w:rPr>
      <w:vertAlign w:val="superscript"/>
    </w:rPr>
  </w:style>
  <w:style w:type="paragraph" w:styleId="PargrafodaLista">
    <w:name w:val="List Paragraph"/>
    <w:basedOn w:val="Normal"/>
    <w:uiPriority w:val="34"/>
    <w:qFormat/>
    <w:rsid w:val="005123DE"/>
    <w:pPr>
      <w:spacing w:after="200" w:line="276" w:lineRule="auto"/>
      <w:ind w:left="720"/>
      <w:contextualSpacing/>
    </w:pPr>
  </w:style>
  <w:style w:type="paragraph" w:styleId="NormalWeb">
    <w:name w:val="Normal (Web)"/>
    <w:basedOn w:val="Normal"/>
    <w:uiPriority w:val="99"/>
    <w:unhideWhenUsed/>
    <w:rsid w:val="00065EE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A2B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2B84"/>
  </w:style>
  <w:style w:type="paragraph" w:styleId="Rodap">
    <w:name w:val="footer"/>
    <w:basedOn w:val="Normal"/>
    <w:link w:val="RodapChar"/>
    <w:uiPriority w:val="99"/>
    <w:unhideWhenUsed/>
    <w:rsid w:val="008A2B84"/>
    <w:pPr>
      <w:tabs>
        <w:tab w:val="center" w:pos="4252"/>
        <w:tab w:val="right" w:pos="8504"/>
      </w:tabs>
      <w:spacing w:after="0" w:line="240" w:lineRule="auto"/>
    </w:pPr>
  </w:style>
  <w:style w:type="character" w:customStyle="1" w:styleId="RodapChar">
    <w:name w:val="Rodapé Char"/>
    <w:basedOn w:val="Fontepargpadro"/>
    <w:link w:val="Rodap"/>
    <w:uiPriority w:val="99"/>
    <w:rsid w:val="008A2B84"/>
  </w:style>
  <w:style w:type="character" w:customStyle="1" w:styleId="apple-converted-space">
    <w:name w:val="apple-converted-space"/>
    <w:basedOn w:val="Fontepargpadro"/>
    <w:rsid w:val="00811B25"/>
  </w:style>
  <w:style w:type="character" w:styleId="Hyperlink">
    <w:name w:val="Hyperlink"/>
    <w:basedOn w:val="Fontepargpadro"/>
    <w:uiPriority w:val="99"/>
    <w:semiHidden/>
    <w:unhideWhenUsed/>
    <w:rsid w:val="00811B25"/>
    <w:rPr>
      <w:color w:val="0000FF"/>
      <w:u w:val="single"/>
    </w:rPr>
  </w:style>
  <w:style w:type="character" w:styleId="Forte">
    <w:name w:val="Strong"/>
    <w:basedOn w:val="Fontepargpadro"/>
    <w:uiPriority w:val="22"/>
    <w:qFormat/>
    <w:rsid w:val="00ED3D92"/>
    <w:rPr>
      <w:b/>
      <w:bCs/>
    </w:rPr>
  </w:style>
  <w:style w:type="character" w:styleId="nfase">
    <w:name w:val="Emphasis"/>
    <w:basedOn w:val="Fontepargpadro"/>
    <w:uiPriority w:val="20"/>
    <w:qFormat/>
    <w:rsid w:val="00ED3D92"/>
    <w:rPr>
      <w:i/>
      <w:iCs/>
    </w:rPr>
  </w:style>
  <w:style w:type="character" w:customStyle="1" w:styleId="Ttulo3Char">
    <w:name w:val="Título 3 Char"/>
    <w:basedOn w:val="Fontepargpadro"/>
    <w:link w:val="Ttulo3"/>
    <w:uiPriority w:val="9"/>
    <w:rsid w:val="00B546C9"/>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B546C9"/>
    <w:rPr>
      <w:rFonts w:ascii="Times New Roman" w:eastAsia="Times New Roman" w:hAnsi="Times New Roman" w:cs="Times New Roman"/>
      <w:b/>
      <w:bCs/>
      <w:sz w:val="24"/>
      <w:szCs w:val="24"/>
      <w:lang w:eastAsia="pt-BR"/>
    </w:rPr>
  </w:style>
  <w:style w:type="character" w:customStyle="1" w:styleId="disabled">
    <w:name w:val="disabled"/>
    <w:basedOn w:val="Fontepargpadro"/>
    <w:rsid w:val="00B546C9"/>
  </w:style>
  <w:style w:type="character" w:customStyle="1" w:styleId="current">
    <w:name w:val="current"/>
    <w:basedOn w:val="Fontepargpadro"/>
    <w:rsid w:val="00B546C9"/>
  </w:style>
  <w:style w:type="paragraph" w:customStyle="1" w:styleId="button">
    <w:name w:val="button"/>
    <w:basedOn w:val="Normal"/>
    <w:rsid w:val="00B546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EndereoHTML">
    <w:name w:val="HTML Address"/>
    <w:basedOn w:val="Normal"/>
    <w:link w:val="EndereoHTMLChar"/>
    <w:uiPriority w:val="99"/>
    <w:semiHidden/>
    <w:unhideWhenUsed/>
    <w:rsid w:val="00B546C9"/>
    <w:pPr>
      <w:spacing w:after="0" w:line="240" w:lineRule="auto"/>
    </w:pPr>
    <w:rPr>
      <w:rFonts w:ascii="Times New Roman" w:eastAsia="Times New Roman" w:hAnsi="Times New Roman" w:cs="Times New Roman"/>
      <w:i/>
      <w:iCs/>
      <w:sz w:val="24"/>
      <w:szCs w:val="24"/>
      <w:lang w:eastAsia="pt-BR"/>
    </w:rPr>
  </w:style>
  <w:style w:type="character" w:customStyle="1" w:styleId="EndereoHTMLChar">
    <w:name w:val="Endereço HTML Char"/>
    <w:basedOn w:val="Fontepargpadro"/>
    <w:link w:val="EndereoHTML"/>
    <w:uiPriority w:val="99"/>
    <w:semiHidden/>
    <w:rsid w:val="00B546C9"/>
    <w:rPr>
      <w:rFonts w:ascii="Times New Roman" w:eastAsia="Times New Roman" w:hAnsi="Times New Roman" w:cs="Times New Roman"/>
      <w:i/>
      <w:iCs/>
      <w:sz w:val="24"/>
      <w:szCs w:val="24"/>
      <w:lang w:eastAsia="pt-BR"/>
    </w:rPr>
  </w:style>
  <w:style w:type="paragraph" w:customStyle="1" w:styleId="role">
    <w:name w:val="role"/>
    <w:basedOn w:val="Normal"/>
    <w:rsid w:val="00B546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this">
    <w:name w:val="text_this"/>
    <w:basedOn w:val="Normal"/>
    <w:rsid w:val="00B546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llwith">
    <w:name w:val="tell_with"/>
    <w:basedOn w:val="Normal"/>
    <w:rsid w:val="00B546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uthorsite">
    <w:name w:val="author_site"/>
    <w:basedOn w:val="Normal"/>
    <w:rsid w:val="00B546C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rl">
    <w:name w:val="url"/>
    <w:basedOn w:val="Fontepargpadro"/>
    <w:rsid w:val="00B546C9"/>
  </w:style>
  <w:style w:type="character" w:customStyle="1" w:styleId="timeaccess">
    <w:name w:val="timeaccess"/>
    <w:basedOn w:val="Fontepargpadro"/>
    <w:rsid w:val="00B546C9"/>
  </w:style>
  <w:style w:type="paragraph" w:styleId="Textodebalo">
    <w:name w:val="Balloon Text"/>
    <w:basedOn w:val="Normal"/>
    <w:link w:val="TextodebaloChar"/>
    <w:uiPriority w:val="99"/>
    <w:semiHidden/>
    <w:unhideWhenUsed/>
    <w:rsid w:val="00B546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54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5332">
      <w:bodyDiv w:val="1"/>
      <w:marLeft w:val="0"/>
      <w:marRight w:val="0"/>
      <w:marTop w:val="0"/>
      <w:marBottom w:val="0"/>
      <w:divBdr>
        <w:top w:val="none" w:sz="0" w:space="0" w:color="auto"/>
        <w:left w:val="none" w:sz="0" w:space="0" w:color="auto"/>
        <w:bottom w:val="none" w:sz="0" w:space="0" w:color="auto"/>
        <w:right w:val="none" w:sz="0" w:space="0" w:color="auto"/>
      </w:divBdr>
    </w:div>
    <w:div w:id="243035219">
      <w:bodyDiv w:val="1"/>
      <w:marLeft w:val="0"/>
      <w:marRight w:val="0"/>
      <w:marTop w:val="0"/>
      <w:marBottom w:val="0"/>
      <w:divBdr>
        <w:top w:val="none" w:sz="0" w:space="0" w:color="auto"/>
        <w:left w:val="none" w:sz="0" w:space="0" w:color="auto"/>
        <w:bottom w:val="none" w:sz="0" w:space="0" w:color="auto"/>
        <w:right w:val="none" w:sz="0" w:space="0" w:color="auto"/>
      </w:divBdr>
      <w:divsChild>
        <w:div w:id="816141641">
          <w:marLeft w:val="0"/>
          <w:marRight w:val="0"/>
          <w:marTop w:val="0"/>
          <w:marBottom w:val="0"/>
          <w:divBdr>
            <w:top w:val="none" w:sz="0" w:space="0" w:color="auto"/>
            <w:left w:val="none" w:sz="0" w:space="0" w:color="auto"/>
            <w:bottom w:val="none" w:sz="0" w:space="0" w:color="auto"/>
            <w:right w:val="none" w:sz="0" w:space="0" w:color="auto"/>
          </w:divBdr>
        </w:div>
        <w:div w:id="2078701604">
          <w:marLeft w:val="0"/>
          <w:marRight w:val="0"/>
          <w:marTop w:val="0"/>
          <w:marBottom w:val="0"/>
          <w:divBdr>
            <w:top w:val="none" w:sz="0" w:space="0" w:color="auto"/>
            <w:left w:val="none" w:sz="0" w:space="0" w:color="auto"/>
            <w:bottom w:val="none" w:sz="0" w:space="0" w:color="auto"/>
            <w:right w:val="none" w:sz="0" w:space="0" w:color="auto"/>
          </w:divBdr>
        </w:div>
        <w:div w:id="471489046">
          <w:marLeft w:val="0"/>
          <w:marRight w:val="0"/>
          <w:marTop w:val="0"/>
          <w:marBottom w:val="0"/>
          <w:divBdr>
            <w:top w:val="none" w:sz="0" w:space="0" w:color="auto"/>
            <w:left w:val="none" w:sz="0" w:space="0" w:color="auto"/>
            <w:bottom w:val="none" w:sz="0" w:space="0" w:color="auto"/>
            <w:right w:val="none" w:sz="0" w:space="0" w:color="auto"/>
          </w:divBdr>
        </w:div>
      </w:divsChild>
    </w:div>
    <w:div w:id="256327146">
      <w:bodyDiv w:val="1"/>
      <w:marLeft w:val="0"/>
      <w:marRight w:val="0"/>
      <w:marTop w:val="0"/>
      <w:marBottom w:val="0"/>
      <w:divBdr>
        <w:top w:val="none" w:sz="0" w:space="0" w:color="auto"/>
        <w:left w:val="none" w:sz="0" w:space="0" w:color="auto"/>
        <w:bottom w:val="none" w:sz="0" w:space="0" w:color="auto"/>
        <w:right w:val="none" w:sz="0" w:space="0" w:color="auto"/>
      </w:divBdr>
      <w:divsChild>
        <w:div w:id="1141650292">
          <w:marLeft w:val="0"/>
          <w:marRight w:val="0"/>
          <w:marTop w:val="0"/>
          <w:marBottom w:val="0"/>
          <w:divBdr>
            <w:top w:val="none" w:sz="0" w:space="0" w:color="auto"/>
            <w:left w:val="none" w:sz="0" w:space="0" w:color="auto"/>
            <w:bottom w:val="none" w:sz="0" w:space="0" w:color="auto"/>
            <w:right w:val="none" w:sz="0" w:space="0" w:color="auto"/>
          </w:divBdr>
        </w:div>
        <w:div w:id="5182646">
          <w:marLeft w:val="0"/>
          <w:marRight w:val="0"/>
          <w:marTop w:val="0"/>
          <w:marBottom w:val="0"/>
          <w:divBdr>
            <w:top w:val="none" w:sz="0" w:space="0" w:color="auto"/>
            <w:left w:val="none" w:sz="0" w:space="0" w:color="auto"/>
            <w:bottom w:val="none" w:sz="0" w:space="0" w:color="auto"/>
            <w:right w:val="none" w:sz="0" w:space="0" w:color="auto"/>
          </w:divBdr>
        </w:div>
      </w:divsChild>
    </w:div>
    <w:div w:id="582645747">
      <w:bodyDiv w:val="1"/>
      <w:marLeft w:val="0"/>
      <w:marRight w:val="0"/>
      <w:marTop w:val="0"/>
      <w:marBottom w:val="0"/>
      <w:divBdr>
        <w:top w:val="none" w:sz="0" w:space="0" w:color="auto"/>
        <w:left w:val="none" w:sz="0" w:space="0" w:color="auto"/>
        <w:bottom w:val="none" w:sz="0" w:space="0" w:color="auto"/>
        <w:right w:val="none" w:sz="0" w:space="0" w:color="auto"/>
      </w:divBdr>
    </w:div>
    <w:div w:id="805396433">
      <w:bodyDiv w:val="1"/>
      <w:marLeft w:val="0"/>
      <w:marRight w:val="0"/>
      <w:marTop w:val="0"/>
      <w:marBottom w:val="0"/>
      <w:divBdr>
        <w:top w:val="none" w:sz="0" w:space="0" w:color="auto"/>
        <w:left w:val="none" w:sz="0" w:space="0" w:color="auto"/>
        <w:bottom w:val="none" w:sz="0" w:space="0" w:color="auto"/>
        <w:right w:val="none" w:sz="0" w:space="0" w:color="auto"/>
      </w:divBdr>
    </w:div>
    <w:div w:id="1000548887">
      <w:bodyDiv w:val="1"/>
      <w:marLeft w:val="0"/>
      <w:marRight w:val="0"/>
      <w:marTop w:val="0"/>
      <w:marBottom w:val="0"/>
      <w:divBdr>
        <w:top w:val="none" w:sz="0" w:space="0" w:color="auto"/>
        <w:left w:val="none" w:sz="0" w:space="0" w:color="auto"/>
        <w:bottom w:val="none" w:sz="0" w:space="0" w:color="auto"/>
        <w:right w:val="none" w:sz="0" w:space="0" w:color="auto"/>
      </w:divBdr>
      <w:divsChild>
        <w:div w:id="1429153295">
          <w:marLeft w:val="360"/>
          <w:marRight w:val="0"/>
          <w:marTop w:val="0"/>
          <w:marBottom w:val="240"/>
          <w:divBdr>
            <w:top w:val="none" w:sz="0" w:space="0" w:color="auto"/>
            <w:left w:val="none" w:sz="0" w:space="0" w:color="auto"/>
            <w:bottom w:val="none" w:sz="0" w:space="0" w:color="auto"/>
            <w:right w:val="none" w:sz="0" w:space="0" w:color="auto"/>
          </w:divBdr>
          <w:divsChild>
            <w:div w:id="925308348">
              <w:marLeft w:val="0"/>
              <w:marRight w:val="0"/>
              <w:marTop w:val="0"/>
              <w:marBottom w:val="0"/>
              <w:divBdr>
                <w:top w:val="single" w:sz="12" w:space="0" w:color="999999"/>
                <w:left w:val="none" w:sz="0" w:space="0" w:color="auto"/>
                <w:bottom w:val="single" w:sz="6" w:space="0" w:color="CCCCCC"/>
                <w:right w:val="none" w:sz="0" w:space="0" w:color="auto"/>
              </w:divBdr>
            </w:div>
          </w:divsChild>
        </w:div>
        <w:div w:id="730421161">
          <w:blockQuote w:val="1"/>
          <w:marLeft w:val="1200"/>
          <w:marRight w:val="0"/>
          <w:marTop w:val="480"/>
          <w:marBottom w:val="480"/>
          <w:divBdr>
            <w:top w:val="none" w:sz="0" w:space="0" w:color="auto"/>
            <w:left w:val="single" w:sz="36" w:space="31" w:color="8DB982"/>
            <w:bottom w:val="none" w:sz="0" w:space="0" w:color="auto"/>
            <w:right w:val="none" w:sz="0" w:space="0" w:color="auto"/>
          </w:divBdr>
        </w:div>
        <w:div w:id="420299822">
          <w:blockQuote w:val="1"/>
          <w:marLeft w:val="1200"/>
          <w:marRight w:val="0"/>
          <w:marTop w:val="480"/>
          <w:marBottom w:val="480"/>
          <w:divBdr>
            <w:top w:val="none" w:sz="0" w:space="0" w:color="auto"/>
            <w:left w:val="single" w:sz="36" w:space="31" w:color="8DB982"/>
            <w:bottom w:val="none" w:sz="0" w:space="0" w:color="auto"/>
            <w:right w:val="none" w:sz="0" w:space="0" w:color="auto"/>
          </w:divBdr>
        </w:div>
        <w:div w:id="1115249906">
          <w:marLeft w:val="0"/>
          <w:marRight w:val="0"/>
          <w:marTop w:val="0"/>
          <w:marBottom w:val="0"/>
          <w:divBdr>
            <w:top w:val="none" w:sz="0" w:space="0" w:color="auto"/>
            <w:left w:val="none" w:sz="0" w:space="0" w:color="auto"/>
            <w:bottom w:val="none" w:sz="0" w:space="0" w:color="auto"/>
            <w:right w:val="none" w:sz="0" w:space="0" w:color="auto"/>
          </w:divBdr>
        </w:div>
        <w:div w:id="1375229405">
          <w:marLeft w:val="0"/>
          <w:marRight w:val="0"/>
          <w:marTop w:val="225"/>
          <w:marBottom w:val="225"/>
          <w:divBdr>
            <w:top w:val="none" w:sz="0" w:space="0" w:color="auto"/>
            <w:left w:val="none" w:sz="0" w:space="0" w:color="auto"/>
            <w:bottom w:val="none" w:sz="0" w:space="0" w:color="auto"/>
            <w:right w:val="none" w:sz="0" w:space="0" w:color="auto"/>
          </w:divBdr>
        </w:div>
        <w:div w:id="1642035344">
          <w:marLeft w:val="0"/>
          <w:marRight w:val="0"/>
          <w:marTop w:val="0"/>
          <w:marBottom w:val="240"/>
          <w:divBdr>
            <w:top w:val="dashed" w:sz="6" w:space="6" w:color="D7D7D7"/>
            <w:left w:val="none" w:sz="0" w:space="0" w:color="auto"/>
            <w:bottom w:val="none" w:sz="0" w:space="0" w:color="auto"/>
            <w:right w:val="none" w:sz="0" w:space="0" w:color="auto"/>
          </w:divBdr>
          <w:divsChild>
            <w:div w:id="433668248">
              <w:marLeft w:val="0"/>
              <w:marRight w:val="0"/>
              <w:marTop w:val="0"/>
              <w:marBottom w:val="0"/>
              <w:divBdr>
                <w:top w:val="none" w:sz="0" w:space="0" w:color="auto"/>
                <w:left w:val="none" w:sz="0" w:space="0" w:color="auto"/>
                <w:bottom w:val="none" w:sz="0" w:space="0" w:color="auto"/>
                <w:right w:val="none" w:sz="0" w:space="0" w:color="auto"/>
              </w:divBdr>
              <w:divsChild>
                <w:div w:id="712922924">
                  <w:marLeft w:val="105"/>
                  <w:marRight w:val="0"/>
                  <w:marTop w:val="0"/>
                  <w:marBottom w:val="0"/>
                  <w:divBdr>
                    <w:top w:val="none" w:sz="0" w:space="0" w:color="auto"/>
                    <w:left w:val="none" w:sz="0" w:space="0" w:color="auto"/>
                    <w:bottom w:val="none" w:sz="0" w:space="0" w:color="auto"/>
                    <w:right w:val="none" w:sz="0" w:space="0" w:color="auto"/>
                  </w:divBdr>
                </w:div>
                <w:div w:id="1744062783">
                  <w:marLeft w:val="105"/>
                  <w:marRight w:val="0"/>
                  <w:marTop w:val="0"/>
                  <w:marBottom w:val="0"/>
                  <w:divBdr>
                    <w:top w:val="none" w:sz="0" w:space="0" w:color="auto"/>
                    <w:left w:val="none" w:sz="0" w:space="0" w:color="auto"/>
                    <w:bottom w:val="none" w:sz="0" w:space="0" w:color="auto"/>
                    <w:right w:val="none" w:sz="0" w:space="0" w:color="auto"/>
                  </w:divBdr>
                </w:div>
                <w:div w:id="27413966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419790432">
          <w:marLeft w:val="0"/>
          <w:marRight w:val="0"/>
          <w:marTop w:val="240"/>
          <w:marBottom w:val="0"/>
          <w:divBdr>
            <w:top w:val="none" w:sz="0" w:space="0" w:color="auto"/>
            <w:left w:val="none" w:sz="0" w:space="0" w:color="auto"/>
            <w:bottom w:val="none" w:sz="0" w:space="0" w:color="auto"/>
            <w:right w:val="none" w:sz="0" w:space="0" w:color="auto"/>
          </w:divBdr>
        </w:div>
        <w:div w:id="1344670595">
          <w:marLeft w:val="120"/>
          <w:marRight w:val="345"/>
          <w:marTop w:val="120"/>
          <w:marBottom w:val="150"/>
          <w:divBdr>
            <w:top w:val="none" w:sz="0" w:space="0" w:color="auto"/>
            <w:left w:val="single" w:sz="18" w:space="11" w:color="E5E5E5"/>
            <w:bottom w:val="none" w:sz="0" w:space="0" w:color="auto"/>
            <w:right w:val="none" w:sz="0" w:space="0" w:color="auto"/>
          </w:divBdr>
        </w:div>
      </w:divsChild>
    </w:div>
    <w:div w:id="1077558738">
      <w:bodyDiv w:val="1"/>
      <w:marLeft w:val="0"/>
      <w:marRight w:val="0"/>
      <w:marTop w:val="0"/>
      <w:marBottom w:val="0"/>
      <w:divBdr>
        <w:top w:val="none" w:sz="0" w:space="0" w:color="auto"/>
        <w:left w:val="none" w:sz="0" w:space="0" w:color="auto"/>
        <w:bottom w:val="none" w:sz="0" w:space="0" w:color="auto"/>
        <w:right w:val="none" w:sz="0" w:space="0" w:color="auto"/>
      </w:divBdr>
    </w:div>
    <w:div w:id="1160777116">
      <w:bodyDiv w:val="1"/>
      <w:marLeft w:val="0"/>
      <w:marRight w:val="0"/>
      <w:marTop w:val="0"/>
      <w:marBottom w:val="0"/>
      <w:divBdr>
        <w:top w:val="none" w:sz="0" w:space="0" w:color="auto"/>
        <w:left w:val="none" w:sz="0" w:space="0" w:color="auto"/>
        <w:bottom w:val="none" w:sz="0" w:space="0" w:color="auto"/>
        <w:right w:val="none" w:sz="0" w:space="0" w:color="auto"/>
      </w:divBdr>
    </w:div>
    <w:div w:id="1282686120">
      <w:bodyDiv w:val="1"/>
      <w:marLeft w:val="0"/>
      <w:marRight w:val="0"/>
      <w:marTop w:val="0"/>
      <w:marBottom w:val="0"/>
      <w:divBdr>
        <w:top w:val="none" w:sz="0" w:space="0" w:color="auto"/>
        <w:left w:val="none" w:sz="0" w:space="0" w:color="auto"/>
        <w:bottom w:val="none" w:sz="0" w:space="0" w:color="auto"/>
        <w:right w:val="none" w:sz="0" w:space="0" w:color="auto"/>
      </w:divBdr>
    </w:div>
    <w:div w:id="1408304559">
      <w:bodyDiv w:val="1"/>
      <w:marLeft w:val="0"/>
      <w:marRight w:val="0"/>
      <w:marTop w:val="0"/>
      <w:marBottom w:val="0"/>
      <w:divBdr>
        <w:top w:val="none" w:sz="0" w:space="0" w:color="auto"/>
        <w:left w:val="none" w:sz="0" w:space="0" w:color="auto"/>
        <w:bottom w:val="none" w:sz="0" w:space="0" w:color="auto"/>
        <w:right w:val="none" w:sz="0" w:space="0" w:color="auto"/>
      </w:divBdr>
    </w:div>
    <w:div w:id="1496068752">
      <w:bodyDiv w:val="1"/>
      <w:marLeft w:val="0"/>
      <w:marRight w:val="0"/>
      <w:marTop w:val="0"/>
      <w:marBottom w:val="0"/>
      <w:divBdr>
        <w:top w:val="none" w:sz="0" w:space="0" w:color="auto"/>
        <w:left w:val="none" w:sz="0" w:space="0" w:color="auto"/>
        <w:bottom w:val="none" w:sz="0" w:space="0" w:color="auto"/>
        <w:right w:val="none" w:sz="0" w:space="0" w:color="auto"/>
      </w:divBdr>
      <w:divsChild>
        <w:div w:id="2130779189">
          <w:marLeft w:val="0"/>
          <w:marRight w:val="0"/>
          <w:marTop w:val="0"/>
          <w:marBottom w:val="0"/>
          <w:divBdr>
            <w:top w:val="none" w:sz="0" w:space="0" w:color="auto"/>
            <w:left w:val="none" w:sz="0" w:space="0" w:color="auto"/>
            <w:bottom w:val="none" w:sz="0" w:space="0" w:color="auto"/>
            <w:right w:val="none" w:sz="0" w:space="0" w:color="auto"/>
          </w:divBdr>
        </w:div>
        <w:div w:id="507909928">
          <w:marLeft w:val="0"/>
          <w:marRight w:val="0"/>
          <w:marTop w:val="0"/>
          <w:marBottom w:val="0"/>
          <w:divBdr>
            <w:top w:val="none" w:sz="0" w:space="0" w:color="auto"/>
            <w:left w:val="none" w:sz="0" w:space="0" w:color="auto"/>
            <w:bottom w:val="none" w:sz="0" w:space="0" w:color="auto"/>
            <w:right w:val="none" w:sz="0" w:space="0" w:color="auto"/>
          </w:divBdr>
        </w:div>
      </w:divsChild>
    </w:div>
    <w:div w:id="1730031319">
      <w:bodyDiv w:val="1"/>
      <w:marLeft w:val="0"/>
      <w:marRight w:val="0"/>
      <w:marTop w:val="0"/>
      <w:marBottom w:val="0"/>
      <w:divBdr>
        <w:top w:val="none" w:sz="0" w:space="0" w:color="auto"/>
        <w:left w:val="none" w:sz="0" w:space="0" w:color="auto"/>
        <w:bottom w:val="none" w:sz="0" w:space="0" w:color="auto"/>
        <w:right w:val="none" w:sz="0" w:space="0" w:color="auto"/>
      </w:divBdr>
    </w:div>
    <w:div w:id="19580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F8383-5CB6-45F0-A935-28CE7E23C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3894695</TotalTime>
  <Pages>5</Pages>
  <Words>1853</Words>
  <Characters>10011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Renatta Maysa Campos Froz</dc:creator>
  <cp:lastModifiedBy>Renato Magno</cp:lastModifiedBy>
  <cp:revision>37</cp:revision>
  <dcterms:created xsi:type="dcterms:W3CDTF">2014-03-28T00:53:00Z</dcterms:created>
  <dcterms:modified xsi:type="dcterms:W3CDTF">2014-11-05T12:12:00Z</dcterms:modified>
</cp:coreProperties>
</file>