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097D" w:rsidRPr="004B6501" w:rsidRDefault="00F90689" w:rsidP="00F9068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r w:rsidRPr="004B6501">
        <w:rPr>
          <w:rFonts w:ascii="Times New Roman" w:hAnsi="Times New Roman" w:cs="Times New Roman"/>
          <w:b/>
          <w:sz w:val="32"/>
          <w:szCs w:val="32"/>
        </w:rPr>
        <w:t xml:space="preserve">A </w:t>
      </w:r>
      <w:r w:rsidR="008A5E87">
        <w:rPr>
          <w:rFonts w:ascii="Times New Roman" w:hAnsi="Times New Roman" w:cs="Times New Roman"/>
          <w:b/>
          <w:sz w:val="32"/>
          <w:szCs w:val="32"/>
        </w:rPr>
        <w:t xml:space="preserve">História da </w:t>
      </w:r>
      <w:r w:rsidRPr="004B6501">
        <w:rPr>
          <w:rFonts w:ascii="Times New Roman" w:hAnsi="Times New Roman" w:cs="Times New Roman"/>
          <w:b/>
          <w:sz w:val="32"/>
          <w:szCs w:val="32"/>
        </w:rPr>
        <w:t>Participação das Mulheres na Sociedade Contemporânea</w:t>
      </w:r>
    </w:p>
    <w:p w:rsidR="001E1086" w:rsidRDefault="001E1086" w:rsidP="001E1086">
      <w:pPr>
        <w:rPr>
          <w:rFonts w:ascii="Times New Roman" w:hAnsi="Times New Roman" w:cs="Times New Roman"/>
          <w:sz w:val="24"/>
          <w:szCs w:val="24"/>
        </w:rPr>
      </w:pPr>
    </w:p>
    <w:p w:rsidR="001E1086" w:rsidRPr="001E1086" w:rsidRDefault="00F90689" w:rsidP="001E1086">
      <w:pPr>
        <w:jc w:val="right"/>
        <w:rPr>
          <w:rFonts w:ascii="Times New Roman" w:hAnsi="Times New Roman" w:cs="Times New Roman"/>
          <w:sz w:val="24"/>
          <w:szCs w:val="24"/>
        </w:rPr>
      </w:pPr>
      <w:r w:rsidRPr="0008378D">
        <w:rPr>
          <w:rFonts w:ascii="Times New Roman" w:hAnsi="Times New Roman" w:cs="Times New Roman"/>
          <w:sz w:val="24"/>
          <w:szCs w:val="24"/>
        </w:rPr>
        <w:t>Kleber William Antunes da Silva</w:t>
      </w:r>
      <w:r w:rsidR="00C06CD5">
        <w:rPr>
          <w:rStyle w:val="Refdenotaderodap"/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footnoteReference w:id="1"/>
      </w:r>
    </w:p>
    <w:p w:rsidR="00F90689" w:rsidRDefault="00F90689" w:rsidP="00F90689">
      <w:pPr>
        <w:rPr>
          <w:rFonts w:ascii="Times New Roman" w:hAnsi="Times New Roman" w:cs="Times New Roman"/>
          <w:sz w:val="28"/>
          <w:szCs w:val="28"/>
        </w:rPr>
      </w:pPr>
    </w:p>
    <w:p w:rsidR="00F90689" w:rsidRPr="00F90689" w:rsidRDefault="00F90689" w:rsidP="00BB4114">
      <w:pPr>
        <w:spacing w:after="100" w:afterAutospacing="1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0689">
        <w:rPr>
          <w:rFonts w:ascii="Times New Roman" w:hAnsi="Times New Roman" w:cs="Times New Roman"/>
          <w:b/>
          <w:sz w:val="28"/>
          <w:szCs w:val="28"/>
        </w:rPr>
        <w:t>RESUMO</w:t>
      </w:r>
      <w:r w:rsidRPr="00F90689">
        <w:rPr>
          <w:rFonts w:ascii="Times New Roman" w:hAnsi="Times New Roman" w:cs="Times New Roman"/>
          <w:sz w:val="28"/>
          <w:szCs w:val="28"/>
        </w:rPr>
        <w:t>: Este trabalho tem por finalidade cumprir o preconizado na página 98, do livro “A Escrita da História”, do componente A Escrita da História: Tendências e Debates. Trata-se de um estudo restrito à participação das mulheres na sociedade contemporânea. Abordaremos o movimento feminista no contexto histórico referente às mulheres; sua participação e</w:t>
      </w:r>
      <w:r w:rsidR="00C04EC4">
        <w:rPr>
          <w:rFonts w:ascii="Times New Roman" w:hAnsi="Times New Roman" w:cs="Times New Roman"/>
          <w:sz w:val="28"/>
          <w:szCs w:val="28"/>
        </w:rPr>
        <w:t>xpressiva na Revolução Francesa</w:t>
      </w:r>
      <w:r>
        <w:rPr>
          <w:rFonts w:ascii="Times New Roman" w:hAnsi="Times New Roman" w:cs="Times New Roman"/>
          <w:sz w:val="28"/>
          <w:szCs w:val="28"/>
        </w:rPr>
        <w:t xml:space="preserve">, sua luta pela igualdade nos direitos trabalhistas </w:t>
      </w:r>
      <w:r w:rsidR="00CA2B31">
        <w:rPr>
          <w:rFonts w:ascii="Times New Roman" w:hAnsi="Times New Roman" w:cs="Times New Roman"/>
          <w:sz w:val="28"/>
          <w:szCs w:val="28"/>
        </w:rPr>
        <w:t xml:space="preserve">e políticos em alguns países </w:t>
      </w:r>
      <w:r>
        <w:rPr>
          <w:rFonts w:ascii="Times New Roman" w:hAnsi="Times New Roman" w:cs="Times New Roman"/>
          <w:sz w:val="28"/>
          <w:szCs w:val="28"/>
        </w:rPr>
        <w:t>e por fim sua participação incisiva no golpe militar de 1964 no Brasil, culminando com a participação expressiva na atual conjuntura política d</w:t>
      </w:r>
      <w:r w:rsidR="00272BCD">
        <w:rPr>
          <w:rFonts w:ascii="Times New Roman" w:hAnsi="Times New Roman" w:cs="Times New Roman"/>
          <w:sz w:val="28"/>
          <w:szCs w:val="28"/>
        </w:rPr>
        <w:t>e alguns países</w:t>
      </w:r>
      <w:r>
        <w:rPr>
          <w:rFonts w:ascii="Times New Roman" w:hAnsi="Times New Roman" w:cs="Times New Roman"/>
          <w:sz w:val="28"/>
          <w:szCs w:val="28"/>
        </w:rPr>
        <w:t>.</w:t>
      </w:r>
    </w:p>
    <w:bookmarkEnd w:id="0"/>
    <w:p w:rsidR="00F90689" w:rsidRPr="00F90689" w:rsidRDefault="00BB4114" w:rsidP="00BB4114">
      <w:pPr>
        <w:spacing w:after="100" w:afterAutospacing="1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PALAVRAS CHAVE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C04EC4">
        <w:rPr>
          <w:rFonts w:ascii="Times New Roman" w:hAnsi="Times New Roman" w:cs="Times New Roman"/>
          <w:sz w:val="28"/>
          <w:szCs w:val="28"/>
        </w:rPr>
        <w:t>Mulheres, Participação</w:t>
      </w:r>
      <w:r w:rsidR="00FD5AD6">
        <w:rPr>
          <w:rFonts w:ascii="Times New Roman" w:hAnsi="Times New Roman" w:cs="Times New Roman"/>
          <w:sz w:val="28"/>
          <w:szCs w:val="28"/>
        </w:rPr>
        <w:t xml:space="preserve"> Social</w:t>
      </w:r>
      <w:r w:rsidR="00C04EC4">
        <w:rPr>
          <w:rFonts w:ascii="Times New Roman" w:hAnsi="Times New Roman" w:cs="Times New Roman"/>
          <w:sz w:val="28"/>
          <w:szCs w:val="28"/>
        </w:rPr>
        <w:t>,</w:t>
      </w:r>
      <w:r w:rsidR="00272BCD">
        <w:rPr>
          <w:rFonts w:ascii="Times New Roman" w:hAnsi="Times New Roman" w:cs="Times New Roman"/>
          <w:sz w:val="28"/>
          <w:szCs w:val="28"/>
        </w:rPr>
        <w:t xml:space="preserve"> Política</w:t>
      </w:r>
      <w:r w:rsidR="00C04EC4">
        <w:rPr>
          <w:rFonts w:ascii="Times New Roman" w:hAnsi="Times New Roman" w:cs="Times New Roman"/>
          <w:sz w:val="28"/>
          <w:szCs w:val="28"/>
        </w:rPr>
        <w:t>.</w:t>
      </w:r>
    </w:p>
    <w:p w:rsidR="00F90689" w:rsidRPr="00FD5AD6" w:rsidRDefault="00F90689" w:rsidP="00BB4114">
      <w:pPr>
        <w:spacing w:after="100" w:afterAutospacing="1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</w:pPr>
      <w:r w:rsidRPr="00F90689">
        <w:rPr>
          <w:rFonts w:ascii="Times New Roman" w:hAnsi="Times New Roman" w:cs="Times New Roman"/>
          <w:b/>
          <w:sz w:val="28"/>
          <w:szCs w:val="28"/>
        </w:rPr>
        <w:t>INTRODUÇÃO</w:t>
      </w:r>
      <w:r w:rsidRPr="00F90689">
        <w:rPr>
          <w:rFonts w:ascii="Times New Roman" w:hAnsi="Times New Roman" w:cs="Times New Roman"/>
          <w:sz w:val="28"/>
          <w:szCs w:val="28"/>
        </w:rPr>
        <w:t>:</w:t>
      </w:r>
      <w:r w:rsidR="00BB4114">
        <w:rPr>
          <w:rFonts w:ascii="Times New Roman" w:hAnsi="Times New Roman" w:cs="Times New Roman"/>
          <w:sz w:val="28"/>
          <w:szCs w:val="28"/>
        </w:rPr>
        <w:t xml:space="preserve"> Durante muito</w:t>
      </w:r>
      <w:r w:rsidR="00FD5AD6">
        <w:rPr>
          <w:rFonts w:ascii="Times New Roman" w:hAnsi="Times New Roman" w:cs="Times New Roman"/>
          <w:sz w:val="28"/>
          <w:szCs w:val="28"/>
        </w:rPr>
        <w:t xml:space="preserve"> tempo, a participação d</w:t>
      </w:r>
      <w:r w:rsidR="00BB4114">
        <w:rPr>
          <w:rFonts w:ascii="Times New Roman" w:hAnsi="Times New Roman" w:cs="Times New Roman"/>
          <w:sz w:val="28"/>
          <w:szCs w:val="28"/>
        </w:rPr>
        <w:t>as mulheres na sociedade foi restrita à procriação e guarda da prole, bem como seu trabalho resumido aos serviços domésticos e à manutenção da casa. Esse pensamento tem basilares</w:t>
      </w:r>
      <w:r w:rsidR="00FD5AD6">
        <w:rPr>
          <w:rFonts w:ascii="Times New Roman" w:hAnsi="Times New Roman" w:cs="Times New Roman"/>
          <w:sz w:val="28"/>
          <w:szCs w:val="28"/>
        </w:rPr>
        <w:t>, ao menos na s</w:t>
      </w:r>
      <w:r w:rsidR="00FD5AD6" w:rsidRPr="00FD5AD6">
        <w:rPr>
          <w:rFonts w:ascii="Times New Roman" w:hAnsi="Times New Roman" w:cs="Times New Roman"/>
          <w:sz w:val="28"/>
          <w:szCs w:val="28"/>
        </w:rPr>
        <w:t>ociedade cristã, n</w:t>
      </w:r>
      <w:r w:rsidR="00BB4114" w:rsidRPr="00FD5AD6">
        <w:rPr>
          <w:rFonts w:ascii="Times New Roman" w:hAnsi="Times New Roman" w:cs="Times New Roman"/>
          <w:sz w:val="28"/>
          <w:szCs w:val="28"/>
        </w:rPr>
        <w:t xml:space="preserve">a </w:t>
      </w:r>
      <w:r w:rsidR="00FD5AD6" w:rsidRPr="00FD5AD6">
        <w:rPr>
          <w:rFonts w:ascii="Times New Roman" w:hAnsi="Times New Roman" w:cs="Times New Roman"/>
          <w:sz w:val="28"/>
          <w:szCs w:val="28"/>
        </w:rPr>
        <w:t xml:space="preserve">própria </w:t>
      </w:r>
      <w:r w:rsidR="00BB4114" w:rsidRPr="00FD5AD6">
        <w:rPr>
          <w:rFonts w:ascii="Times New Roman" w:hAnsi="Times New Roman" w:cs="Times New Roman"/>
          <w:sz w:val="28"/>
          <w:szCs w:val="28"/>
        </w:rPr>
        <w:t>bíblia, que em muitos de seus livros trata-a como “submissa ao marido”</w:t>
      </w:r>
      <w:r w:rsidR="00C04EC4">
        <w:rPr>
          <w:rFonts w:ascii="Times New Roman" w:hAnsi="Times New Roman" w:cs="Times New Roman"/>
          <w:sz w:val="28"/>
          <w:szCs w:val="28"/>
        </w:rPr>
        <w:t xml:space="preserve">: </w:t>
      </w:r>
      <w:r w:rsidR="00BB4114" w:rsidRPr="00FD5AD6">
        <w:rPr>
          <w:rFonts w:ascii="Times New Roman" w:hAnsi="Times New Roman" w:cs="Times New Roman"/>
          <w:bCs/>
          <w:i/>
          <w:iCs/>
          <w:sz w:val="28"/>
          <w:szCs w:val="28"/>
          <w:shd w:val="clear" w:color="auto" w:fill="FFFFFF"/>
        </w:rPr>
        <w:t>“Como, porém, a igreja está sujeita a Cristo, assim também as mulheres sejam em tudo submissas ao seu marido.” -Efésios 5.24”</w:t>
      </w:r>
      <w:r w:rsidR="00BB4114" w:rsidRPr="00FD5AD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, e no próprio estatuto dos mandamentos, tido como “Os Dez Mandamentos”, a mulher é comparada a um objeto, ou </w:t>
      </w:r>
      <w:r w:rsidR="00C06CD5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u</w:t>
      </w:r>
      <w:r w:rsidR="00BB4114" w:rsidRPr="00FD5AD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m pertence como qualquer outro</w:t>
      </w:r>
      <w:r w:rsidR="008E1E13" w:rsidRPr="00FD5AD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: “</w:t>
      </w:r>
      <w:r w:rsidR="008E1E13" w:rsidRPr="00FD5AD6">
        <w:rPr>
          <w:rFonts w:ascii="Times New Roman" w:hAnsi="Times New Roman" w:cs="Times New Roman"/>
          <w:bCs/>
          <w:i/>
          <w:iCs/>
          <w:sz w:val="28"/>
          <w:szCs w:val="28"/>
          <w:shd w:val="clear" w:color="auto" w:fill="FFFFFF"/>
        </w:rPr>
        <w:t xml:space="preserve">Não cobiçarás a casa do teu próximo; não </w:t>
      </w:r>
      <w:r w:rsidR="008E1E13" w:rsidRPr="00FD5AD6">
        <w:rPr>
          <w:rFonts w:ascii="Times New Roman" w:hAnsi="Times New Roman" w:cs="Times New Roman"/>
          <w:bCs/>
          <w:i/>
          <w:iCs/>
          <w:sz w:val="28"/>
          <w:szCs w:val="28"/>
          <w:shd w:val="clear" w:color="auto" w:fill="FFFFFF"/>
        </w:rPr>
        <w:lastRenderedPageBreak/>
        <w:t>cobiçarás a mulher do seu próximo, nem seu escravo, nem sua escrava, nem seu boi, nem seu jumento, nem nada do que lhe pertence</w:t>
      </w:r>
      <w:r w:rsidR="008E1E13" w:rsidRPr="00FD5AD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” - </w:t>
      </w:r>
      <w:r w:rsidR="008E1E13" w:rsidRPr="00FD5AD6">
        <w:rPr>
          <w:rFonts w:ascii="Times New Roman" w:hAnsi="Times New Roman" w:cs="Times New Roman"/>
          <w:bCs/>
          <w:i/>
          <w:iCs/>
          <w:sz w:val="28"/>
          <w:szCs w:val="28"/>
          <w:shd w:val="clear" w:color="auto" w:fill="FFFFFF"/>
        </w:rPr>
        <w:t>Êxodo 20.17</w:t>
      </w:r>
      <w:r w:rsidR="008E1E13" w:rsidRPr="00FD5AD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.</w:t>
      </w:r>
    </w:p>
    <w:p w:rsidR="008E1E13" w:rsidRDefault="008E1E13" w:rsidP="00BB4114">
      <w:pPr>
        <w:spacing w:after="100" w:afterAutospacing="1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</w:pPr>
      <w:r w:rsidRPr="00FD5AD6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ab/>
        <w:t>Partindo desse pressuposto, e com base nos ensinamentos religiosos, a mulher se viu, durante mui</w:t>
      </w:r>
      <w:r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to tempo,</w:t>
      </w:r>
      <w:r w:rsidR="00272BCD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cerceada de exercer seu papel </w:t>
      </w:r>
      <w:r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como cidadã na sociedade. Sua vida de mãe, esposa e cuidadora era o que bastava para sua existência, e como afirma </w:t>
      </w:r>
      <w:r w:rsidR="0081601F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Rachel </w:t>
      </w:r>
      <w:proofErr w:type="spellStart"/>
      <w:r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Soihet</w:t>
      </w:r>
      <w:proofErr w:type="spellEnd"/>
      <w:r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, “estiveram ausentes das atividades consideradas dignas de serem registradas para o conhecimento das gerações subsequentes” (SOIHET, 1997, p 295).</w:t>
      </w:r>
    </w:p>
    <w:p w:rsidR="00FD5AD6" w:rsidRDefault="00FD5AD6" w:rsidP="00BB4114">
      <w:pPr>
        <w:spacing w:after="100" w:afterAutospacing="1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ab/>
        <w:t xml:space="preserve">Apesar de viverem longos períodos marginalizadas nos subterrâneos da história, as mulheres não foram totalmente esquecidas. Alguns intelectuais, dentre eles o historiador Jules </w:t>
      </w:r>
      <w:proofErr w:type="spellStart"/>
      <w:r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Michelet</w:t>
      </w:r>
      <w:proofErr w:type="spellEnd"/>
      <w:r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, no </w:t>
      </w:r>
      <w:proofErr w:type="spellStart"/>
      <w:r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séc</w:t>
      </w:r>
      <w:proofErr w:type="spellEnd"/>
      <w:r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XIX, preocupou-se com a história das mulheres. Em sua obra, La </w:t>
      </w:r>
      <w:proofErr w:type="spellStart"/>
      <w:r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Femme</w:t>
      </w:r>
      <w:proofErr w:type="spellEnd"/>
      <w:r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, observa alguns comportamentos das mulheres durante o século XVIII, quando, por algum motivo tentavam usurpar alguma função que era “essencialmente masculina”, por meio da esfera pública, eram tidas como força do mal e da infelicidade.</w:t>
      </w:r>
    </w:p>
    <w:p w:rsidR="00FD5AD6" w:rsidRDefault="00FD5AD6" w:rsidP="00BB4114">
      <w:pPr>
        <w:spacing w:after="100" w:afterAutospacing="1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</w:pPr>
      <w:r w:rsidRPr="00FD5AD6">
        <w:rPr>
          <w:rFonts w:ascii="Times New Roman" w:hAnsi="Times New Roman" w:cs="Times New Roman"/>
          <w:b/>
          <w:bCs/>
          <w:iCs/>
          <w:sz w:val="28"/>
          <w:szCs w:val="28"/>
          <w:shd w:val="clear" w:color="auto" w:fill="FFFFFF"/>
        </w:rPr>
        <w:t>A Participação Social das Mulheres na História</w:t>
      </w:r>
      <w:r>
        <w:rPr>
          <w:rFonts w:ascii="Times New Roman" w:hAnsi="Times New Roman" w:cs="Times New Roman"/>
          <w:b/>
          <w:bCs/>
          <w:iCs/>
          <w:sz w:val="28"/>
          <w:szCs w:val="28"/>
          <w:shd w:val="clear" w:color="auto" w:fill="FFFFFF"/>
        </w:rPr>
        <w:t xml:space="preserve">: </w:t>
      </w:r>
      <w:r w:rsidR="00861224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Partindo</w:t>
      </w:r>
      <w:r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="00861224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d</w:t>
      </w:r>
      <w:r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a Revolução Francesa, no </w:t>
      </w:r>
      <w:proofErr w:type="spellStart"/>
      <w:r w:rsidR="00861224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séc</w:t>
      </w:r>
      <w:proofErr w:type="spellEnd"/>
      <w:r w:rsidR="00861224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XVIII, as mulheres lutaram ao lado dos homens durante o período revolucionário, em 1793. Arquivos franceses registram dados biográficos de oitenta dessas guerreiras, entre elas </w:t>
      </w:r>
      <w:proofErr w:type="spellStart"/>
      <w:r w:rsidR="00861224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Marrie</w:t>
      </w:r>
      <w:proofErr w:type="spellEnd"/>
      <w:r w:rsidR="00861224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proofErr w:type="spellStart"/>
      <w:r w:rsidR="00861224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Henriette</w:t>
      </w:r>
      <w:proofErr w:type="spellEnd"/>
      <w:r w:rsidR="00861224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proofErr w:type="spellStart"/>
      <w:r w:rsidR="00861224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Xaintrailles</w:t>
      </w:r>
      <w:proofErr w:type="spellEnd"/>
      <w:r w:rsidR="00861224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. “Não fiz a guerra como mulher, fiz a guerra como um bravo!”, declarou em uma carta ao imperador Napoleão Bonaparte (1769-1821),</w:t>
      </w:r>
    </w:p>
    <w:p w:rsidR="00861224" w:rsidRDefault="00861224" w:rsidP="00861224">
      <w:pPr>
        <w:spacing w:after="100" w:afterAutospacing="1" w:line="360" w:lineRule="auto"/>
        <w:ind w:left="297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“</w:t>
      </w:r>
      <w:r w:rsidRPr="00861224">
        <w:rPr>
          <w:rFonts w:ascii="Times New Roman" w:hAnsi="Times New Roman" w:cs="Times New Roman"/>
          <w:sz w:val="24"/>
          <w:szCs w:val="24"/>
          <w:shd w:val="clear" w:color="auto" w:fill="FFFFFF"/>
        </w:rPr>
        <w:t>Não se conhece o número exato de mulheres-soldados durante o período revolucionário francês (1789-1799).  Há oitenta casos registrados nos arquivos parlamentares, militares e policiais, e informações biográficas esparsas sobre apenas quarenta e quatro.</w:t>
      </w:r>
      <w:r w:rsidR="00272BC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8612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Entretanto, existem </w:t>
      </w:r>
      <w:r w:rsidRPr="00861224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muitas referências em imagens e testemunhos da época. O deputado </w:t>
      </w:r>
      <w:proofErr w:type="spellStart"/>
      <w:r w:rsidRPr="00861224">
        <w:rPr>
          <w:rFonts w:ascii="Times New Roman" w:hAnsi="Times New Roman" w:cs="Times New Roman"/>
          <w:sz w:val="24"/>
          <w:szCs w:val="24"/>
          <w:shd w:val="clear" w:color="auto" w:fill="FFFFFF"/>
        </w:rPr>
        <w:t>Grégoire</w:t>
      </w:r>
      <w:proofErr w:type="spellEnd"/>
      <w:r w:rsidRPr="008612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(1750-1831) as elogiou oficialmente: “E vós, generosas cidadãs que participaram da sorte dos combates”. Essas constatações nos permitem supor que elas eram mais numerosas e bem integradas à vida militar do que pode parecer. Quase todas vinham de meios sociais modestos. Eram filhas de pequenos camponeses e artesãos, e tinham apelidos como </w:t>
      </w:r>
      <w:proofErr w:type="spellStart"/>
      <w:r w:rsidRPr="00861224">
        <w:rPr>
          <w:rFonts w:ascii="Times New Roman" w:hAnsi="Times New Roman" w:cs="Times New Roman"/>
          <w:sz w:val="24"/>
          <w:szCs w:val="24"/>
          <w:shd w:val="clear" w:color="auto" w:fill="FFFFFF"/>
        </w:rPr>
        <w:t>Felicité</w:t>
      </w:r>
      <w:proofErr w:type="spellEnd"/>
      <w:r w:rsidR="00272BCD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8612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Vai-de-bom-coração ou Maria Cabeça-de-pau. A maioria era muito jovem, como Ana Quatro-vinténs, que se alistou aos 13 anos, e aos 16 servia na artilharia montada.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” </w:t>
      </w:r>
      <w:r w:rsidRPr="00272B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Tânia Machado </w:t>
      </w:r>
      <w:proofErr w:type="spellStart"/>
      <w:r w:rsidRPr="00272BCD">
        <w:rPr>
          <w:rFonts w:ascii="Times New Roman" w:hAnsi="Times New Roman" w:cs="Times New Roman"/>
          <w:sz w:val="28"/>
          <w:szCs w:val="28"/>
          <w:shd w:val="clear" w:color="auto" w:fill="FFFFFF"/>
        </w:rPr>
        <w:t>Morin</w:t>
      </w:r>
      <w:proofErr w:type="spellEnd"/>
      <w:r w:rsidR="00272BCD">
        <w:rPr>
          <w:rFonts w:ascii="Times New Roman" w:hAnsi="Times New Roman" w:cs="Times New Roman"/>
          <w:sz w:val="28"/>
          <w:szCs w:val="28"/>
          <w:shd w:val="clear" w:color="auto" w:fill="FFFFFF"/>
        </w:rPr>
        <w:t>, Revista História.</w:t>
      </w:r>
    </w:p>
    <w:p w:rsidR="00E2188A" w:rsidRDefault="00E2188A" w:rsidP="00861224">
      <w:pPr>
        <w:spacing w:after="100" w:afterAutospacing="1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2188A">
        <w:rPr>
          <w:rFonts w:ascii="Times New Roman" w:hAnsi="Times New Roman" w:cs="Times New Roman"/>
          <w:sz w:val="28"/>
          <w:szCs w:val="28"/>
          <w:shd w:val="clear" w:color="auto" w:fill="FFFFFF"/>
        </w:rPr>
        <w:t>Com o surgimento da sociedade industrial, a mulher assume uma posição como operária nas fábricas e indústrias, deixando o e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spaço doméstico como único local</w:t>
      </w:r>
      <w:r w:rsidRPr="00E2188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de seu trabalho diário. Após um longo período de opressão e discriminação, a passagem do século XIX para o </w:t>
      </w:r>
      <w:r w:rsidR="00C04EC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século </w:t>
      </w:r>
      <w:r w:rsidRPr="00E2188A">
        <w:rPr>
          <w:rFonts w:ascii="Times New Roman" w:hAnsi="Times New Roman" w:cs="Times New Roman"/>
          <w:sz w:val="28"/>
          <w:szCs w:val="28"/>
          <w:shd w:val="clear" w:color="auto" w:fill="FFFFFF"/>
        </w:rPr>
        <w:t>XX fi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cou marcada pela intensificação </w:t>
      </w:r>
      <w:r w:rsidRPr="00E2188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do movimento feminista,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que passa a ser mais marcante, com </w:t>
      </w:r>
      <w:r w:rsidRPr="00E2188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voz e representatividade política na luta pelos direitos das mulheres, dentre eles o direito ao voto. Essa luta pela cidadania não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foi</w:t>
      </w:r>
      <w:r w:rsidRPr="00E2188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fácil,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e perdurou por anos.</w:t>
      </w:r>
    </w:p>
    <w:p w:rsidR="00E2188A" w:rsidRDefault="00E2188A" w:rsidP="00861224">
      <w:pPr>
        <w:spacing w:after="100" w:afterAutospacing="1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 xml:space="preserve">Não podemos deixar de lembrar que, durante esse longo processo histórico, </w:t>
      </w:r>
      <w:r w:rsidR="00E9479A">
        <w:rPr>
          <w:rFonts w:ascii="Times New Roman" w:hAnsi="Times New Roman" w:cs="Times New Roman"/>
          <w:sz w:val="28"/>
          <w:szCs w:val="28"/>
          <w:shd w:val="clear" w:color="auto" w:fill="FFFFFF"/>
        </w:rPr>
        <w:t>as formas de perceber a mulher foram estabelecidas conforme as visões do mundo em que estavam inseridas, isto é, através das práticas e representações mentais de um grupo que impunha a ela os seus próprios discursos. Entretanto, não significa que se submeteram aos mesmos, e não burlaram o sistema social, familiar, religioso e cultural. Destaques desses exemplos, dentre tantos outros, são Joana D’Arc, Olga Benário, Chica da Silva; mulheres que sobressaíram mesmo em meio ao pensamento contrário de suas “atribuições naturais”.</w:t>
      </w:r>
    </w:p>
    <w:p w:rsidR="00153AD5" w:rsidRDefault="00E9479A" w:rsidP="00153AD5">
      <w:pPr>
        <w:spacing w:after="100" w:afterAutospacing="1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ab/>
      </w:r>
      <w:r w:rsidR="00CA2B31">
        <w:rPr>
          <w:rFonts w:ascii="Times New Roman" w:hAnsi="Times New Roman" w:cs="Times New Roman"/>
          <w:sz w:val="28"/>
          <w:szCs w:val="28"/>
          <w:shd w:val="clear" w:color="auto" w:fill="FFFFFF"/>
        </w:rPr>
        <w:t>Remontando ao continente americano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Pr="00153AD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em </w:t>
      </w:r>
      <w:r w:rsidR="00153AD5" w:rsidRPr="00153AD5">
        <w:rPr>
          <w:rFonts w:ascii="Times New Roman" w:hAnsi="Times New Roman" w:cs="Times New Roman"/>
          <w:sz w:val="28"/>
          <w:szCs w:val="28"/>
          <w:shd w:val="clear" w:color="auto" w:fill="FFFFFF"/>
        </w:rPr>
        <w:t>Nova York em 1911, cerca de 130 operárias morreram carbonizadas</w:t>
      </w:r>
      <w:r w:rsidR="00153AD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CA2B3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no interior de uma fábrica, </w:t>
      </w:r>
      <w:r w:rsidR="00153AD5">
        <w:rPr>
          <w:rFonts w:ascii="Times New Roman" w:hAnsi="Times New Roman" w:cs="Times New Roman"/>
          <w:sz w:val="28"/>
          <w:szCs w:val="28"/>
          <w:shd w:val="clear" w:color="auto" w:fill="FFFFFF"/>
        </w:rPr>
        <w:t>ao reivindicarem melhorias salariais, bem como melhores condições de trabalho, reconhecimento de direito e igualdade salarial perante os homens</w:t>
      </w:r>
      <w:r w:rsidR="00153AD5" w:rsidRPr="00153AD5">
        <w:rPr>
          <w:rFonts w:ascii="Times New Roman" w:hAnsi="Times New Roman" w:cs="Times New Roman"/>
          <w:sz w:val="28"/>
          <w:szCs w:val="28"/>
          <w:shd w:val="clear" w:color="auto" w:fill="FFFFFF"/>
        </w:rPr>
        <w:t>. Sem dúvida, o incidente ocorrido em 25 de março daquele ano marcou a trajetória das lutas</w:t>
      </w:r>
      <w:r w:rsidR="00C04EC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feministas ao longo do século XX</w:t>
      </w:r>
      <w:r w:rsidR="00153AD5" w:rsidRPr="00153AD5">
        <w:rPr>
          <w:rFonts w:ascii="Times New Roman" w:hAnsi="Times New Roman" w:cs="Times New Roman"/>
          <w:sz w:val="28"/>
          <w:szCs w:val="28"/>
          <w:shd w:val="clear" w:color="auto" w:fill="FFFFFF"/>
        </w:rPr>
        <w:t>, ma</w:t>
      </w:r>
      <w:r w:rsidR="00DC78D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s os eventos que levaram à eclosão ideológica </w:t>
      </w:r>
      <w:r w:rsidR="00153AD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são bem anteriores a </w:t>
      </w:r>
      <w:r w:rsidR="00153AD5" w:rsidRPr="00153AD5">
        <w:rPr>
          <w:rFonts w:ascii="Times New Roman" w:hAnsi="Times New Roman" w:cs="Times New Roman"/>
          <w:sz w:val="28"/>
          <w:szCs w:val="28"/>
          <w:shd w:val="clear" w:color="auto" w:fill="FFFFFF"/>
        </w:rPr>
        <w:t>este acontecimento.</w:t>
      </w:r>
    </w:p>
    <w:p w:rsidR="00153AD5" w:rsidRDefault="00C04EC4" w:rsidP="00153AD5">
      <w:pPr>
        <w:spacing w:after="100" w:afterAutospacing="1" w:line="360" w:lineRule="auto"/>
        <w:ind w:firstLine="708"/>
        <w:jc w:val="both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Desde o final do século XIX</w:t>
      </w:r>
      <w:r w:rsidR="00153AD5" w:rsidRPr="00153AD5">
        <w:rPr>
          <w:rFonts w:ascii="Times New Roman" w:hAnsi="Times New Roman" w:cs="Times New Roman"/>
          <w:sz w:val="28"/>
          <w:szCs w:val="28"/>
          <w:shd w:val="clear" w:color="auto" w:fill="FFFFFF"/>
        </w:rPr>
        <w:t>, organizações femininas oriundas de movimentos operários protestavam em vários países da Europa e nos Estados Unidos. As jornadas de trabalho de aproximadamente</w:t>
      </w:r>
      <w:r w:rsidR="00153AD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15 horas diárias e os baixíssimos salários </w:t>
      </w:r>
      <w:r w:rsidR="00153AD5" w:rsidRPr="00153AD5">
        <w:rPr>
          <w:rFonts w:ascii="Times New Roman" w:hAnsi="Times New Roman" w:cs="Times New Roman"/>
          <w:sz w:val="28"/>
          <w:szCs w:val="28"/>
          <w:shd w:val="clear" w:color="auto" w:fill="FFFFFF"/>
        </w:rPr>
        <w:t>introduzidos pela Revolução Industrial levaram as mulheres a greves para reivindicar melhores condições de trabalho e o fim do trabalho infantil, comum nas fábricas durante o período.</w:t>
      </w:r>
      <w:r w:rsidR="00153AD5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153AD5" w:rsidRDefault="00153AD5" w:rsidP="00153AD5">
      <w:pPr>
        <w:spacing w:after="100" w:afterAutospacing="1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A participação na vida política também foi uma conquista relativamente recente. </w:t>
      </w:r>
      <w:r w:rsidR="00E2188A" w:rsidRPr="00E2188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Prova disso está no fato de que a participação do voto feminino é um fenômeno também recente para a história do Brasil. Embora a proclamação da República tenha ocorrido em 1889, foi apenas em 1932 que as mulheres brasileiras puderam votar efetivamente. </w:t>
      </w:r>
    </w:p>
    <w:p w:rsidR="00CA2B31" w:rsidRDefault="00272BCD" w:rsidP="00153AD5">
      <w:pPr>
        <w:spacing w:after="100" w:afterAutospacing="1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O </w:t>
      </w:r>
      <w:r w:rsidR="00E2188A" w:rsidRPr="00E2188A">
        <w:rPr>
          <w:rFonts w:ascii="Times New Roman" w:hAnsi="Times New Roman" w:cs="Times New Roman"/>
          <w:sz w:val="28"/>
          <w:szCs w:val="28"/>
          <w:shd w:val="clear" w:color="auto" w:fill="FFFFFF"/>
        </w:rPr>
        <w:t>modelo de família norte-americana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 que</w:t>
      </w:r>
      <w:r w:rsidR="00E2188A" w:rsidRPr="00E2188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estava em seu auge, em que a figura feminina era imaginada de avental e com bobs nos cabelos, no meio da cozinha, envolta por liquidificador, batedeira, fogão, entre outros utensílios domésticos</w:t>
      </w:r>
      <w:r w:rsidR="00153AD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também</w:t>
      </w:r>
      <w:r w:rsidR="00DC78D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contribuiu para desencadear</w:t>
      </w:r>
      <w:r w:rsidR="00153AD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tardiamente a participação da mulher no sufrágio eleitoral</w:t>
      </w:r>
      <w:r w:rsidR="00E2188A" w:rsidRPr="00E2188A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153AD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153AD5" w:rsidRPr="00153AD5">
        <w:rPr>
          <w:rFonts w:ascii="Times New Roman" w:hAnsi="Times New Roman" w:cs="Times New Roman"/>
          <w:sz w:val="28"/>
          <w:szCs w:val="28"/>
        </w:rPr>
        <w:t>A partir de 1869, alguns territórios e estados dos EUA concederam tal direito às mulheres. Mas os esforços para criar uma lei federal fracassaram várias vezes. Por fim, a vitória se deu em 1920, quando a 19</w:t>
      </w:r>
      <w:r w:rsidR="00153AD5" w:rsidRPr="00153AD5">
        <w:rPr>
          <w:rFonts w:ascii="Times New Roman" w:hAnsi="Times New Roman" w:cs="Times New Roman"/>
          <w:sz w:val="28"/>
          <w:szCs w:val="28"/>
          <w:vertAlign w:val="superscript"/>
        </w:rPr>
        <w:t>a</w:t>
      </w:r>
      <w:r w:rsidR="00153AD5" w:rsidRPr="00153AD5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="00153AD5" w:rsidRPr="00153AD5">
        <w:rPr>
          <w:rFonts w:ascii="Times New Roman" w:hAnsi="Times New Roman" w:cs="Times New Roman"/>
          <w:sz w:val="28"/>
          <w:szCs w:val="28"/>
        </w:rPr>
        <w:t>Emenda da</w:t>
      </w:r>
      <w:r w:rsidR="00153AD5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="00153AD5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</w:rPr>
          <w:t>constituição</w:t>
        </w:r>
      </w:hyperlink>
      <w:r w:rsidR="00153AD5" w:rsidRPr="00153AD5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="00153AD5" w:rsidRPr="00153AD5">
        <w:rPr>
          <w:rFonts w:ascii="Times New Roman" w:hAnsi="Times New Roman" w:cs="Times New Roman"/>
          <w:sz w:val="28"/>
          <w:szCs w:val="28"/>
        </w:rPr>
        <w:t>americana foi aprovada, reconhecendo às mulheres o direito de votarem em todo o país.</w:t>
      </w:r>
      <w:r w:rsidR="00E2188A" w:rsidRPr="00153AD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CA2B31" w:rsidRDefault="00DC78D0" w:rsidP="00153AD5">
      <w:pPr>
        <w:spacing w:after="100" w:afterAutospacing="1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No Brasil, a pioneira do feminismo </w:t>
      </w:r>
      <w:r w:rsidR="00CA2B31" w:rsidRPr="00CA2B31">
        <w:rPr>
          <w:rFonts w:ascii="Times New Roman" w:hAnsi="Times New Roman" w:cs="Times New Roman"/>
          <w:sz w:val="28"/>
          <w:szCs w:val="28"/>
        </w:rPr>
        <w:t xml:space="preserve">foi Nísia Floresta Brasileira Augusta, cujo nome verdadeiro era Dionísia Gonçalves Pinto. Ela nasceu em 12 de outubro de 1810, em </w:t>
      </w:r>
      <w:proofErr w:type="spellStart"/>
      <w:r w:rsidR="00CA2B31" w:rsidRPr="00CA2B31">
        <w:rPr>
          <w:rFonts w:ascii="Times New Roman" w:hAnsi="Times New Roman" w:cs="Times New Roman"/>
          <w:sz w:val="28"/>
          <w:szCs w:val="28"/>
        </w:rPr>
        <w:t>Papari</w:t>
      </w:r>
      <w:proofErr w:type="spellEnd"/>
      <w:r w:rsidR="00CA2B31" w:rsidRPr="00CA2B31">
        <w:rPr>
          <w:rFonts w:ascii="Times New Roman" w:hAnsi="Times New Roman" w:cs="Times New Roman"/>
          <w:sz w:val="28"/>
          <w:szCs w:val="28"/>
        </w:rPr>
        <w:t>, no estado do Rio Grande do Norte, cidade que depois passou a se chamar Nísia Florest</w:t>
      </w:r>
      <w:r w:rsidR="00272BCD">
        <w:rPr>
          <w:rFonts w:ascii="Times New Roman" w:hAnsi="Times New Roman" w:cs="Times New Roman"/>
          <w:sz w:val="28"/>
          <w:szCs w:val="28"/>
        </w:rPr>
        <w:t>a,</w:t>
      </w:r>
      <w:r w:rsidR="00CA2B31" w:rsidRPr="00CA2B31">
        <w:rPr>
          <w:rFonts w:ascii="Times New Roman" w:hAnsi="Times New Roman" w:cs="Times New Roman"/>
          <w:sz w:val="28"/>
          <w:szCs w:val="28"/>
        </w:rPr>
        <w:t xml:space="preserve"> </w:t>
      </w:r>
      <w:r w:rsidR="00272BCD">
        <w:rPr>
          <w:rFonts w:ascii="Times New Roman" w:hAnsi="Times New Roman" w:cs="Times New Roman"/>
          <w:sz w:val="28"/>
          <w:szCs w:val="28"/>
        </w:rPr>
        <w:t>e</w:t>
      </w:r>
      <w:r w:rsidR="00CA2B31" w:rsidRPr="00CA2B31">
        <w:rPr>
          <w:rFonts w:ascii="Times New Roman" w:hAnsi="Times New Roman" w:cs="Times New Roman"/>
          <w:sz w:val="28"/>
          <w:szCs w:val="28"/>
        </w:rPr>
        <w:t xml:space="preserve"> morreu em Rouen, na França, em 1885. Foi escritora, educadora e poetisa. Publicou o primeiro livro na América Latina tratando das questões do direito feminino.</w:t>
      </w:r>
      <w:r w:rsidR="00CA2B31">
        <w:rPr>
          <w:rFonts w:ascii="Times New Roman" w:hAnsi="Times New Roman" w:cs="Times New Roman"/>
          <w:sz w:val="28"/>
          <w:szCs w:val="28"/>
        </w:rPr>
        <w:t xml:space="preserve"> A luta femini</w:t>
      </w:r>
      <w:r w:rsidR="00E17630">
        <w:rPr>
          <w:rFonts w:ascii="Times New Roman" w:hAnsi="Times New Roman" w:cs="Times New Roman"/>
          <w:sz w:val="28"/>
          <w:szCs w:val="28"/>
        </w:rPr>
        <w:t>sta</w:t>
      </w:r>
      <w:r w:rsidR="00CA2B31">
        <w:rPr>
          <w:rFonts w:ascii="Times New Roman" w:hAnsi="Times New Roman" w:cs="Times New Roman"/>
          <w:sz w:val="28"/>
          <w:szCs w:val="28"/>
        </w:rPr>
        <w:t xml:space="preserve"> no Bra</w:t>
      </w:r>
      <w:r w:rsidR="00044C80">
        <w:rPr>
          <w:rFonts w:ascii="Times New Roman" w:hAnsi="Times New Roman" w:cs="Times New Roman"/>
          <w:sz w:val="28"/>
          <w:szCs w:val="28"/>
        </w:rPr>
        <w:t>sil passou a ganhar força nos anos de 1962 e 1964, quando surgiram muitas organizações femininas em todo o país: Cruzada Democrática Feminina (CDF), em Pernambuco; Liga da Mulher Democrática (LIMDE), em Minas Gerais; Campanha da Mulher pela Democracia (CAMDE) em Guanabara; União Cívica Feminina (UCF) e Movimento de Arregimentação Fem</w:t>
      </w:r>
      <w:r w:rsidR="0027475B">
        <w:rPr>
          <w:rFonts w:ascii="Times New Roman" w:hAnsi="Times New Roman" w:cs="Times New Roman"/>
          <w:sz w:val="28"/>
          <w:szCs w:val="28"/>
        </w:rPr>
        <w:t>i</w:t>
      </w:r>
      <w:r w:rsidR="0027475B" w:rsidRPr="00E17630">
        <w:rPr>
          <w:rFonts w:ascii="Times New Roman" w:hAnsi="Times New Roman" w:cs="Times New Roman"/>
          <w:sz w:val="28"/>
          <w:szCs w:val="28"/>
        </w:rPr>
        <w:t>n</w:t>
      </w:r>
      <w:r w:rsidR="00E17630" w:rsidRPr="00E17630">
        <w:rPr>
          <w:rFonts w:ascii="Times New Roman" w:hAnsi="Times New Roman" w:cs="Times New Roman"/>
          <w:sz w:val="28"/>
          <w:szCs w:val="28"/>
        </w:rPr>
        <w:t>ina (MAF), ambos de São Paulo, e</w:t>
      </w:r>
      <w:r w:rsidR="00E20BA1" w:rsidRPr="00E17630">
        <w:rPr>
          <w:rFonts w:ascii="Times New Roman" w:hAnsi="Times New Roman" w:cs="Times New Roman"/>
          <w:sz w:val="28"/>
          <w:szCs w:val="28"/>
        </w:rPr>
        <w:t xml:space="preserve"> </w:t>
      </w:r>
      <w:r w:rsidR="00044C80" w:rsidRPr="00E17630">
        <w:rPr>
          <w:rFonts w:ascii="Times New Roman" w:hAnsi="Times New Roman" w:cs="Times New Roman"/>
          <w:sz w:val="28"/>
          <w:szCs w:val="28"/>
        </w:rPr>
        <w:t xml:space="preserve">Ação Democrática </w:t>
      </w:r>
      <w:r w:rsidR="0027475B" w:rsidRPr="00E17630">
        <w:rPr>
          <w:rFonts w:ascii="Times New Roman" w:hAnsi="Times New Roman" w:cs="Times New Roman"/>
          <w:sz w:val="28"/>
          <w:szCs w:val="28"/>
        </w:rPr>
        <w:t>Feminina Gaúcha (ADFG), no Rio Grande do Sul.</w:t>
      </w:r>
      <w:r w:rsidR="00E17630" w:rsidRPr="00E17630">
        <w:rPr>
          <w:rFonts w:ascii="Times New Roman" w:hAnsi="Times New Roman" w:cs="Times New Roman"/>
          <w:sz w:val="28"/>
          <w:szCs w:val="28"/>
        </w:rPr>
        <w:t xml:space="preserve"> </w:t>
      </w:r>
      <w:r w:rsidR="00E17630" w:rsidRPr="00E17630">
        <w:rPr>
          <w:rFonts w:ascii="Times New Roman" w:hAnsi="Times New Roman" w:cs="Times New Roman"/>
          <w:sz w:val="28"/>
          <w:szCs w:val="28"/>
          <w:shd w:val="clear" w:color="auto" w:fill="F3F3F3"/>
        </w:rPr>
        <w:t>A militante Maria Amélia Teles foi uma da</w:t>
      </w:r>
      <w:r w:rsidR="00E17630">
        <w:rPr>
          <w:rFonts w:ascii="Times New Roman" w:hAnsi="Times New Roman" w:cs="Times New Roman"/>
          <w:sz w:val="28"/>
          <w:szCs w:val="28"/>
          <w:shd w:val="clear" w:color="auto" w:fill="F3F3F3"/>
        </w:rPr>
        <w:t>s primeiras a combater o regime;</w:t>
      </w:r>
      <w:r w:rsidR="00E17630" w:rsidRPr="00E17630">
        <w:rPr>
          <w:rFonts w:ascii="Times New Roman" w:hAnsi="Times New Roman" w:cs="Times New Roman"/>
          <w:sz w:val="28"/>
          <w:szCs w:val="28"/>
          <w:shd w:val="clear" w:color="auto" w:fill="F3F3F3"/>
        </w:rPr>
        <w:t xml:space="preserve"> foi presa junto com o marido, a irmã grávida e os dois filhos.</w:t>
      </w:r>
      <w:r w:rsidR="0027475B">
        <w:rPr>
          <w:rFonts w:ascii="Times New Roman" w:hAnsi="Times New Roman" w:cs="Times New Roman"/>
          <w:sz w:val="28"/>
          <w:szCs w:val="28"/>
        </w:rPr>
        <w:t xml:space="preserve"> </w:t>
      </w:r>
      <w:r w:rsidR="00E17630">
        <w:rPr>
          <w:rFonts w:ascii="Times New Roman" w:hAnsi="Times New Roman" w:cs="Times New Roman"/>
          <w:sz w:val="28"/>
          <w:szCs w:val="28"/>
        </w:rPr>
        <w:t xml:space="preserve">Algumas dessas organizações foram extintas com a queda de João Goulart, outras tiveram uma existência mais duradoura. </w:t>
      </w:r>
      <w:r w:rsidR="0027475B">
        <w:rPr>
          <w:rFonts w:ascii="Times New Roman" w:hAnsi="Times New Roman" w:cs="Times New Roman"/>
          <w:sz w:val="28"/>
          <w:szCs w:val="28"/>
        </w:rPr>
        <w:t>A participação feminina expressou seu descontentame</w:t>
      </w:r>
      <w:r w:rsidR="00E17630">
        <w:rPr>
          <w:rFonts w:ascii="Times New Roman" w:hAnsi="Times New Roman" w:cs="Times New Roman"/>
          <w:sz w:val="28"/>
          <w:szCs w:val="28"/>
        </w:rPr>
        <w:t>nto perante o referido governo; n</w:t>
      </w:r>
      <w:r w:rsidR="0027475B">
        <w:rPr>
          <w:rFonts w:ascii="Times New Roman" w:hAnsi="Times New Roman" w:cs="Times New Roman"/>
          <w:sz w:val="28"/>
          <w:szCs w:val="28"/>
        </w:rPr>
        <w:t>a verdade, os movimentos do dito Sexo frágil foram fundamentais para a queda do governo, uma vez que condenavam a ameaça socialista</w:t>
      </w:r>
      <w:r>
        <w:rPr>
          <w:rFonts w:ascii="Times New Roman" w:hAnsi="Times New Roman" w:cs="Times New Roman"/>
          <w:sz w:val="28"/>
          <w:szCs w:val="28"/>
        </w:rPr>
        <w:t xml:space="preserve"> da época</w:t>
      </w:r>
      <w:r w:rsidR="0027475B">
        <w:rPr>
          <w:rFonts w:ascii="Times New Roman" w:hAnsi="Times New Roman" w:cs="Times New Roman"/>
          <w:sz w:val="28"/>
          <w:szCs w:val="28"/>
        </w:rPr>
        <w:t xml:space="preserve">. Mobilizada pela primeira vez na História do Brasil em nome da ordem social e da defesa da constituição familiar, </w:t>
      </w:r>
      <w:r w:rsidR="00E17630">
        <w:rPr>
          <w:rFonts w:ascii="Times New Roman" w:hAnsi="Times New Roman" w:cs="Times New Roman"/>
          <w:sz w:val="28"/>
          <w:szCs w:val="28"/>
        </w:rPr>
        <w:t xml:space="preserve">a </w:t>
      </w:r>
      <w:r w:rsidR="0027475B">
        <w:rPr>
          <w:rFonts w:ascii="Times New Roman" w:hAnsi="Times New Roman" w:cs="Times New Roman"/>
          <w:sz w:val="28"/>
          <w:szCs w:val="28"/>
        </w:rPr>
        <w:t>mulher brasileira, que na maioria das vezes advinha das classes mais abastadas, passava a possuir uma voz política mais ativa.</w:t>
      </w:r>
    </w:p>
    <w:p w:rsidR="00E17630" w:rsidRDefault="00E17630" w:rsidP="00530F9D">
      <w:pPr>
        <w:spacing w:after="100" w:afterAutospacing="1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Volvendo os olhos para a sociedade mais contemporânea, numa abrangência mais ousada, podemos ter que a participação das mulheres na vida social e política tem alcançado o sonho idealizado por tantas antecessoras:  </w:t>
      </w:r>
      <w:r w:rsidR="00CA2B31" w:rsidRPr="00CA2B31">
        <w:rPr>
          <w:rFonts w:ascii="Times New Roman" w:hAnsi="Times New Roman" w:cs="Times New Roman"/>
          <w:sz w:val="28"/>
          <w:szCs w:val="28"/>
        </w:rPr>
        <w:t xml:space="preserve">Margaret Thatcher foi primeira-ministra do Reino Unido de 1979-1990. De política conservadora, ela ficou conhecida como a “Dama de </w:t>
      </w:r>
      <w:r w:rsidR="00CA2B31" w:rsidRPr="00CA2B31">
        <w:rPr>
          <w:rFonts w:ascii="Times New Roman" w:hAnsi="Times New Roman" w:cs="Times New Roman"/>
          <w:sz w:val="28"/>
          <w:szCs w:val="28"/>
        </w:rPr>
        <w:lastRenderedPageBreak/>
        <w:t>Ferro”</w:t>
      </w:r>
      <w:r w:rsidR="00CA2B31">
        <w:rPr>
          <w:rFonts w:ascii="Times New Roman" w:hAnsi="Times New Roman" w:cs="Times New Roman"/>
          <w:sz w:val="28"/>
          <w:szCs w:val="28"/>
        </w:rPr>
        <w:t>; E</w:t>
      </w:r>
      <w:r w:rsidR="00CA2B31" w:rsidRPr="00CA2B31">
        <w:rPr>
          <w:rFonts w:ascii="Times New Roman" w:hAnsi="Times New Roman" w:cs="Times New Roman"/>
          <w:sz w:val="28"/>
          <w:szCs w:val="28"/>
        </w:rPr>
        <w:t>m 1999, Helen Clark tornou-se a primeira mulher a ser eleita primeira-ministra da Nova Zelândia</w:t>
      </w:r>
      <w:r w:rsidR="00CA2B31">
        <w:rPr>
          <w:rFonts w:ascii="Times New Roman" w:hAnsi="Times New Roman" w:cs="Times New Roman"/>
          <w:sz w:val="28"/>
          <w:szCs w:val="28"/>
        </w:rPr>
        <w:t xml:space="preserve">; </w:t>
      </w:r>
      <w:r w:rsidR="00CA2B31" w:rsidRPr="00CA2B31">
        <w:rPr>
          <w:rFonts w:ascii="Times New Roman" w:hAnsi="Times New Roman" w:cs="Times New Roman"/>
          <w:color w:val="000000"/>
          <w:sz w:val="28"/>
          <w:szCs w:val="28"/>
        </w:rPr>
        <w:t>Violeta Barrios de Cham</w:t>
      </w:r>
      <w:r w:rsidR="00CA2B31">
        <w:rPr>
          <w:rFonts w:ascii="Times New Roman" w:hAnsi="Times New Roman" w:cs="Times New Roman"/>
          <w:color w:val="000000"/>
          <w:sz w:val="28"/>
          <w:szCs w:val="28"/>
        </w:rPr>
        <w:t>orro foi presidente</w:t>
      </w:r>
      <w:r w:rsidR="00CA2B31" w:rsidRPr="00CA2B31">
        <w:rPr>
          <w:rFonts w:ascii="Times New Roman" w:hAnsi="Times New Roman" w:cs="Times New Roman"/>
          <w:color w:val="000000"/>
          <w:sz w:val="28"/>
          <w:szCs w:val="28"/>
        </w:rPr>
        <w:t xml:space="preserve"> da Nicarágua de 1990 a 1997</w:t>
      </w:r>
      <w:r w:rsidR="00CA2B31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  <w:proofErr w:type="spellStart"/>
      <w:r w:rsidR="00CA2B31" w:rsidRPr="00CA2B31">
        <w:rPr>
          <w:rFonts w:ascii="Times New Roman" w:hAnsi="Times New Roman" w:cs="Times New Roman"/>
          <w:sz w:val="28"/>
          <w:szCs w:val="28"/>
        </w:rPr>
        <w:t>Angela</w:t>
      </w:r>
      <w:proofErr w:type="spellEnd"/>
      <w:r w:rsidR="00CA2B31" w:rsidRPr="00CA2B31">
        <w:rPr>
          <w:rFonts w:ascii="Times New Roman" w:hAnsi="Times New Roman" w:cs="Times New Roman"/>
          <w:sz w:val="28"/>
          <w:szCs w:val="28"/>
        </w:rPr>
        <w:t xml:space="preserve"> Merkel foi eleita a primeira mulher chanceler da Alemanha em 2005. Em 2013 foi reeleita para</w:t>
      </w:r>
      <w:r w:rsidR="00CA2B31" w:rsidRPr="00E17630">
        <w:rPr>
          <w:rFonts w:ascii="Times New Roman" w:hAnsi="Times New Roman" w:cs="Times New Roman"/>
          <w:sz w:val="28"/>
          <w:szCs w:val="28"/>
        </w:rPr>
        <w:t xml:space="preserve"> um terceiro mandato;</w:t>
      </w:r>
      <w:r w:rsidR="00DC78D0">
        <w:rPr>
          <w:rFonts w:ascii="Times New Roman" w:hAnsi="Times New Roman" w:cs="Times New Roman"/>
          <w:sz w:val="28"/>
          <w:szCs w:val="28"/>
        </w:rPr>
        <w:t xml:space="preserve"> Em 2007, Cristina Kirchner foi eleita presidente da Argentina e em 2010, Dilma Rousseff foi eleita presidente do Brasil.</w:t>
      </w:r>
    </w:p>
    <w:p w:rsidR="00530F9D" w:rsidRPr="00530F9D" w:rsidRDefault="00E17630" w:rsidP="00313853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E17630">
        <w:rPr>
          <w:sz w:val="28"/>
          <w:szCs w:val="28"/>
          <w:shd w:val="clear" w:color="auto" w:fill="F3F3F3"/>
        </w:rPr>
        <w:t>De acordo com o TSE, em outubro de 2010, o Brasil elegeu a primeira president</w:t>
      </w:r>
      <w:r w:rsidR="002A5B4E">
        <w:rPr>
          <w:sz w:val="28"/>
          <w:szCs w:val="28"/>
          <w:shd w:val="clear" w:color="auto" w:fill="F3F3F3"/>
        </w:rPr>
        <w:t>e da r</w:t>
      </w:r>
      <w:r w:rsidRPr="00E17630">
        <w:rPr>
          <w:sz w:val="28"/>
          <w:szCs w:val="28"/>
          <w:shd w:val="clear" w:color="auto" w:fill="F3F3F3"/>
        </w:rPr>
        <w:t>epública, duas governadoras e 134 deputadas estaduais. Nas eleições municipais de 2012, foram eleitas 657 prefeitas (11,84%) e 7.630 vereadoras (13,32%).</w:t>
      </w:r>
      <w:r w:rsidR="002A5B4E">
        <w:rPr>
          <w:sz w:val="28"/>
          <w:szCs w:val="28"/>
          <w:shd w:val="clear" w:color="auto" w:fill="F3F3F3"/>
        </w:rPr>
        <w:t xml:space="preserve"> Ainda s</w:t>
      </w:r>
      <w:r w:rsidR="00530F9D">
        <w:rPr>
          <w:sz w:val="28"/>
          <w:szCs w:val="28"/>
          <w:shd w:val="clear" w:color="auto" w:fill="F3F3F3"/>
        </w:rPr>
        <w:t xml:space="preserve">egundo dados do TSE (Tribunal Superior Eleitoral), </w:t>
      </w:r>
      <w:r w:rsidR="00530F9D" w:rsidRPr="00530F9D">
        <w:rPr>
          <w:sz w:val="28"/>
          <w:szCs w:val="28"/>
        </w:rPr>
        <w:t>Dos 513 deputados federais eleitos no dia 5 de outubro, 51 são</w:t>
      </w:r>
      <w:r w:rsidR="00530F9D">
        <w:rPr>
          <w:sz w:val="28"/>
          <w:szCs w:val="28"/>
        </w:rPr>
        <w:t xml:space="preserve"> mulheres</w:t>
      </w:r>
      <w:r w:rsidR="00530F9D" w:rsidRPr="00530F9D">
        <w:rPr>
          <w:sz w:val="28"/>
          <w:szCs w:val="28"/>
        </w:rPr>
        <w:t xml:space="preserve">, o que significa um aumento de 13,33% na </w:t>
      </w:r>
      <w:r w:rsidR="00313853">
        <w:rPr>
          <w:sz w:val="28"/>
          <w:szCs w:val="28"/>
        </w:rPr>
        <w:t>bancada feminina na Câmara dos D</w:t>
      </w:r>
      <w:r w:rsidR="00530F9D" w:rsidRPr="00530F9D">
        <w:rPr>
          <w:sz w:val="28"/>
          <w:szCs w:val="28"/>
        </w:rPr>
        <w:t>eputados na próxima legislatura, que começa em fevereiro, em relação às 45</w:t>
      </w:r>
      <w:r w:rsidR="00530F9D">
        <w:rPr>
          <w:sz w:val="28"/>
          <w:szCs w:val="28"/>
        </w:rPr>
        <w:t xml:space="preserve"> mulheres eleitas</w:t>
      </w:r>
      <w:r w:rsidR="00530F9D" w:rsidRPr="00530F9D">
        <w:rPr>
          <w:rStyle w:val="apple-converted-space"/>
          <w:sz w:val="28"/>
          <w:szCs w:val="28"/>
        </w:rPr>
        <w:t> </w:t>
      </w:r>
      <w:r w:rsidR="00530F9D" w:rsidRPr="00530F9D">
        <w:rPr>
          <w:sz w:val="28"/>
          <w:szCs w:val="28"/>
        </w:rPr>
        <w:t>em 2010 para o cargo. Os números foram extraídos nesta segunda-feira (13) das</w:t>
      </w:r>
      <w:r w:rsidR="00530F9D" w:rsidRPr="00530F9D">
        <w:rPr>
          <w:rStyle w:val="apple-converted-space"/>
          <w:sz w:val="28"/>
          <w:szCs w:val="28"/>
        </w:rPr>
        <w:t> </w:t>
      </w:r>
      <w:hyperlink r:id="rId8" w:tgtFrame="_blank" w:history="1">
        <w:r w:rsidR="00530F9D" w:rsidRPr="00530F9D">
          <w:rPr>
            <w:rStyle w:val="Hyperlink"/>
            <w:color w:val="auto"/>
            <w:sz w:val="28"/>
            <w:szCs w:val="28"/>
            <w:u w:val="none"/>
            <w:bdr w:val="none" w:sz="0" w:space="0" w:color="auto" w:frame="1"/>
          </w:rPr>
          <w:t>Estatísticas de Resultados das Eleições</w:t>
        </w:r>
        <w:r w:rsidR="00530F9D">
          <w:rPr>
            <w:rStyle w:val="Hyperlink"/>
            <w:color w:val="auto"/>
            <w:sz w:val="28"/>
            <w:szCs w:val="28"/>
            <w:u w:val="none"/>
            <w:bdr w:val="none" w:sz="0" w:space="0" w:color="auto" w:frame="1"/>
          </w:rPr>
          <w:t>2014</w:t>
        </w:r>
        <w:r w:rsidR="00530F9D" w:rsidRPr="00530F9D">
          <w:rPr>
            <w:rStyle w:val="Hyperlink"/>
            <w:color w:val="auto"/>
            <w:sz w:val="28"/>
            <w:szCs w:val="28"/>
            <w:u w:val="none"/>
            <w:bdr w:val="none" w:sz="0" w:space="0" w:color="auto" w:frame="1"/>
          </w:rPr>
          <w:t>.</w:t>
        </w:r>
      </w:hyperlink>
    </w:p>
    <w:p w:rsidR="00313853" w:rsidRDefault="00313853" w:rsidP="00313853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530F9D" w:rsidRPr="00530F9D" w:rsidRDefault="00530F9D" w:rsidP="00313853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530F9D">
        <w:rPr>
          <w:sz w:val="28"/>
          <w:szCs w:val="28"/>
        </w:rPr>
        <w:t>Nas eleições de</w:t>
      </w:r>
      <w:r w:rsidRPr="00530F9D">
        <w:rPr>
          <w:rStyle w:val="apple-converted-space"/>
          <w:sz w:val="28"/>
          <w:szCs w:val="28"/>
        </w:rPr>
        <w:t> </w:t>
      </w:r>
      <w:r>
        <w:rPr>
          <w:rStyle w:val="apple-converted-space"/>
          <w:sz w:val="28"/>
          <w:szCs w:val="28"/>
        </w:rPr>
        <w:t>2014</w:t>
      </w:r>
      <w:r w:rsidRPr="00530F9D">
        <w:rPr>
          <w:sz w:val="28"/>
          <w:szCs w:val="28"/>
        </w:rPr>
        <w:t>, o número de candidatas aptas que disputaram o cargo deu um salto bastante expressivo, chegando a 1.765, contra 935 em 2010. Isso corresponde a um aumento de 88,77%.</w:t>
      </w:r>
      <w:r w:rsidR="00313853">
        <w:rPr>
          <w:sz w:val="28"/>
          <w:szCs w:val="28"/>
        </w:rPr>
        <w:t xml:space="preserve"> </w:t>
      </w:r>
      <w:r w:rsidRPr="00530F9D">
        <w:rPr>
          <w:sz w:val="28"/>
          <w:szCs w:val="28"/>
        </w:rPr>
        <w:t>Rio de Janeiro e São Paulo elegeram seis deputadas federais cada um, Minas Gerais, cinco, e Amapá, Bahia, Pará e Tocantins, três por estado. Em seguida vêm Ceará, Goiás, Paraná, Piauí, Rondônia e Roraima, com duas candidatas</w:t>
      </w:r>
      <w:r>
        <w:rPr>
          <w:sz w:val="28"/>
          <w:szCs w:val="28"/>
        </w:rPr>
        <w:t xml:space="preserve"> eleitas</w:t>
      </w:r>
      <w:r w:rsidRPr="00530F9D">
        <w:rPr>
          <w:rStyle w:val="apple-converted-space"/>
          <w:sz w:val="28"/>
          <w:szCs w:val="28"/>
        </w:rPr>
        <w:t> </w:t>
      </w:r>
      <w:r w:rsidRPr="00530F9D">
        <w:rPr>
          <w:sz w:val="28"/>
          <w:szCs w:val="28"/>
        </w:rPr>
        <w:t>em cada. Já o Acre, Amazonas, Distrito Federal, Maranhão, Mato Grosso do Sul, Pernambuco, Rio Grande do Norte e Rio Grande do Sul elegeram uma deputada federal cada. Os estados de Alagoas, Espírito Santo, Mato Grosso, Paraíba e Sergipe não elegeram nenhuma mulher para o cargo.</w:t>
      </w:r>
    </w:p>
    <w:p w:rsidR="00CA2B31" w:rsidRDefault="00CA2B31" w:rsidP="00313853">
      <w:pPr>
        <w:spacing w:after="100" w:afterAutospacing="1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30F9D" w:rsidRPr="00313853" w:rsidRDefault="00313853" w:rsidP="00313853">
      <w:pPr>
        <w:spacing w:after="100" w:afterAutospacing="1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3853">
        <w:rPr>
          <w:rFonts w:ascii="Times New Roman" w:hAnsi="Times New Roman" w:cs="Times New Roman"/>
          <w:b/>
          <w:sz w:val="28"/>
          <w:szCs w:val="28"/>
        </w:rPr>
        <w:lastRenderedPageBreak/>
        <w:t>CONCLUSÃO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530F9D">
        <w:rPr>
          <w:rFonts w:ascii="Times New Roman" w:hAnsi="Times New Roman" w:cs="Times New Roman"/>
          <w:sz w:val="28"/>
          <w:szCs w:val="28"/>
        </w:rPr>
        <w:t>Como se percebe, a luta pela inserção social feminina tem produzido avanços significativos nos últimos anos, provocados pela evolução da mentalidade sobre a importância da mulher e sua representação no seio social e político. Embora os avanços sejam positivos e estimulan</w:t>
      </w:r>
      <w:r w:rsidR="00530F9D" w:rsidRPr="00530F9D">
        <w:rPr>
          <w:rFonts w:ascii="Times New Roman" w:hAnsi="Times New Roman" w:cs="Times New Roman"/>
          <w:sz w:val="28"/>
          <w:szCs w:val="28"/>
        </w:rPr>
        <w:t xml:space="preserve">tes, muito ainda há que se fazer para supressão da desigualdade. </w:t>
      </w:r>
      <w:r w:rsidR="00530F9D" w:rsidRPr="00530F9D">
        <w:rPr>
          <w:rFonts w:ascii="Times New Roman" w:hAnsi="Times New Roman" w:cs="Times New Roman"/>
          <w:sz w:val="28"/>
          <w:szCs w:val="28"/>
          <w:shd w:val="clear" w:color="auto" w:fill="FFFFFF"/>
        </w:rPr>
        <w:t>A partir dos dados da Pesquisa Nacional por Amostra de Domicílio (Pnad) 2013, o estudo revela que em 2002, o rendimento das mulheres era equivalente a 70% do rendimento dos homens. Dez anos depois, em 2012, a relação passou para 73%. No grupo com 12 anos ou mais de estudo, o rendimento feminino cai para 66% da renda masculina. “No caso das mulheres a gente identifica que, à medida em</w:t>
      </w:r>
      <w:r w:rsidR="00530F9D" w:rsidRPr="00313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que avança a escolaridade, a desigualdade de rendimento entre homens e mulheres aumenta”, explica a pesquisadora do IBGE, Cristiane Soares. Portanto, se faz nece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ssária e urgente a mobilização efetiva</w:t>
      </w:r>
      <w:r w:rsidR="00530F9D" w:rsidRPr="00313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em torno das lutas e medidas de enfrentamento das questões de gênero no mercado de trabalho nacional, com objetivo de ampliar os avanços nas condições de trabalho da mulher, além de buscar a igualdade de oportunidades de ingresso e ascensão profissional no mercado de trabalho</w:t>
      </w:r>
      <w:r w:rsidRPr="00313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assim como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progredir nos </w:t>
      </w:r>
      <w:r w:rsidRPr="00313853">
        <w:rPr>
          <w:rFonts w:ascii="Times New Roman" w:hAnsi="Times New Roman" w:cs="Times New Roman"/>
          <w:sz w:val="28"/>
          <w:szCs w:val="28"/>
          <w:shd w:val="clear" w:color="auto" w:fill="FFFFFF"/>
        </w:rPr>
        <w:t>avanços na esfera política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E2188A" w:rsidRPr="00313853" w:rsidRDefault="00E2188A" w:rsidP="00861224">
      <w:pPr>
        <w:spacing w:after="100" w:afterAutospacing="1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188A" w:rsidRPr="00313853" w:rsidRDefault="00E2188A" w:rsidP="00861224">
      <w:pPr>
        <w:spacing w:after="100" w:afterAutospacing="1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188A" w:rsidRPr="00313853" w:rsidRDefault="00E2188A" w:rsidP="00861224">
      <w:pPr>
        <w:spacing w:after="100" w:afterAutospacing="1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188A" w:rsidRPr="00313853" w:rsidRDefault="00E2188A" w:rsidP="00861224">
      <w:pPr>
        <w:spacing w:after="100" w:afterAutospacing="1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188A" w:rsidRPr="00313853" w:rsidRDefault="00E2188A" w:rsidP="00861224">
      <w:pPr>
        <w:spacing w:after="100" w:afterAutospacing="1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188A" w:rsidRPr="00313853" w:rsidRDefault="00E2188A" w:rsidP="00861224">
      <w:pPr>
        <w:spacing w:after="100" w:afterAutospacing="1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188A" w:rsidRPr="00313853" w:rsidRDefault="00E2188A" w:rsidP="00861224">
      <w:pPr>
        <w:spacing w:after="100" w:afterAutospacing="1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1224" w:rsidRPr="00313853" w:rsidRDefault="00861224" w:rsidP="00861224">
      <w:pPr>
        <w:spacing w:after="100" w:afterAutospacing="1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13853">
        <w:rPr>
          <w:rFonts w:ascii="Times New Roman" w:hAnsi="Times New Roman" w:cs="Times New Roman"/>
          <w:b/>
          <w:sz w:val="28"/>
          <w:szCs w:val="28"/>
        </w:rPr>
        <w:lastRenderedPageBreak/>
        <w:t>R</w:t>
      </w:r>
      <w:r w:rsidR="00313853" w:rsidRPr="00313853">
        <w:rPr>
          <w:rFonts w:ascii="Times New Roman" w:hAnsi="Times New Roman" w:cs="Times New Roman"/>
          <w:b/>
          <w:sz w:val="28"/>
          <w:szCs w:val="28"/>
        </w:rPr>
        <w:t>EFERÊNCIAS</w:t>
      </w:r>
      <w:r w:rsidR="00313853">
        <w:rPr>
          <w:rFonts w:ascii="Times New Roman" w:hAnsi="Times New Roman" w:cs="Times New Roman"/>
          <w:b/>
          <w:sz w:val="28"/>
          <w:szCs w:val="28"/>
        </w:rPr>
        <w:t>:</w:t>
      </w:r>
    </w:p>
    <w:p w:rsidR="00861224" w:rsidRPr="00313853" w:rsidRDefault="00861224" w:rsidP="00861224">
      <w:pPr>
        <w:spacing w:after="100" w:afterAutospacing="1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475B" w:rsidRPr="004B6501" w:rsidRDefault="0027475B" w:rsidP="004B6501">
      <w:pPr>
        <w:spacing w:after="100" w:afterAutospacing="1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65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MARTINELLI, Anelise, </w:t>
      </w:r>
      <w:r w:rsidRPr="004B6501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et al</w:t>
      </w:r>
      <w:r w:rsidRPr="004B6501">
        <w:rPr>
          <w:rFonts w:ascii="Times New Roman" w:hAnsi="Times New Roman" w:cs="Times New Roman"/>
          <w:color w:val="000000" w:themeColor="text1"/>
          <w:sz w:val="28"/>
          <w:szCs w:val="28"/>
        </w:rPr>
        <w:t>. O Brasil Contemporâneo, - Uberaba: Universidade de Uberaba, 2011.</w:t>
      </w:r>
    </w:p>
    <w:p w:rsidR="00861224" w:rsidRPr="004B6501" w:rsidRDefault="00861224" w:rsidP="004B6501">
      <w:pPr>
        <w:spacing w:after="100" w:afterAutospacing="1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4B650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MARAND-FOUQUET, Catherine. A mulher no tempo da revolução.  Lisboa: Inquérito 1993.</w:t>
      </w:r>
    </w:p>
    <w:p w:rsidR="00E2188A" w:rsidRPr="004B6501" w:rsidRDefault="00E2188A" w:rsidP="004B6501">
      <w:pPr>
        <w:spacing w:after="100" w:afterAutospacing="1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4B650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ODINEAU, Dominique, </w:t>
      </w:r>
      <w:proofErr w:type="spellStart"/>
      <w:r w:rsidRPr="004B650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Citoyennes</w:t>
      </w:r>
      <w:proofErr w:type="spellEnd"/>
      <w:r w:rsidRPr="004B650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B650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Tricoteuses</w:t>
      </w:r>
      <w:proofErr w:type="spellEnd"/>
      <w:r w:rsidRPr="004B650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– </w:t>
      </w:r>
      <w:proofErr w:type="spellStart"/>
      <w:r w:rsidRPr="004B650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Les</w:t>
      </w:r>
      <w:proofErr w:type="spellEnd"/>
      <w:r w:rsidRPr="004B650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B650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femmes</w:t>
      </w:r>
      <w:proofErr w:type="spellEnd"/>
      <w:r w:rsidRPr="004B650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B650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du</w:t>
      </w:r>
      <w:proofErr w:type="spellEnd"/>
      <w:r w:rsidRPr="004B650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B650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peuple</w:t>
      </w:r>
      <w:proofErr w:type="spellEnd"/>
      <w:r w:rsidRPr="004B650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à Paris pendant </w:t>
      </w:r>
      <w:proofErr w:type="spellStart"/>
      <w:r w:rsidRPr="004B650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la</w:t>
      </w:r>
      <w:proofErr w:type="spellEnd"/>
      <w:r w:rsidRPr="004B650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B650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Révolution</w:t>
      </w:r>
      <w:proofErr w:type="spellEnd"/>
      <w:r w:rsidRPr="004B650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B650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Française</w:t>
      </w:r>
      <w:proofErr w:type="spellEnd"/>
      <w:r w:rsidRPr="004B650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Paris, </w:t>
      </w:r>
      <w:proofErr w:type="spellStart"/>
      <w:r w:rsidRPr="004B650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Editions</w:t>
      </w:r>
      <w:proofErr w:type="spellEnd"/>
      <w:r w:rsidRPr="004B650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B650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Alinea</w:t>
      </w:r>
      <w:proofErr w:type="spellEnd"/>
      <w:r w:rsidRPr="004B650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Pr="004B650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Perrin</w:t>
      </w:r>
      <w:proofErr w:type="spellEnd"/>
      <w:r w:rsidRPr="004B650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2004.</w:t>
      </w:r>
    </w:p>
    <w:p w:rsidR="004B6501" w:rsidRPr="004B6501" w:rsidRDefault="00E2188A" w:rsidP="004B6501">
      <w:pPr>
        <w:spacing w:after="100" w:afterAutospacing="1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650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MARTIN, J.C., « </w:t>
      </w:r>
      <w:proofErr w:type="spellStart"/>
      <w:r w:rsidRPr="004B650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Travestissements</w:t>
      </w:r>
      <w:proofErr w:type="spellEnd"/>
      <w:r w:rsidRPr="004B650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impostures et </w:t>
      </w:r>
      <w:proofErr w:type="spellStart"/>
      <w:r w:rsidRPr="004B650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la</w:t>
      </w:r>
      <w:proofErr w:type="spellEnd"/>
      <w:r w:rsidRPr="004B650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B650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communauté</w:t>
      </w:r>
      <w:proofErr w:type="spellEnd"/>
      <w:r w:rsidRPr="004B650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313853" w:rsidRPr="004B650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H</w:t>
      </w:r>
      <w:r w:rsidRPr="004B650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istorienne</w:t>
      </w:r>
      <w:proofErr w:type="spellEnd"/>
      <w:r w:rsidRPr="004B650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  A </w:t>
      </w:r>
      <w:proofErr w:type="spellStart"/>
      <w:r w:rsidRPr="004B650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propos</w:t>
      </w:r>
      <w:proofErr w:type="spellEnd"/>
      <w:r w:rsidRPr="004B650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B650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des</w:t>
      </w:r>
      <w:proofErr w:type="spellEnd"/>
      <w:r w:rsidRPr="004B650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B650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femmes</w:t>
      </w:r>
      <w:proofErr w:type="spellEnd"/>
      <w:r w:rsidRPr="004B650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B650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soldats</w:t>
      </w:r>
      <w:proofErr w:type="spellEnd"/>
      <w:r w:rsidRPr="004B650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de </w:t>
      </w:r>
      <w:proofErr w:type="spellStart"/>
      <w:r w:rsidRPr="004B650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la</w:t>
      </w:r>
      <w:proofErr w:type="spellEnd"/>
      <w:r w:rsidRPr="004B650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B650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révolution</w:t>
      </w:r>
      <w:proofErr w:type="spellEnd"/>
      <w:r w:rsidRPr="004B650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et de </w:t>
      </w:r>
      <w:proofErr w:type="spellStart"/>
      <w:r w:rsidRPr="004B650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l’Empire</w:t>
      </w:r>
      <w:proofErr w:type="spellEnd"/>
      <w:r w:rsidRPr="004B650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», </w:t>
      </w:r>
      <w:proofErr w:type="spellStart"/>
      <w:r w:rsidRPr="004B650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Politix</w:t>
      </w:r>
      <w:proofErr w:type="spellEnd"/>
      <w:r w:rsidR="00313853" w:rsidRPr="004B650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4B650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2006/2,</w:t>
      </w:r>
      <w:r w:rsidR="00313853" w:rsidRPr="004B650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4B650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no. 74, p. 31-48.</w:t>
      </w:r>
    </w:p>
    <w:p w:rsidR="00E2188A" w:rsidRPr="004B6501" w:rsidRDefault="00F80609" w:rsidP="004B6501">
      <w:pPr>
        <w:spacing w:after="100" w:afterAutospacing="1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9" w:history="1">
        <w:r w:rsidR="004B6501" w:rsidRPr="004B6501">
          <w:rPr>
            <w:rStyle w:val="Hyperlink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http://www.revistadehistoria.com.br/secao/artigos-revista/revolucao-francesa-e-feminina</w:t>
        </w:r>
      </w:hyperlink>
      <w:r w:rsidR="004B6501" w:rsidRPr="004B6501">
        <w:rPr>
          <w:rFonts w:ascii="Times New Roman" w:hAnsi="Times New Roman" w:cs="Times New Roman"/>
          <w:color w:val="000000" w:themeColor="text1"/>
          <w:sz w:val="28"/>
          <w:szCs w:val="28"/>
        </w:rPr>
        <w:t>, acesso em 21</w:t>
      </w:r>
      <w:r w:rsidR="00E2188A" w:rsidRPr="004B6501">
        <w:rPr>
          <w:rFonts w:ascii="Times New Roman" w:hAnsi="Times New Roman" w:cs="Times New Roman"/>
          <w:color w:val="000000" w:themeColor="text1"/>
          <w:sz w:val="28"/>
          <w:szCs w:val="28"/>
        </w:rPr>
        <w:t>/10/2014.</w:t>
      </w:r>
    </w:p>
    <w:p w:rsidR="00E2188A" w:rsidRPr="004B6501" w:rsidRDefault="00F80609" w:rsidP="004B6501">
      <w:pPr>
        <w:spacing w:after="100" w:afterAutospacing="1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10" w:history="1">
        <w:r w:rsidR="00CA2B31" w:rsidRPr="004B6501">
          <w:rPr>
            <w:rStyle w:val="Hyperlink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http://revistaescola.abril.com.br/historia/pratica-pedagogica/8-marco-dia-internacional-mulher-genero-feminismo-537057.shtml</w:t>
        </w:r>
      </w:hyperlink>
      <w:r w:rsidR="004B6501" w:rsidRPr="004B6501">
        <w:rPr>
          <w:rStyle w:val="Hyperlink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, </w:t>
      </w:r>
      <w:r w:rsidR="004B6501" w:rsidRPr="004B6501">
        <w:rPr>
          <w:rFonts w:ascii="Times New Roman" w:hAnsi="Times New Roman" w:cs="Times New Roman"/>
          <w:color w:val="000000" w:themeColor="text1"/>
          <w:sz w:val="28"/>
          <w:szCs w:val="28"/>
        </w:rPr>
        <w:t>acesso em 21/10/2014.</w:t>
      </w:r>
    </w:p>
    <w:p w:rsidR="00CA2B31" w:rsidRPr="004B6501" w:rsidRDefault="00F80609" w:rsidP="004B6501">
      <w:pPr>
        <w:spacing w:after="100" w:afterAutospacing="1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11" w:history="1">
        <w:r w:rsidR="00530F9D" w:rsidRPr="004B6501">
          <w:rPr>
            <w:rStyle w:val="Hyperlink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http://escola.britannica.com.br/article/482875/direitos-da-mulher</w:t>
        </w:r>
      </w:hyperlink>
      <w:r w:rsidR="004B6501" w:rsidRPr="004B6501">
        <w:rPr>
          <w:rStyle w:val="Hyperlink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, </w:t>
      </w:r>
      <w:r w:rsidR="004B6501" w:rsidRPr="004B6501">
        <w:rPr>
          <w:rFonts w:ascii="Times New Roman" w:hAnsi="Times New Roman" w:cs="Times New Roman"/>
          <w:color w:val="000000" w:themeColor="text1"/>
          <w:sz w:val="28"/>
          <w:szCs w:val="28"/>
        </w:rPr>
        <w:t>acesso em 22/10/2014.</w:t>
      </w:r>
    </w:p>
    <w:p w:rsidR="00530F9D" w:rsidRPr="004B6501" w:rsidRDefault="00F80609" w:rsidP="004B6501">
      <w:pPr>
        <w:spacing w:after="100" w:afterAutospacing="1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12" w:history="1">
        <w:r w:rsidR="00530F9D" w:rsidRPr="004B6501">
          <w:rPr>
            <w:rStyle w:val="Hyperlink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http://www.tse.jus.br/noticias-tse/2014/Outubro/eleicoes-2014</w:t>
        </w:r>
      </w:hyperlink>
      <w:r w:rsidR="004B6501" w:rsidRPr="004B6501">
        <w:rPr>
          <w:rStyle w:val="Hyperlink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, </w:t>
      </w:r>
      <w:r w:rsidR="004B6501" w:rsidRPr="004B6501">
        <w:rPr>
          <w:rFonts w:ascii="Times New Roman" w:hAnsi="Times New Roman" w:cs="Times New Roman"/>
          <w:color w:val="000000" w:themeColor="text1"/>
          <w:sz w:val="28"/>
          <w:szCs w:val="28"/>
        </w:rPr>
        <w:t>acesso em 18/10/2014.</w:t>
      </w:r>
    </w:p>
    <w:p w:rsidR="004B6501" w:rsidRPr="004B6501" w:rsidRDefault="00530F9D" w:rsidP="004B6501">
      <w:pPr>
        <w:spacing w:after="100" w:afterAutospacing="1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6501">
        <w:rPr>
          <w:rFonts w:ascii="Times New Roman" w:hAnsi="Times New Roman" w:cs="Times New Roman"/>
          <w:color w:val="000000" w:themeColor="text1"/>
          <w:sz w:val="28"/>
          <w:szCs w:val="28"/>
        </w:rPr>
        <w:t>http://www.ebc.com.br/noticias/brasil/2013/11/diferenca-salarial-entre-generos</w:t>
      </w:r>
      <w:r w:rsidR="004B6501" w:rsidRPr="004B6501">
        <w:rPr>
          <w:rStyle w:val="Hyperlink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, </w:t>
      </w:r>
      <w:r w:rsidR="004B6501" w:rsidRPr="004B6501">
        <w:rPr>
          <w:rFonts w:ascii="Times New Roman" w:hAnsi="Times New Roman" w:cs="Times New Roman"/>
          <w:color w:val="000000" w:themeColor="text1"/>
          <w:sz w:val="28"/>
          <w:szCs w:val="28"/>
        </w:rPr>
        <w:t>acesso em 19/10/2014.</w:t>
      </w:r>
    </w:p>
    <w:sectPr w:rsidR="004B6501" w:rsidRPr="004B650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0609" w:rsidRDefault="00F80609" w:rsidP="00C06CD5">
      <w:pPr>
        <w:spacing w:after="0" w:line="240" w:lineRule="auto"/>
      </w:pPr>
      <w:r>
        <w:separator/>
      </w:r>
    </w:p>
  </w:endnote>
  <w:endnote w:type="continuationSeparator" w:id="0">
    <w:p w:rsidR="00F80609" w:rsidRDefault="00F80609" w:rsidP="00C06C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0609" w:rsidRDefault="00F80609" w:rsidP="00C06CD5">
      <w:pPr>
        <w:spacing w:after="0" w:line="240" w:lineRule="auto"/>
      </w:pPr>
      <w:r>
        <w:separator/>
      </w:r>
    </w:p>
  </w:footnote>
  <w:footnote w:type="continuationSeparator" w:id="0">
    <w:p w:rsidR="00F80609" w:rsidRDefault="00F80609" w:rsidP="00C06CD5">
      <w:pPr>
        <w:spacing w:after="0" w:line="240" w:lineRule="auto"/>
      </w:pPr>
      <w:r>
        <w:continuationSeparator/>
      </w:r>
    </w:p>
  </w:footnote>
  <w:footnote w:id="1">
    <w:p w:rsidR="00C06CD5" w:rsidRPr="0008378D" w:rsidRDefault="00C06CD5" w:rsidP="0008378D">
      <w:pPr>
        <w:spacing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Refdenotaderodap"/>
        </w:rPr>
        <w:footnoteRef/>
      </w:r>
      <w:r>
        <w:t xml:space="preserve"> </w:t>
      </w:r>
      <w:r w:rsidRPr="0008378D"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  <w:t>O autor é acadêmico na Universidade de Uberaba, no Curso de Licenciatura em História.</w:t>
      </w:r>
      <w:r w:rsidRPr="000837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Membro da Academia Maçônica Brasileira de Letras, Membro da Ordem dos Cavaleiros Templários no Brasil. Atualmente leciona na rede pública e particular de ensino.</w:t>
      </w:r>
      <w:r w:rsidR="000837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hyperlink r:id="rId1" w:history="1">
        <w:r w:rsidR="0008378D" w:rsidRPr="00506D68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Kleberantunes33@outlook.com</w:t>
        </w:r>
      </w:hyperlink>
      <w:r w:rsidR="000837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7EE"/>
    <w:rsid w:val="00044C80"/>
    <w:rsid w:val="0008378D"/>
    <w:rsid w:val="00153AD5"/>
    <w:rsid w:val="001E1086"/>
    <w:rsid w:val="00272BCD"/>
    <w:rsid w:val="0027475B"/>
    <w:rsid w:val="002A5B4E"/>
    <w:rsid w:val="00313853"/>
    <w:rsid w:val="004A65AE"/>
    <w:rsid w:val="004B6501"/>
    <w:rsid w:val="00530F9D"/>
    <w:rsid w:val="00583DB3"/>
    <w:rsid w:val="00591027"/>
    <w:rsid w:val="0081601F"/>
    <w:rsid w:val="00830034"/>
    <w:rsid w:val="00861224"/>
    <w:rsid w:val="008A5E87"/>
    <w:rsid w:val="008E1E13"/>
    <w:rsid w:val="009E68B7"/>
    <w:rsid w:val="00AB27EE"/>
    <w:rsid w:val="00BB4114"/>
    <w:rsid w:val="00C04EC4"/>
    <w:rsid w:val="00C06CD5"/>
    <w:rsid w:val="00C1097D"/>
    <w:rsid w:val="00CA2B31"/>
    <w:rsid w:val="00DC78D0"/>
    <w:rsid w:val="00E17630"/>
    <w:rsid w:val="00E20BA1"/>
    <w:rsid w:val="00E2188A"/>
    <w:rsid w:val="00E9479A"/>
    <w:rsid w:val="00F15096"/>
    <w:rsid w:val="00F80609"/>
    <w:rsid w:val="00F90689"/>
    <w:rsid w:val="00FD5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CF345B-2B93-45C4-A226-88570A819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31385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861224"/>
    <w:rPr>
      <w:color w:val="0563C1" w:themeColor="hyperlink"/>
      <w:u w:val="single"/>
    </w:rPr>
  </w:style>
  <w:style w:type="character" w:customStyle="1" w:styleId="apple-converted-space">
    <w:name w:val="apple-converted-space"/>
    <w:basedOn w:val="Fontepargpadro"/>
    <w:rsid w:val="00153AD5"/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C06CD5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C06CD5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C06CD5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C06CD5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C06CD5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C06CD5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530F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highlightedsearchterm">
    <w:name w:val="highlightedsearchterm"/>
    <w:basedOn w:val="Fontepargpadro"/>
    <w:rsid w:val="00530F9D"/>
  </w:style>
  <w:style w:type="character" w:styleId="Forte">
    <w:name w:val="Strong"/>
    <w:basedOn w:val="Fontepargpadro"/>
    <w:uiPriority w:val="22"/>
    <w:qFormat/>
    <w:rsid w:val="00530F9D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31385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character" w:styleId="HiperlinkVisitado">
    <w:name w:val="FollowedHyperlink"/>
    <w:basedOn w:val="Fontepargpadro"/>
    <w:uiPriority w:val="99"/>
    <w:semiHidden/>
    <w:unhideWhenUsed/>
    <w:rsid w:val="0031385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66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se.jus.br/eleicoes/estatisticas/estatisticas-eleitorais-2014-resultado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escola.britannica.com.br/article/481046/constituicao" TargetMode="External"/><Relationship Id="rId12" Type="http://schemas.openxmlformats.org/officeDocument/2006/relationships/hyperlink" Target="http://www.tse.jus.br/noticias-tse/2014/Outubro/eleicoes-2014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escola.britannica.com.br/article/482875/direitos-da-mulher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revistaescola.abril.com.br/historia/pratica-pedagogica/8-marco-dia-internacional-mulher-genero-feminismo-537057.s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revistadehistoria.com.br/secao/artigos-revista/revolucao-francesa-e-feminina" TargetMode="Externa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Kleberantunes33@outlook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83D150-FF69-4B0B-A3F8-727BA4823F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</TotalTime>
  <Pages>1</Pages>
  <Words>2104</Words>
  <Characters>11367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Kleber Antunes</dc:creator>
  <cp:keywords/>
  <dc:description/>
  <cp:lastModifiedBy>Kleber Antunes</cp:lastModifiedBy>
  <cp:revision>13</cp:revision>
  <dcterms:created xsi:type="dcterms:W3CDTF">2014-10-22T10:57:00Z</dcterms:created>
  <dcterms:modified xsi:type="dcterms:W3CDTF">2014-10-24T17:45:00Z</dcterms:modified>
</cp:coreProperties>
</file>