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E8" w:rsidRPr="00FE4DAB" w:rsidRDefault="000F32E8" w:rsidP="00604ACF">
      <w:pPr>
        <w:spacing w:after="0" w:line="480" w:lineRule="auto"/>
        <w:jc w:val="center"/>
        <w:rPr>
          <w:rFonts w:ascii="Arial" w:hAnsi="Arial" w:cs="Arial"/>
          <w:b/>
          <w:sz w:val="28"/>
        </w:rPr>
      </w:pPr>
      <w:r w:rsidRPr="00FE4DAB">
        <w:rPr>
          <w:rFonts w:ascii="Arial" w:hAnsi="Arial" w:cs="Arial"/>
          <w:b/>
          <w:sz w:val="28"/>
        </w:rPr>
        <w:t>UNIVERSIDADE ESTÁCIO DE SÁ</w:t>
      </w: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rPr>
      </w:pPr>
      <w:r w:rsidRPr="00FE4DAB">
        <w:rPr>
          <w:rFonts w:ascii="Arial" w:hAnsi="Arial" w:cs="Arial"/>
          <w:b/>
          <w:sz w:val="28"/>
        </w:rPr>
        <w:t>EDUARDO VIEIRA SCARPA</w:t>
      </w: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rPr>
      </w:pPr>
    </w:p>
    <w:p w:rsidR="000F32E8" w:rsidRPr="00FE4DAB" w:rsidRDefault="000F32E8" w:rsidP="00604ACF">
      <w:pPr>
        <w:spacing w:after="0" w:line="480" w:lineRule="auto"/>
        <w:jc w:val="center"/>
        <w:rPr>
          <w:rFonts w:ascii="Arial" w:hAnsi="Arial" w:cs="Arial"/>
          <w:b/>
          <w:sz w:val="28"/>
          <w:szCs w:val="24"/>
        </w:rPr>
      </w:pPr>
      <w:r w:rsidRPr="00FE4DAB">
        <w:rPr>
          <w:rFonts w:ascii="Arial" w:hAnsi="Arial" w:cs="Arial"/>
          <w:b/>
          <w:sz w:val="28"/>
          <w:szCs w:val="24"/>
        </w:rPr>
        <w:t>EXECUÇÃO ORÇAMENTÁRIA DOS ÓRGÃOS DE SEGURANÇA PÚBLICA NO ESTADO DE GOIÁS E SEU IMPACTO NOS PRINCIPAIS ÍNDICES DE VIOLÊNCIA E CRIMINALIDADE</w:t>
      </w:r>
    </w:p>
    <w:p w:rsidR="000F32E8" w:rsidRPr="00FE4DAB" w:rsidRDefault="000F32E8" w:rsidP="00604ACF">
      <w:pPr>
        <w:spacing w:after="0" w:line="480" w:lineRule="auto"/>
        <w:jc w:val="center"/>
        <w:rPr>
          <w:rFonts w:ascii="Arial" w:hAnsi="Arial" w:cs="Arial"/>
          <w:b/>
          <w:sz w:val="24"/>
          <w:szCs w:val="24"/>
        </w:rPr>
      </w:pPr>
    </w:p>
    <w:p w:rsidR="000F32E8" w:rsidRPr="00FE4DAB" w:rsidRDefault="000F32E8" w:rsidP="00604ACF">
      <w:pPr>
        <w:spacing w:after="0" w:line="480" w:lineRule="auto"/>
        <w:jc w:val="center"/>
        <w:rPr>
          <w:rFonts w:ascii="Arial" w:hAnsi="Arial" w:cs="Arial"/>
          <w:b/>
          <w:sz w:val="24"/>
          <w:szCs w:val="24"/>
        </w:rPr>
      </w:pPr>
    </w:p>
    <w:p w:rsidR="000F32E8" w:rsidRPr="00FE4DAB" w:rsidRDefault="000F32E8" w:rsidP="00604ACF">
      <w:pPr>
        <w:spacing w:after="0" w:line="480" w:lineRule="auto"/>
        <w:jc w:val="center"/>
        <w:rPr>
          <w:rFonts w:ascii="Arial" w:hAnsi="Arial" w:cs="Arial"/>
          <w:b/>
          <w:sz w:val="24"/>
          <w:szCs w:val="24"/>
        </w:rPr>
      </w:pPr>
    </w:p>
    <w:p w:rsidR="000F32E8" w:rsidRPr="00FE4DAB" w:rsidRDefault="000F32E8"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604ACF" w:rsidRPr="00FE4DAB" w:rsidRDefault="00604ACF" w:rsidP="00604ACF">
      <w:pPr>
        <w:spacing w:after="0" w:line="480" w:lineRule="auto"/>
        <w:jc w:val="center"/>
        <w:rPr>
          <w:rFonts w:ascii="Arial" w:hAnsi="Arial" w:cs="Arial"/>
          <w:b/>
          <w:sz w:val="24"/>
          <w:szCs w:val="24"/>
        </w:rPr>
      </w:pPr>
    </w:p>
    <w:p w:rsidR="000F32E8" w:rsidRPr="00FE4DAB" w:rsidRDefault="000F32E8" w:rsidP="00604ACF">
      <w:pPr>
        <w:spacing w:after="0" w:line="480" w:lineRule="auto"/>
        <w:jc w:val="center"/>
        <w:rPr>
          <w:rFonts w:ascii="Arial" w:hAnsi="Arial" w:cs="Arial"/>
          <w:b/>
          <w:sz w:val="24"/>
          <w:szCs w:val="24"/>
        </w:rPr>
      </w:pPr>
    </w:p>
    <w:p w:rsidR="00AE0583" w:rsidRDefault="000F32E8" w:rsidP="00604ACF">
      <w:pPr>
        <w:spacing w:after="0" w:line="480" w:lineRule="auto"/>
        <w:jc w:val="center"/>
        <w:rPr>
          <w:rFonts w:ascii="Arial" w:hAnsi="Arial" w:cs="Arial"/>
          <w:b/>
          <w:sz w:val="24"/>
          <w:szCs w:val="24"/>
        </w:rPr>
      </w:pPr>
      <w:r w:rsidRPr="00FE4DAB">
        <w:rPr>
          <w:rFonts w:ascii="Arial" w:hAnsi="Arial" w:cs="Arial"/>
          <w:b/>
          <w:sz w:val="24"/>
          <w:szCs w:val="24"/>
        </w:rPr>
        <w:t>GOIÂNIA-GO</w:t>
      </w:r>
    </w:p>
    <w:p w:rsidR="000F32E8" w:rsidRPr="00FE4DAB" w:rsidRDefault="00AE0583" w:rsidP="00604ACF">
      <w:pPr>
        <w:spacing w:after="0" w:line="480" w:lineRule="auto"/>
        <w:jc w:val="center"/>
        <w:rPr>
          <w:rFonts w:ascii="Arial" w:hAnsi="Arial" w:cs="Arial"/>
          <w:b/>
          <w:sz w:val="24"/>
          <w:szCs w:val="24"/>
        </w:rPr>
      </w:pPr>
      <w:r>
        <w:rPr>
          <w:rFonts w:ascii="Arial" w:hAnsi="Arial" w:cs="Arial"/>
          <w:b/>
          <w:sz w:val="24"/>
          <w:szCs w:val="24"/>
        </w:rPr>
        <w:t>2014</w:t>
      </w:r>
    </w:p>
    <w:p w:rsidR="00604ACF" w:rsidRPr="00FE4DAB" w:rsidRDefault="00604ACF" w:rsidP="00604ACF">
      <w:pPr>
        <w:spacing w:after="0" w:line="360" w:lineRule="auto"/>
        <w:jc w:val="center"/>
        <w:rPr>
          <w:rFonts w:ascii="Arial" w:hAnsi="Arial" w:cs="Arial"/>
          <w:b/>
          <w:sz w:val="24"/>
          <w:szCs w:val="24"/>
        </w:rPr>
      </w:pPr>
      <w:r w:rsidRPr="00FE4DAB">
        <w:rPr>
          <w:rFonts w:ascii="Arial" w:hAnsi="Arial" w:cs="Arial"/>
          <w:b/>
          <w:sz w:val="24"/>
          <w:szCs w:val="24"/>
        </w:rPr>
        <w:lastRenderedPageBreak/>
        <w:t>EXECUÇÃO ORÇAMENTÁRIA DOS ÓRGÃOS DE SEGURANÇA PÚBLICA NO ESTADO DE GOIÁS E SEU IMPACTO NOS PRINCIPAIS ÍNDICES DE VIOLÊNCIA E CRIMINALIDADE</w:t>
      </w:r>
    </w:p>
    <w:p w:rsidR="00604ACF" w:rsidRPr="00FE4DAB" w:rsidRDefault="00604ACF" w:rsidP="00604ACF">
      <w:pPr>
        <w:spacing w:after="0" w:line="360" w:lineRule="auto"/>
        <w:jc w:val="center"/>
        <w:rPr>
          <w:rFonts w:ascii="Arial" w:hAnsi="Arial" w:cs="Arial"/>
          <w:b/>
          <w:sz w:val="24"/>
          <w:szCs w:val="24"/>
        </w:rPr>
      </w:pPr>
    </w:p>
    <w:p w:rsidR="00604ACF" w:rsidRPr="00FE4DAB" w:rsidRDefault="00604ACF" w:rsidP="00604ACF">
      <w:pPr>
        <w:spacing w:after="0" w:line="360" w:lineRule="auto"/>
        <w:jc w:val="center"/>
        <w:rPr>
          <w:rFonts w:ascii="Arial" w:hAnsi="Arial" w:cs="Arial"/>
          <w:b/>
          <w:sz w:val="24"/>
          <w:szCs w:val="24"/>
        </w:rPr>
      </w:pPr>
    </w:p>
    <w:p w:rsidR="00604ACF" w:rsidRPr="00FE4DAB" w:rsidRDefault="00604ACF" w:rsidP="00604ACF">
      <w:pPr>
        <w:spacing w:after="0" w:line="360" w:lineRule="auto"/>
        <w:jc w:val="right"/>
        <w:rPr>
          <w:rFonts w:ascii="Arial" w:hAnsi="Arial" w:cs="Arial"/>
          <w:sz w:val="24"/>
          <w:szCs w:val="24"/>
        </w:rPr>
      </w:pPr>
      <w:r w:rsidRPr="00FE4DAB">
        <w:rPr>
          <w:rFonts w:ascii="Arial" w:hAnsi="Arial" w:cs="Arial"/>
          <w:sz w:val="24"/>
          <w:szCs w:val="24"/>
        </w:rPr>
        <w:t>Eduardo Vieira Scarpa</w:t>
      </w:r>
      <w:r w:rsidR="00A111C0" w:rsidRPr="00FE4DAB">
        <w:rPr>
          <w:rFonts w:ascii="Arial" w:hAnsi="Arial" w:cs="Arial"/>
          <w:sz w:val="24"/>
          <w:szCs w:val="24"/>
        </w:rPr>
        <w:t>*</w:t>
      </w:r>
    </w:p>
    <w:p w:rsidR="00604ACF" w:rsidRPr="00FE4DAB" w:rsidRDefault="00604ACF" w:rsidP="00604ACF">
      <w:pPr>
        <w:spacing w:after="0" w:line="360" w:lineRule="auto"/>
        <w:jc w:val="right"/>
        <w:rPr>
          <w:rFonts w:ascii="Arial" w:hAnsi="Arial" w:cs="Arial"/>
          <w:sz w:val="24"/>
          <w:szCs w:val="24"/>
        </w:rPr>
      </w:pPr>
    </w:p>
    <w:p w:rsidR="00604ACF" w:rsidRPr="00FE4DAB" w:rsidRDefault="00604ACF" w:rsidP="00604ACF">
      <w:pPr>
        <w:spacing w:after="0" w:line="360" w:lineRule="auto"/>
        <w:jc w:val="right"/>
        <w:rPr>
          <w:rFonts w:ascii="Arial" w:hAnsi="Arial" w:cs="Arial"/>
          <w:sz w:val="24"/>
          <w:szCs w:val="24"/>
        </w:rPr>
      </w:pPr>
    </w:p>
    <w:p w:rsidR="00604ACF" w:rsidRPr="00FE4DAB" w:rsidRDefault="00604ACF" w:rsidP="00604ACF">
      <w:pPr>
        <w:spacing w:after="0" w:line="360" w:lineRule="auto"/>
        <w:jc w:val="right"/>
        <w:rPr>
          <w:rFonts w:ascii="Arial" w:hAnsi="Arial" w:cs="Arial"/>
          <w:sz w:val="24"/>
          <w:szCs w:val="24"/>
        </w:rPr>
      </w:pPr>
    </w:p>
    <w:p w:rsidR="00604ACF" w:rsidRPr="00FE4DAB" w:rsidRDefault="00604ACF" w:rsidP="00604ACF">
      <w:pPr>
        <w:spacing w:after="0" w:line="360" w:lineRule="auto"/>
        <w:jc w:val="right"/>
        <w:rPr>
          <w:rFonts w:ascii="Arial" w:hAnsi="Arial" w:cs="Arial"/>
          <w:sz w:val="24"/>
          <w:szCs w:val="24"/>
        </w:rPr>
      </w:pPr>
    </w:p>
    <w:p w:rsidR="00604ACF" w:rsidRPr="00FE4DAB" w:rsidRDefault="000F4F4A" w:rsidP="000F4F4A">
      <w:pPr>
        <w:spacing w:after="0" w:line="360" w:lineRule="auto"/>
        <w:rPr>
          <w:rFonts w:ascii="Arial" w:hAnsi="Arial" w:cs="Arial"/>
          <w:b/>
          <w:sz w:val="24"/>
          <w:szCs w:val="24"/>
        </w:rPr>
      </w:pPr>
      <w:r w:rsidRPr="00FE4DAB">
        <w:rPr>
          <w:rFonts w:ascii="Arial" w:hAnsi="Arial" w:cs="Arial"/>
          <w:b/>
          <w:sz w:val="24"/>
          <w:szCs w:val="24"/>
        </w:rPr>
        <w:t>RESUMO</w:t>
      </w:r>
    </w:p>
    <w:p w:rsidR="000F4F4A" w:rsidRDefault="00FE4DAB" w:rsidP="00D05418">
      <w:pPr>
        <w:spacing w:after="0" w:line="360" w:lineRule="auto"/>
        <w:ind w:firstLine="708"/>
        <w:jc w:val="both"/>
        <w:rPr>
          <w:rFonts w:ascii="Arial" w:hAnsi="Arial" w:cs="Arial"/>
          <w:sz w:val="24"/>
          <w:szCs w:val="24"/>
        </w:rPr>
      </w:pPr>
      <w:r w:rsidRPr="00FE4DAB">
        <w:rPr>
          <w:rFonts w:ascii="Arial" w:hAnsi="Arial" w:cs="Arial"/>
          <w:sz w:val="24"/>
          <w:szCs w:val="24"/>
        </w:rPr>
        <w:t xml:space="preserve">O presente artigo tem por objetivo demonstrar a relação entre </w:t>
      </w:r>
      <w:r w:rsidR="00E86A66">
        <w:rPr>
          <w:rFonts w:ascii="Arial" w:hAnsi="Arial" w:cs="Arial"/>
          <w:sz w:val="24"/>
          <w:szCs w:val="24"/>
        </w:rPr>
        <w:t xml:space="preserve">o volume dos gastos </w:t>
      </w:r>
      <w:r>
        <w:rPr>
          <w:rFonts w:ascii="Arial" w:hAnsi="Arial" w:cs="Arial"/>
          <w:sz w:val="24"/>
          <w:szCs w:val="24"/>
        </w:rPr>
        <w:t xml:space="preserve">em segurança pública e seu reflexo nos principais índices que compõem as estatísticas criminais no Estado de Goiás. </w:t>
      </w:r>
      <w:r w:rsidR="00E86A66">
        <w:rPr>
          <w:rFonts w:ascii="Arial" w:hAnsi="Arial" w:cs="Arial"/>
          <w:sz w:val="24"/>
          <w:szCs w:val="24"/>
        </w:rPr>
        <w:t>O aumento da violência e da criminalidade é evidente no país</w:t>
      </w:r>
      <w:r w:rsidR="00180642">
        <w:rPr>
          <w:rFonts w:ascii="Arial" w:hAnsi="Arial" w:cs="Arial"/>
          <w:sz w:val="24"/>
          <w:szCs w:val="24"/>
        </w:rPr>
        <w:t xml:space="preserve"> e em Goiás</w:t>
      </w:r>
      <w:r w:rsidR="005B57A7">
        <w:rPr>
          <w:rFonts w:ascii="Arial" w:hAnsi="Arial" w:cs="Arial"/>
          <w:sz w:val="24"/>
          <w:szCs w:val="24"/>
        </w:rPr>
        <w:t>,</w:t>
      </w:r>
      <w:r w:rsidR="00E86A66">
        <w:rPr>
          <w:rFonts w:ascii="Arial" w:hAnsi="Arial" w:cs="Arial"/>
          <w:sz w:val="24"/>
          <w:szCs w:val="24"/>
        </w:rPr>
        <w:t xml:space="preserve"> e tem sido tema recorrente nas discussões em todas as esferas de governo. </w:t>
      </w:r>
      <w:r w:rsidR="00E77382">
        <w:rPr>
          <w:rFonts w:ascii="Arial" w:hAnsi="Arial" w:cs="Arial"/>
          <w:sz w:val="24"/>
          <w:szCs w:val="24"/>
        </w:rPr>
        <w:t xml:space="preserve">Os Governadores de Estado atribuem a ascensão dos índices à falta de investimento do Governo Federal na área de Segurança Pública. Por sua vez os Prefeitos </w:t>
      </w:r>
      <w:r w:rsidR="00836097">
        <w:rPr>
          <w:rFonts w:ascii="Arial" w:hAnsi="Arial" w:cs="Arial"/>
          <w:sz w:val="24"/>
          <w:szCs w:val="24"/>
        </w:rPr>
        <w:t xml:space="preserve">se isentam de responsabilidade sob o </w:t>
      </w:r>
      <w:r w:rsidR="00E77382">
        <w:rPr>
          <w:rFonts w:ascii="Arial" w:hAnsi="Arial" w:cs="Arial"/>
          <w:sz w:val="24"/>
          <w:szCs w:val="24"/>
        </w:rPr>
        <w:t>entend</w:t>
      </w:r>
      <w:r w:rsidR="00836097">
        <w:rPr>
          <w:rFonts w:ascii="Arial" w:hAnsi="Arial" w:cs="Arial"/>
          <w:sz w:val="24"/>
          <w:szCs w:val="24"/>
        </w:rPr>
        <w:t xml:space="preserve">imento </w:t>
      </w:r>
      <w:r w:rsidR="00E77382">
        <w:rPr>
          <w:rFonts w:ascii="Arial" w:hAnsi="Arial" w:cs="Arial"/>
          <w:sz w:val="24"/>
          <w:szCs w:val="24"/>
        </w:rPr>
        <w:t xml:space="preserve">que é dever </w:t>
      </w:r>
      <w:r w:rsidR="00D7520F">
        <w:rPr>
          <w:rFonts w:ascii="Arial" w:hAnsi="Arial" w:cs="Arial"/>
          <w:sz w:val="24"/>
          <w:szCs w:val="24"/>
        </w:rPr>
        <w:t>constitucional do Governo Estadual</w:t>
      </w:r>
      <w:r w:rsidR="005541E3">
        <w:rPr>
          <w:rFonts w:ascii="Arial" w:hAnsi="Arial" w:cs="Arial"/>
          <w:sz w:val="24"/>
          <w:szCs w:val="24"/>
        </w:rPr>
        <w:t xml:space="preserve"> investi</w:t>
      </w:r>
      <w:r w:rsidR="007F62F6">
        <w:rPr>
          <w:rFonts w:ascii="Arial" w:hAnsi="Arial" w:cs="Arial"/>
          <w:sz w:val="24"/>
          <w:szCs w:val="24"/>
        </w:rPr>
        <w:t>r no setor</w:t>
      </w:r>
      <w:r w:rsidR="005541E3">
        <w:rPr>
          <w:rFonts w:ascii="Arial" w:hAnsi="Arial" w:cs="Arial"/>
          <w:sz w:val="24"/>
          <w:szCs w:val="24"/>
        </w:rPr>
        <w:t xml:space="preserve">. </w:t>
      </w:r>
      <w:r w:rsidR="004031BA">
        <w:rPr>
          <w:rFonts w:ascii="Arial" w:hAnsi="Arial" w:cs="Arial"/>
          <w:sz w:val="24"/>
          <w:szCs w:val="24"/>
        </w:rPr>
        <w:t>Neste sentido</w:t>
      </w:r>
      <w:r w:rsidR="00903D15">
        <w:rPr>
          <w:rFonts w:ascii="Arial" w:hAnsi="Arial" w:cs="Arial"/>
          <w:sz w:val="24"/>
          <w:szCs w:val="24"/>
        </w:rPr>
        <w:t xml:space="preserve">, o artigo mostra que em Goiás os gastos em Segurança </w:t>
      </w:r>
      <w:r w:rsidR="003465F5">
        <w:rPr>
          <w:rFonts w:ascii="Arial" w:hAnsi="Arial" w:cs="Arial"/>
          <w:sz w:val="24"/>
          <w:szCs w:val="24"/>
        </w:rPr>
        <w:t xml:space="preserve">Pública </w:t>
      </w:r>
      <w:r w:rsidR="00903D15">
        <w:rPr>
          <w:rFonts w:ascii="Arial" w:hAnsi="Arial" w:cs="Arial"/>
          <w:sz w:val="24"/>
          <w:szCs w:val="24"/>
        </w:rPr>
        <w:t>cresce</w:t>
      </w:r>
      <w:r w:rsidR="004031BA">
        <w:rPr>
          <w:rFonts w:ascii="Arial" w:hAnsi="Arial" w:cs="Arial"/>
          <w:sz w:val="24"/>
          <w:szCs w:val="24"/>
        </w:rPr>
        <w:t>ra</w:t>
      </w:r>
      <w:r w:rsidR="00903D15">
        <w:rPr>
          <w:rFonts w:ascii="Arial" w:hAnsi="Arial" w:cs="Arial"/>
          <w:sz w:val="24"/>
          <w:szCs w:val="24"/>
        </w:rPr>
        <w:t>m exponencialmente</w:t>
      </w:r>
      <w:r w:rsidR="00596881">
        <w:rPr>
          <w:rFonts w:ascii="Arial" w:hAnsi="Arial" w:cs="Arial"/>
          <w:sz w:val="24"/>
          <w:szCs w:val="24"/>
        </w:rPr>
        <w:t>, com destaque para a</w:t>
      </w:r>
      <w:r w:rsidR="00903D15">
        <w:rPr>
          <w:rFonts w:ascii="Arial" w:hAnsi="Arial" w:cs="Arial"/>
          <w:sz w:val="24"/>
          <w:szCs w:val="24"/>
        </w:rPr>
        <w:t xml:space="preserve"> remuneração de Policiais Civis</w:t>
      </w:r>
      <w:r w:rsidR="00596881">
        <w:rPr>
          <w:rFonts w:ascii="Arial" w:hAnsi="Arial" w:cs="Arial"/>
          <w:sz w:val="24"/>
          <w:szCs w:val="24"/>
        </w:rPr>
        <w:t xml:space="preserve"> e</w:t>
      </w:r>
      <w:r w:rsidR="00903D15">
        <w:rPr>
          <w:rFonts w:ascii="Arial" w:hAnsi="Arial" w:cs="Arial"/>
          <w:sz w:val="24"/>
          <w:szCs w:val="24"/>
        </w:rPr>
        <w:t xml:space="preserve"> Militares</w:t>
      </w:r>
      <w:r w:rsidR="00180642">
        <w:rPr>
          <w:rFonts w:ascii="Arial" w:hAnsi="Arial" w:cs="Arial"/>
          <w:sz w:val="24"/>
          <w:szCs w:val="24"/>
        </w:rPr>
        <w:t>,</w:t>
      </w:r>
      <w:r w:rsidR="004031BA">
        <w:rPr>
          <w:rFonts w:ascii="Arial" w:hAnsi="Arial" w:cs="Arial"/>
          <w:sz w:val="24"/>
          <w:szCs w:val="24"/>
        </w:rPr>
        <w:t xml:space="preserve"> </w:t>
      </w:r>
      <w:r w:rsidR="00180642">
        <w:rPr>
          <w:rFonts w:ascii="Arial" w:hAnsi="Arial" w:cs="Arial"/>
          <w:sz w:val="24"/>
          <w:szCs w:val="24"/>
        </w:rPr>
        <w:t>n</w:t>
      </w:r>
      <w:r w:rsidR="004031BA">
        <w:rPr>
          <w:rFonts w:ascii="Arial" w:hAnsi="Arial" w:cs="Arial"/>
          <w:sz w:val="24"/>
          <w:szCs w:val="24"/>
        </w:rPr>
        <w:t xml:space="preserve">o entanto as despesas </w:t>
      </w:r>
      <w:r w:rsidR="00596881">
        <w:rPr>
          <w:rFonts w:ascii="Arial" w:hAnsi="Arial" w:cs="Arial"/>
          <w:sz w:val="24"/>
          <w:szCs w:val="24"/>
        </w:rPr>
        <w:t>de</w:t>
      </w:r>
      <w:r w:rsidR="004031BA">
        <w:rPr>
          <w:rFonts w:ascii="Arial" w:hAnsi="Arial" w:cs="Arial"/>
          <w:sz w:val="24"/>
          <w:szCs w:val="24"/>
        </w:rPr>
        <w:t xml:space="preserve"> </w:t>
      </w:r>
      <w:r w:rsidR="000D4D8B">
        <w:rPr>
          <w:rFonts w:ascii="Arial" w:hAnsi="Arial" w:cs="Arial"/>
          <w:sz w:val="24"/>
          <w:szCs w:val="24"/>
        </w:rPr>
        <w:t xml:space="preserve">custeio e </w:t>
      </w:r>
      <w:r w:rsidR="004031BA">
        <w:rPr>
          <w:rFonts w:ascii="Arial" w:hAnsi="Arial" w:cs="Arial"/>
          <w:sz w:val="24"/>
          <w:szCs w:val="24"/>
        </w:rPr>
        <w:t>investimento</w:t>
      </w:r>
      <w:r w:rsidR="00B52102">
        <w:rPr>
          <w:rFonts w:ascii="Arial" w:hAnsi="Arial" w:cs="Arial"/>
          <w:sz w:val="24"/>
          <w:szCs w:val="24"/>
        </w:rPr>
        <w:t xml:space="preserve"> apresentaram pouca variação</w:t>
      </w:r>
      <w:r w:rsidR="004031BA">
        <w:rPr>
          <w:rFonts w:ascii="Arial" w:hAnsi="Arial" w:cs="Arial"/>
          <w:sz w:val="24"/>
          <w:szCs w:val="24"/>
        </w:rPr>
        <w:t xml:space="preserve"> no período avaliado.</w:t>
      </w:r>
    </w:p>
    <w:p w:rsidR="003E37CC" w:rsidRDefault="003E37CC" w:rsidP="00A575C1">
      <w:pPr>
        <w:spacing w:after="0" w:line="360" w:lineRule="auto"/>
        <w:jc w:val="both"/>
        <w:rPr>
          <w:rFonts w:ascii="Arial" w:hAnsi="Arial" w:cs="Arial"/>
          <w:sz w:val="24"/>
          <w:szCs w:val="24"/>
        </w:rPr>
      </w:pPr>
    </w:p>
    <w:p w:rsidR="00D9581D" w:rsidRDefault="00D9581D" w:rsidP="00D9581D">
      <w:pPr>
        <w:spacing w:after="0" w:line="360" w:lineRule="auto"/>
        <w:jc w:val="both"/>
        <w:rPr>
          <w:rFonts w:ascii="Arial" w:hAnsi="Arial" w:cs="Arial"/>
          <w:sz w:val="24"/>
          <w:szCs w:val="24"/>
        </w:rPr>
      </w:pPr>
      <w:r>
        <w:rPr>
          <w:rFonts w:ascii="Arial" w:hAnsi="Arial" w:cs="Arial"/>
          <w:sz w:val="24"/>
          <w:szCs w:val="24"/>
        </w:rPr>
        <w:t xml:space="preserve">Palavras-chave: </w:t>
      </w:r>
      <w:r w:rsidR="00A91562">
        <w:rPr>
          <w:rFonts w:ascii="Arial" w:hAnsi="Arial" w:cs="Arial"/>
          <w:sz w:val="24"/>
          <w:szCs w:val="24"/>
        </w:rPr>
        <w:t>Orçamento Público</w:t>
      </w:r>
      <w:r w:rsidR="00E52603">
        <w:rPr>
          <w:rFonts w:ascii="Arial" w:hAnsi="Arial" w:cs="Arial"/>
          <w:sz w:val="24"/>
          <w:szCs w:val="24"/>
        </w:rPr>
        <w:t>. Estatística Criminal</w:t>
      </w:r>
      <w:r w:rsidR="00FE5E4E">
        <w:rPr>
          <w:rFonts w:ascii="Arial" w:hAnsi="Arial" w:cs="Arial"/>
          <w:sz w:val="24"/>
          <w:szCs w:val="24"/>
        </w:rPr>
        <w:t>.</w:t>
      </w:r>
      <w:r w:rsidR="00D05FE3">
        <w:rPr>
          <w:rFonts w:ascii="Arial" w:hAnsi="Arial" w:cs="Arial"/>
          <w:sz w:val="24"/>
          <w:szCs w:val="24"/>
        </w:rPr>
        <w:t xml:space="preserve"> </w:t>
      </w:r>
      <w:r w:rsidR="00E52603">
        <w:rPr>
          <w:rFonts w:ascii="Arial" w:hAnsi="Arial" w:cs="Arial"/>
          <w:sz w:val="24"/>
          <w:szCs w:val="24"/>
        </w:rPr>
        <w:t>Segurança Pública</w:t>
      </w:r>
      <w:r>
        <w:rPr>
          <w:rFonts w:ascii="Arial" w:hAnsi="Arial" w:cs="Arial"/>
          <w:sz w:val="24"/>
          <w:szCs w:val="24"/>
        </w:rPr>
        <w:t>.</w:t>
      </w:r>
    </w:p>
    <w:p w:rsidR="00D84700" w:rsidRDefault="00D84700" w:rsidP="00D9581D">
      <w:pPr>
        <w:spacing w:after="0" w:line="360" w:lineRule="auto"/>
        <w:jc w:val="both"/>
        <w:rPr>
          <w:rFonts w:ascii="Arial" w:hAnsi="Arial" w:cs="Arial"/>
          <w:sz w:val="24"/>
          <w:szCs w:val="24"/>
        </w:rPr>
      </w:pPr>
    </w:p>
    <w:p w:rsidR="00A575C1" w:rsidRDefault="00A575C1" w:rsidP="00A575C1">
      <w:pPr>
        <w:spacing w:after="0" w:line="360" w:lineRule="auto"/>
        <w:rPr>
          <w:rFonts w:ascii="Arial" w:hAnsi="Arial" w:cs="Arial"/>
          <w:b/>
          <w:sz w:val="24"/>
          <w:szCs w:val="24"/>
        </w:rPr>
      </w:pPr>
      <w:r>
        <w:rPr>
          <w:rFonts w:ascii="Arial" w:hAnsi="Arial" w:cs="Arial"/>
          <w:b/>
          <w:sz w:val="24"/>
          <w:szCs w:val="24"/>
        </w:rPr>
        <w:t>EIXO TEMÁTICO</w:t>
      </w:r>
    </w:p>
    <w:p w:rsidR="00A575C1" w:rsidRPr="00A575C1" w:rsidRDefault="00A575C1" w:rsidP="00A575C1">
      <w:pPr>
        <w:spacing w:after="0" w:line="360" w:lineRule="auto"/>
        <w:ind w:firstLine="708"/>
        <w:rPr>
          <w:rFonts w:ascii="Arial" w:hAnsi="Arial" w:cs="Arial"/>
          <w:b/>
          <w:sz w:val="24"/>
          <w:szCs w:val="24"/>
        </w:rPr>
      </w:pPr>
      <w:r w:rsidRPr="00A575C1">
        <w:rPr>
          <w:rFonts w:ascii="Arial" w:hAnsi="Arial" w:cs="Arial"/>
          <w:color w:val="222222"/>
          <w:sz w:val="24"/>
          <w:szCs w:val="24"/>
          <w:shd w:val="clear" w:color="auto" w:fill="FFFFFF"/>
        </w:rPr>
        <w:t>Organização e Gestão das Instituições de Segurança Pública</w:t>
      </w:r>
    </w:p>
    <w:p w:rsidR="00A575C1" w:rsidRDefault="00A575C1" w:rsidP="00D9581D">
      <w:pPr>
        <w:spacing w:after="0" w:line="360" w:lineRule="auto"/>
        <w:jc w:val="both"/>
        <w:rPr>
          <w:rFonts w:ascii="Arial" w:hAnsi="Arial" w:cs="Arial"/>
          <w:sz w:val="24"/>
          <w:szCs w:val="24"/>
        </w:rPr>
      </w:pPr>
    </w:p>
    <w:p w:rsidR="00A575C1" w:rsidRDefault="00A575C1" w:rsidP="00D84700">
      <w:pPr>
        <w:tabs>
          <w:tab w:val="left" w:pos="1701"/>
        </w:tabs>
        <w:spacing w:after="0" w:line="360" w:lineRule="auto"/>
        <w:jc w:val="both"/>
        <w:rPr>
          <w:rFonts w:ascii="Arial" w:hAnsi="Arial" w:cs="Arial"/>
          <w:sz w:val="24"/>
          <w:szCs w:val="24"/>
        </w:rPr>
      </w:pPr>
    </w:p>
    <w:p w:rsidR="00D84700" w:rsidRDefault="00D84700" w:rsidP="00D84700">
      <w:pPr>
        <w:tabs>
          <w:tab w:val="left" w:pos="1701"/>
        </w:tabs>
        <w:spacing w:after="0" w:line="360" w:lineRule="auto"/>
        <w:jc w:val="both"/>
        <w:rPr>
          <w:rFonts w:ascii="Arial" w:hAnsi="Arial" w:cs="Arial"/>
          <w:sz w:val="24"/>
          <w:szCs w:val="24"/>
        </w:rPr>
      </w:pPr>
      <w:r>
        <w:rPr>
          <w:rFonts w:ascii="Arial" w:hAnsi="Arial" w:cs="Arial"/>
          <w:sz w:val="24"/>
          <w:szCs w:val="24"/>
        </w:rPr>
        <w:t>_____________</w:t>
      </w:r>
    </w:p>
    <w:p w:rsidR="00D84700" w:rsidRPr="00D84700" w:rsidRDefault="00D84700" w:rsidP="00D84700">
      <w:pPr>
        <w:spacing w:after="0" w:line="240" w:lineRule="auto"/>
        <w:jc w:val="both"/>
        <w:rPr>
          <w:rFonts w:ascii="Arial" w:hAnsi="Arial" w:cs="Arial"/>
          <w:sz w:val="20"/>
          <w:szCs w:val="24"/>
        </w:rPr>
      </w:pPr>
      <w:r w:rsidRPr="00D84700">
        <w:rPr>
          <w:rFonts w:ascii="Arial" w:hAnsi="Arial" w:cs="Arial"/>
          <w:sz w:val="20"/>
          <w:szCs w:val="24"/>
        </w:rPr>
        <w:t xml:space="preserve">* </w:t>
      </w:r>
      <w:r>
        <w:rPr>
          <w:rFonts w:ascii="Arial" w:hAnsi="Arial" w:cs="Arial"/>
          <w:sz w:val="20"/>
          <w:szCs w:val="24"/>
        </w:rPr>
        <w:t xml:space="preserve">Eduardo Vieira Scarpa é graduado em Administração de Empresas pelo Centro de Ensino Superior de Catalão (CESUC, 2000), é servidor de carreira do Governo do Estado de Goiás no cargo de Gestor de Planejamento e Orçamento desde 2002. Atualmente </w:t>
      </w:r>
      <w:r w:rsidR="00F62B9C">
        <w:rPr>
          <w:rFonts w:ascii="Arial" w:hAnsi="Arial" w:cs="Arial"/>
          <w:sz w:val="20"/>
          <w:szCs w:val="24"/>
        </w:rPr>
        <w:t>coordena o processo de</w:t>
      </w:r>
      <w:r>
        <w:rPr>
          <w:rFonts w:ascii="Arial" w:hAnsi="Arial" w:cs="Arial"/>
          <w:sz w:val="20"/>
          <w:szCs w:val="24"/>
        </w:rPr>
        <w:t xml:space="preserve"> elaboração e programação orçamentária </w:t>
      </w:r>
      <w:r w:rsidR="00F62B9C">
        <w:rPr>
          <w:rFonts w:ascii="Arial" w:hAnsi="Arial" w:cs="Arial"/>
          <w:sz w:val="20"/>
          <w:szCs w:val="24"/>
        </w:rPr>
        <w:t>no Esta</w:t>
      </w:r>
      <w:r w:rsidR="00802340">
        <w:rPr>
          <w:rFonts w:ascii="Arial" w:hAnsi="Arial" w:cs="Arial"/>
          <w:sz w:val="20"/>
          <w:szCs w:val="24"/>
        </w:rPr>
        <w:t>do. E-mail: eduscarpa@gmail.com</w:t>
      </w:r>
    </w:p>
    <w:p w:rsidR="00177753" w:rsidRDefault="00BD2553" w:rsidP="00D9581D">
      <w:pPr>
        <w:spacing w:after="0" w:line="360" w:lineRule="auto"/>
        <w:jc w:val="both"/>
        <w:rPr>
          <w:rFonts w:ascii="Arial" w:hAnsi="Arial" w:cs="Arial"/>
          <w:b/>
          <w:sz w:val="24"/>
          <w:szCs w:val="24"/>
        </w:rPr>
      </w:pPr>
      <w:r>
        <w:rPr>
          <w:rFonts w:ascii="Arial" w:hAnsi="Arial" w:cs="Arial"/>
          <w:b/>
          <w:sz w:val="24"/>
          <w:szCs w:val="24"/>
        </w:rPr>
        <w:lastRenderedPageBreak/>
        <w:t xml:space="preserve">1 </w:t>
      </w:r>
      <w:r w:rsidR="00177753" w:rsidRPr="00177753">
        <w:rPr>
          <w:rFonts w:ascii="Arial" w:hAnsi="Arial" w:cs="Arial"/>
          <w:b/>
          <w:sz w:val="24"/>
          <w:szCs w:val="24"/>
        </w:rPr>
        <w:t>INTRODUÇÃO</w:t>
      </w:r>
    </w:p>
    <w:p w:rsidR="004B12F6" w:rsidRPr="00C86AD0" w:rsidRDefault="00177753" w:rsidP="00D9581D">
      <w:pPr>
        <w:spacing w:after="0" w:line="360" w:lineRule="auto"/>
        <w:jc w:val="both"/>
        <w:rPr>
          <w:rFonts w:ascii="Arial" w:hAnsi="Arial" w:cs="Arial"/>
          <w:sz w:val="24"/>
          <w:szCs w:val="24"/>
        </w:rPr>
      </w:pPr>
      <w:r>
        <w:rPr>
          <w:rFonts w:ascii="Arial" w:hAnsi="Arial" w:cs="Arial"/>
          <w:b/>
          <w:sz w:val="24"/>
          <w:szCs w:val="24"/>
        </w:rPr>
        <w:tab/>
      </w:r>
      <w:r w:rsidR="004B12F6">
        <w:rPr>
          <w:rFonts w:ascii="Arial" w:hAnsi="Arial" w:cs="Arial"/>
          <w:sz w:val="24"/>
          <w:szCs w:val="24"/>
        </w:rPr>
        <w:t xml:space="preserve">A escalada da violência no Brasil é evidente </w:t>
      </w:r>
      <w:r w:rsidR="00EC39DA">
        <w:rPr>
          <w:rFonts w:ascii="Arial" w:hAnsi="Arial" w:cs="Arial"/>
          <w:sz w:val="24"/>
          <w:szCs w:val="24"/>
        </w:rPr>
        <w:t xml:space="preserve">e tem chamado a atenção diante </w:t>
      </w:r>
      <w:r w:rsidR="00E703E6">
        <w:rPr>
          <w:rFonts w:ascii="Arial" w:hAnsi="Arial" w:cs="Arial"/>
          <w:sz w:val="24"/>
          <w:szCs w:val="24"/>
        </w:rPr>
        <w:t xml:space="preserve">dos </w:t>
      </w:r>
      <w:r w:rsidR="00EC39DA">
        <w:rPr>
          <w:rFonts w:ascii="Arial" w:hAnsi="Arial" w:cs="Arial"/>
          <w:sz w:val="24"/>
          <w:szCs w:val="24"/>
        </w:rPr>
        <w:t>alarmante</w:t>
      </w:r>
      <w:r w:rsidR="00E703E6">
        <w:rPr>
          <w:rFonts w:ascii="Arial" w:hAnsi="Arial" w:cs="Arial"/>
          <w:sz w:val="24"/>
          <w:szCs w:val="24"/>
        </w:rPr>
        <w:t>s</w:t>
      </w:r>
      <w:r w:rsidR="00174BE5">
        <w:rPr>
          <w:rFonts w:ascii="Arial" w:hAnsi="Arial" w:cs="Arial"/>
          <w:sz w:val="24"/>
          <w:szCs w:val="24"/>
        </w:rPr>
        <w:t xml:space="preserve"> </w:t>
      </w:r>
      <w:r w:rsidR="00DB1B6E">
        <w:rPr>
          <w:rFonts w:ascii="Arial" w:hAnsi="Arial" w:cs="Arial"/>
          <w:sz w:val="24"/>
          <w:szCs w:val="24"/>
        </w:rPr>
        <w:t>índices de</w:t>
      </w:r>
      <w:r w:rsidR="00EC39DA">
        <w:rPr>
          <w:rFonts w:ascii="Arial" w:hAnsi="Arial" w:cs="Arial"/>
          <w:sz w:val="24"/>
          <w:szCs w:val="24"/>
        </w:rPr>
        <w:t xml:space="preserve"> criminalidade. </w:t>
      </w:r>
      <w:r w:rsidR="00DB1B6E">
        <w:rPr>
          <w:rFonts w:ascii="Arial" w:hAnsi="Arial" w:cs="Arial"/>
          <w:sz w:val="24"/>
          <w:szCs w:val="24"/>
        </w:rPr>
        <w:t xml:space="preserve">Segundo dados do </w:t>
      </w:r>
      <w:r w:rsidR="00DB1B6E" w:rsidRPr="00DB1B6E">
        <w:rPr>
          <w:rFonts w:ascii="Arial" w:hAnsi="Arial" w:cs="Arial"/>
          <w:sz w:val="24"/>
          <w:szCs w:val="24"/>
        </w:rPr>
        <w:t>Programa das Nações Unidas para o Desenvolvimento</w:t>
      </w:r>
      <w:r w:rsidR="00174BE5">
        <w:rPr>
          <w:rFonts w:ascii="Arial" w:hAnsi="Arial" w:cs="Arial"/>
          <w:sz w:val="24"/>
          <w:szCs w:val="24"/>
        </w:rPr>
        <w:t xml:space="preserve"> </w:t>
      </w:r>
      <w:r w:rsidR="00D31CF0">
        <w:rPr>
          <w:rFonts w:ascii="Arial" w:hAnsi="Arial" w:cs="Arial"/>
          <w:sz w:val="24"/>
          <w:szCs w:val="24"/>
        </w:rPr>
        <w:t>–</w:t>
      </w:r>
      <w:r w:rsidR="00E703E6">
        <w:rPr>
          <w:rFonts w:ascii="Arial" w:hAnsi="Arial" w:cs="Arial"/>
          <w:sz w:val="24"/>
          <w:szCs w:val="24"/>
        </w:rPr>
        <w:t xml:space="preserve"> PNUD</w:t>
      </w:r>
      <w:r w:rsidR="00D31CF0">
        <w:rPr>
          <w:rFonts w:ascii="Arial" w:hAnsi="Arial" w:cs="Arial"/>
          <w:sz w:val="24"/>
          <w:szCs w:val="24"/>
        </w:rPr>
        <w:t>,</w:t>
      </w:r>
      <w:r w:rsidR="00DB1B6E">
        <w:rPr>
          <w:rFonts w:ascii="Arial" w:hAnsi="Arial" w:cs="Arial"/>
          <w:sz w:val="24"/>
          <w:szCs w:val="24"/>
        </w:rPr>
        <w:t xml:space="preserve"> acerca da violência na America Latina em 2013, o Brasil tem a 3ª maior taxa de roubos na região. Dos 18 países presentes no relatório do </w:t>
      </w:r>
      <w:r w:rsidR="00E703E6">
        <w:rPr>
          <w:rFonts w:ascii="Arial" w:hAnsi="Arial" w:cs="Arial"/>
          <w:sz w:val="24"/>
          <w:szCs w:val="24"/>
        </w:rPr>
        <w:t>programa</w:t>
      </w:r>
      <w:r w:rsidR="00DB1B6E">
        <w:rPr>
          <w:rFonts w:ascii="Arial" w:hAnsi="Arial" w:cs="Arial"/>
          <w:sz w:val="24"/>
          <w:szCs w:val="24"/>
        </w:rPr>
        <w:t>, o Brasil só apresenta dados melhores que México e Argentina.</w:t>
      </w:r>
      <w:r w:rsidR="00C86AD0">
        <w:rPr>
          <w:rFonts w:ascii="Arial" w:hAnsi="Arial" w:cs="Arial"/>
          <w:sz w:val="24"/>
          <w:szCs w:val="24"/>
        </w:rPr>
        <w:t xml:space="preserve"> Levantamento realizado pela ONG mexicana </w:t>
      </w:r>
      <w:r w:rsidR="00C86AD0" w:rsidRPr="00C86AD0">
        <w:rPr>
          <w:rFonts w:ascii="Arial" w:hAnsi="Arial" w:cs="Arial"/>
          <w:sz w:val="24"/>
          <w:szCs w:val="24"/>
        </w:rPr>
        <w:t>Conselho Cidadão pela Seguridade Social Pú</w:t>
      </w:r>
      <w:r w:rsidR="00C86AD0">
        <w:rPr>
          <w:rFonts w:ascii="Arial" w:hAnsi="Arial" w:cs="Arial"/>
          <w:sz w:val="24"/>
          <w:szCs w:val="24"/>
        </w:rPr>
        <w:t>blica e Justiça Penal</w:t>
      </w:r>
      <w:r w:rsidR="00D31CF0">
        <w:rPr>
          <w:rFonts w:ascii="Arial" w:hAnsi="Arial" w:cs="Arial"/>
          <w:sz w:val="24"/>
          <w:szCs w:val="24"/>
        </w:rPr>
        <w:t xml:space="preserve"> (</w:t>
      </w:r>
      <w:r w:rsidR="00D31CF0" w:rsidRPr="00D31CF0">
        <w:rPr>
          <w:rFonts w:ascii="Arial" w:hAnsi="Arial" w:cs="Arial"/>
          <w:i/>
          <w:sz w:val="24"/>
          <w:szCs w:val="24"/>
        </w:rPr>
        <w:t>Consejo Ciudadano para la</w:t>
      </w:r>
      <w:r w:rsidR="00D31CF0" w:rsidRPr="00D31CF0">
        <w:rPr>
          <w:rFonts w:ascii="Arial" w:hAnsi="Arial" w:cs="Arial"/>
          <w:i/>
          <w:sz w:val="24"/>
          <w:szCs w:val="24"/>
        </w:rPr>
        <w:br/>
        <w:t>Seguridad Pública y la Justicia Pena</w:t>
      </w:r>
      <w:r w:rsidR="00D31CF0" w:rsidRPr="00D31CF0">
        <w:rPr>
          <w:rFonts w:ascii="Arial" w:hAnsi="Arial" w:cs="Arial"/>
          <w:sz w:val="24"/>
          <w:szCs w:val="24"/>
        </w:rPr>
        <w:t>l</w:t>
      </w:r>
      <w:r w:rsidR="00D31CF0">
        <w:rPr>
          <w:rFonts w:ascii="Arial" w:hAnsi="Arial" w:cs="Arial"/>
          <w:sz w:val="24"/>
          <w:szCs w:val="24"/>
        </w:rPr>
        <w:t>)</w:t>
      </w:r>
      <w:r w:rsidR="00C86AD0">
        <w:rPr>
          <w:rFonts w:ascii="Arial" w:hAnsi="Arial" w:cs="Arial"/>
          <w:sz w:val="24"/>
          <w:szCs w:val="24"/>
        </w:rPr>
        <w:t xml:space="preserve">, utilizou as taxas de homicídio para classificar as cidades mais </w:t>
      </w:r>
      <w:r w:rsidR="00E703E6">
        <w:rPr>
          <w:rFonts w:ascii="Arial" w:hAnsi="Arial" w:cs="Arial"/>
          <w:sz w:val="24"/>
          <w:szCs w:val="24"/>
        </w:rPr>
        <w:t>e</w:t>
      </w:r>
      <w:r w:rsidR="00CC2412">
        <w:rPr>
          <w:rFonts w:ascii="Arial" w:hAnsi="Arial" w:cs="Arial"/>
          <w:sz w:val="24"/>
          <w:szCs w:val="24"/>
        </w:rPr>
        <w:t xml:space="preserve"> menos </w:t>
      </w:r>
      <w:r w:rsidR="00C86AD0">
        <w:rPr>
          <w:rFonts w:ascii="Arial" w:hAnsi="Arial" w:cs="Arial"/>
          <w:sz w:val="24"/>
          <w:szCs w:val="24"/>
        </w:rPr>
        <w:t xml:space="preserve">violentas do mundo. Destas, 16 cidades brasileiras figuraram entre o </w:t>
      </w:r>
      <w:r w:rsidR="00C86AD0" w:rsidRPr="00C86AD0">
        <w:rPr>
          <w:rFonts w:ascii="Arial" w:hAnsi="Arial" w:cs="Arial"/>
          <w:i/>
          <w:sz w:val="24"/>
          <w:szCs w:val="24"/>
        </w:rPr>
        <w:t>ranking</w:t>
      </w:r>
      <w:r w:rsidR="00C86AD0">
        <w:rPr>
          <w:rFonts w:ascii="Arial" w:hAnsi="Arial" w:cs="Arial"/>
          <w:sz w:val="24"/>
          <w:szCs w:val="24"/>
        </w:rPr>
        <w:t xml:space="preserve"> das 50 mais violentas.</w:t>
      </w:r>
      <w:r w:rsidR="00A6451C">
        <w:rPr>
          <w:rFonts w:ascii="Arial" w:hAnsi="Arial" w:cs="Arial"/>
          <w:sz w:val="24"/>
          <w:szCs w:val="24"/>
        </w:rPr>
        <w:t xml:space="preserve"> No entanto, mesmo diante deste cenário</w:t>
      </w:r>
      <w:r w:rsidR="00F40677">
        <w:rPr>
          <w:rFonts w:ascii="Arial" w:hAnsi="Arial" w:cs="Arial"/>
          <w:sz w:val="24"/>
          <w:szCs w:val="24"/>
        </w:rPr>
        <w:t>,</w:t>
      </w:r>
      <w:r w:rsidR="00174BE5">
        <w:rPr>
          <w:rFonts w:ascii="Arial" w:hAnsi="Arial" w:cs="Arial"/>
          <w:sz w:val="24"/>
          <w:szCs w:val="24"/>
        </w:rPr>
        <w:t xml:space="preserve"> </w:t>
      </w:r>
      <w:r w:rsidR="00F40677">
        <w:rPr>
          <w:rFonts w:ascii="Arial" w:hAnsi="Arial" w:cs="Arial"/>
          <w:sz w:val="24"/>
          <w:szCs w:val="24"/>
        </w:rPr>
        <w:t>há</w:t>
      </w:r>
      <w:r w:rsidR="00A6451C">
        <w:rPr>
          <w:rFonts w:ascii="Arial" w:hAnsi="Arial" w:cs="Arial"/>
          <w:sz w:val="24"/>
          <w:szCs w:val="24"/>
        </w:rPr>
        <w:t xml:space="preserve"> poucas iniciativas de sucesso por parte dos Governos Federal, Estaduais e Municipais para reverter a situação. A </w:t>
      </w:r>
      <w:r w:rsidR="002539AF">
        <w:rPr>
          <w:rFonts w:ascii="Arial" w:hAnsi="Arial" w:cs="Arial"/>
          <w:sz w:val="24"/>
          <w:szCs w:val="24"/>
        </w:rPr>
        <w:t>falta de planejamento e integração entre as esferas de Governo torna o enfrentamento à violência ainda mais penoso, evidenciando a ausência de Políticas Públicas de Segurança que envolva</w:t>
      </w:r>
      <w:r w:rsidR="00E703E6">
        <w:rPr>
          <w:rFonts w:ascii="Arial" w:hAnsi="Arial" w:cs="Arial"/>
          <w:sz w:val="24"/>
          <w:szCs w:val="24"/>
        </w:rPr>
        <w:t>,</w:t>
      </w:r>
      <w:r w:rsidR="002539AF">
        <w:rPr>
          <w:rFonts w:ascii="Arial" w:hAnsi="Arial" w:cs="Arial"/>
          <w:sz w:val="24"/>
          <w:szCs w:val="24"/>
        </w:rPr>
        <w:t xml:space="preserve"> não só as forças policiais, mas também áreas como habitação, saneamento, educação, saúde, emprego</w:t>
      </w:r>
      <w:r w:rsidR="00174BE5">
        <w:rPr>
          <w:rFonts w:ascii="Arial" w:hAnsi="Arial" w:cs="Arial"/>
          <w:sz w:val="24"/>
          <w:szCs w:val="24"/>
        </w:rPr>
        <w:t>,</w:t>
      </w:r>
      <w:r w:rsidR="002539AF">
        <w:rPr>
          <w:rFonts w:ascii="Arial" w:hAnsi="Arial" w:cs="Arial"/>
          <w:sz w:val="24"/>
          <w:szCs w:val="24"/>
        </w:rPr>
        <w:t xml:space="preserve"> renda</w:t>
      </w:r>
      <w:r w:rsidR="00174BE5">
        <w:rPr>
          <w:rFonts w:ascii="Arial" w:hAnsi="Arial" w:cs="Arial"/>
          <w:sz w:val="24"/>
          <w:szCs w:val="24"/>
        </w:rPr>
        <w:t>, dentre outras</w:t>
      </w:r>
      <w:r w:rsidR="002539AF">
        <w:rPr>
          <w:rFonts w:ascii="Arial" w:hAnsi="Arial" w:cs="Arial"/>
          <w:sz w:val="24"/>
          <w:szCs w:val="24"/>
        </w:rPr>
        <w:t>.</w:t>
      </w:r>
    </w:p>
    <w:p w:rsidR="00177753" w:rsidRDefault="0044278B" w:rsidP="004B12F6">
      <w:pPr>
        <w:spacing w:after="0" w:line="360" w:lineRule="auto"/>
        <w:ind w:firstLine="708"/>
        <w:jc w:val="both"/>
        <w:rPr>
          <w:rFonts w:ascii="Arial" w:hAnsi="Arial" w:cs="Arial"/>
          <w:sz w:val="24"/>
          <w:szCs w:val="24"/>
        </w:rPr>
      </w:pPr>
      <w:r>
        <w:rPr>
          <w:rFonts w:ascii="Arial" w:hAnsi="Arial" w:cs="Arial"/>
          <w:sz w:val="24"/>
          <w:szCs w:val="24"/>
        </w:rPr>
        <w:t>Durante mais de duas décadas de regime militar</w:t>
      </w:r>
      <w:r w:rsidR="007677E2">
        <w:rPr>
          <w:rFonts w:ascii="Arial" w:hAnsi="Arial" w:cs="Arial"/>
          <w:sz w:val="24"/>
          <w:szCs w:val="24"/>
        </w:rPr>
        <w:t xml:space="preserve"> </w:t>
      </w:r>
      <w:r>
        <w:rPr>
          <w:rFonts w:ascii="Arial" w:hAnsi="Arial" w:cs="Arial"/>
          <w:sz w:val="24"/>
          <w:szCs w:val="24"/>
        </w:rPr>
        <w:t>n</w:t>
      </w:r>
      <w:r w:rsidRPr="0044278B">
        <w:rPr>
          <w:rFonts w:ascii="Arial" w:hAnsi="Arial" w:cs="Arial"/>
          <w:sz w:val="24"/>
          <w:szCs w:val="24"/>
        </w:rPr>
        <w:t>o Brasil</w:t>
      </w:r>
      <w:r>
        <w:rPr>
          <w:rFonts w:ascii="Arial" w:hAnsi="Arial" w:cs="Arial"/>
          <w:sz w:val="24"/>
          <w:szCs w:val="24"/>
        </w:rPr>
        <w:t xml:space="preserve">, o campo da segurança pública </w:t>
      </w:r>
      <w:r w:rsidRPr="0044278B">
        <w:rPr>
          <w:rFonts w:ascii="Arial" w:hAnsi="Arial" w:cs="Arial"/>
          <w:sz w:val="24"/>
          <w:szCs w:val="24"/>
        </w:rPr>
        <w:t xml:space="preserve">viveu um </w:t>
      </w:r>
      <w:r>
        <w:rPr>
          <w:rFonts w:ascii="Arial" w:hAnsi="Arial" w:cs="Arial"/>
          <w:sz w:val="24"/>
          <w:szCs w:val="24"/>
        </w:rPr>
        <w:t>período ob</w:t>
      </w:r>
      <w:r w:rsidRPr="0044278B">
        <w:rPr>
          <w:rFonts w:ascii="Arial" w:hAnsi="Arial" w:cs="Arial"/>
          <w:sz w:val="24"/>
          <w:szCs w:val="24"/>
        </w:rPr>
        <w:t>scuro</w:t>
      </w:r>
      <w:r>
        <w:rPr>
          <w:rFonts w:ascii="Arial" w:hAnsi="Arial" w:cs="Arial"/>
          <w:sz w:val="24"/>
          <w:szCs w:val="24"/>
        </w:rPr>
        <w:t>,</w:t>
      </w:r>
      <w:r w:rsidRPr="0044278B">
        <w:rPr>
          <w:rFonts w:ascii="Arial" w:hAnsi="Arial" w:cs="Arial"/>
          <w:sz w:val="24"/>
          <w:szCs w:val="24"/>
        </w:rPr>
        <w:t xml:space="preserve"> </w:t>
      </w:r>
      <w:r w:rsidR="00DE47AA">
        <w:rPr>
          <w:rFonts w:ascii="Arial" w:hAnsi="Arial" w:cs="Arial"/>
          <w:sz w:val="24"/>
          <w:szCs w:val="24"/>
        </w:rPr>
        <w:t>em que</w:t>
      </w:r>
      <w:r w:rsidRPr="0044278B">
        <w:rPr>
          <w:rFonts w:ascii="Arial" w:hAnsi="Arial" w:cs="Arial"/>
          <w:sz w:val="24"/>
          <w:szCs w:val="24"/>
        </w:rPr>
        <w:t xml:space="preserve"> as forças policiais foram tratadas como forças auxiliares do Exército. Naquele período, a estrutura funcional da segurança pública foi desligada dos governos estaduais. Com isso, estados e municípios se </w:t>
      </w:r>
      <w:r w:rsidR="0022495A">
        <w:rPr>
          <w:rFonts w:ascii="Arial" w:hAnsi="Arial" w:cs="Arial"/>
          <w:sz w:val="24"/>
          <w:szCs w:val="24"/>
        </w:rPr>
        <w:t>estruturaram</w:t>
      </w:r>
      <w:r w:rsidRPr="0044278B">
        <w:rPr>
          <w:rFonts w:ascii="Arial" w:hAnsi="Arial" w:cs="Arial"/>
          <w:sz w:val="24"/>
          <w:szCs w:val="24"/>
        </w:rPr>
        <w:t xml:space="preserve"> de forma a deixar o tema da segurança pública de fora,</w:t>
      </w:r>
      <w:r w:rsidR="00174BE5">
        <w:rPr>
          <w:rFonts w:ascii="Arial" w:hAnsi="Arial" w:cs="Arial"/>
          <w:sz w:val="24"/>
          <w:szCs w:val="24"/>
        </w:rPr>
        <w:t xml:space="preserve"> </w:t>
      </w:r>
      <w:r w:rsidRPr="0044278B">
        <w:rPr>
          <w:rFonts w:ascii="Arial" w:hAnsi="Arial" w:cs="Arial"/>
          <w:sz w:val="24"/>
          <w:szCs w:val="24"/>
        </w:rPr>
        <w:t>surgindo um caos organizacional e institucional. Tais estruturas não estavam preparadas para enfrentar o aumento do consumo de drogas e o crime organizado. (SAPORI, L. 2007, p10).</w:t>
      </w:r>
    </w:p>
    <w:p w:rsidR="00DA14A3" w:rsidRDefault="00DA14A3" w:rsidP="003E0749">
      <w:pPr>
        <w:spacing w:after="0" w:line="360" w:lineRule="auto"/>
        <w:ind w:firstLine="708"/>
        <w:jc w:val="both"/>
        <w:rPr>
          <w:rFonts w:ascii="Arial" w:hAnsi="Arial" w:cs="Arial"/>
          <w:sz w:val="24"/>
        </w:rPr>
      </w:pPr>
      <w:r w:rsidRPr="00E9741E">
        <w:rPr>
          <w:rFonts w:ascii="Arial" w:hAnsi="Arial" w:cs="Arial"/>
          <w:sz w:val="24"/>
        </w:rPr>
        <w:t>É neste mesmo sentido que Costa e Grossi (2007, P.12) afirmam:</w:t>
      </w:r>
    </w:p>
    <w:p w:rsidR="008C3D9A" w:rsidRDefault="008C3D9A" w:rsidP="003E0749">
      <w:pPr>
        <w:spacing w:after="0" w:line="360" w:lineRule="auto"/>
        <w:ind w:firstLine="708"/>
        <w:jc w:val="both"/>
        <w:rPr>
          <w:rFonts w:ascii="Arial" w:hAnsi="Arial" w:cs="Arial"/>
          <w:sz w:val="24"/>
        </w:rPr>
      </w:pPr>
    </w:p>
    <w:p w:rsidR="00DA14A3" w:rsidRDefault="00DA14A3" w:rsidP="003E0749">
      <w:pPr>
        <w:spacing w:after="0" w:line="240" w:lineRule="auto"/>
        <w:ind w:left="2304"/>
        <w:jc w:val="both"/>
        <w:rPr>
          <w:rFonts w:ascii="Arial" w:hAnsi="Arial" w:cs="Arial"/>
          <w:sz w:val="20"/>
          <w:szCs w:val="20"/>
        </w:rPr>
      </w:pPr>
      <w:r w:rsidRPr="00AD27DC">
        <w:rPr>
          <w:rFonts w:ascii="Arial" w:hAnsi="Arial" w:cs="Arial"/>
          <w:sz w:val="20"/>
          <w:szCs w:val="20"/>
        </w:rPr>
        <w:t>Ao longo da história republicana brasileira, o sistema policial acompanhou as oscilações da Federação: ora estava submetido ao poder central, ora significava a garantia da liberdade das elites políticas estaduais. Durante os períodos autoritários (1937- 1945 e 1964-1985) as polícias estaduais foram submetidas ao controle federal. Portanto, não se pode falar em cooperação, mas sim em submissão dos estados às diretrizes dos governos federais. Nos outros períodos republicanos (1889-1930 e 1946-1964), os estados gozaram de grande autonomia para organizar e controlar suas polícias. Entretanto, foram raros os casos de cooperação intergovernamental na área da segurança pública.</w:t>
      </w:r>
    </w:p>
    <w:p w:rsidR="008C3D9A" w:rsidRDefault="00A6454D" w:rsidP="00A6454D">
      <w:pPr>
        <w:tabs>
          <w:tab w:val="left" w:pos="709"/>
        </w:tabs>
        <w:spacing w:after="0" w:line="360" w:lineRule="auto"/>
        <w:jc w:val="both"/>
        <w:rPr>
          <w:rFonts w:ascii="Arial" w:hAnsi="Arial" w:cs="Arial"/>
          <w:sz w:val="24"/>
        </w:rPr>
      </w:pPr>
      <w:r>
        <w:rPr>
          <w:rFonts w:ascii="Arial" w:hAnsi="Arial" w:cs="Arial"/>
          <w:sz w:val="24"/>
        </w:rPr>
        <w:lastRenderedPageBreak/>
        <w:tab/>
      </w:r>
      <w:r w:rsidR="008C3D9A" w:rsidRPr="00AD27DC">
        <w:rPr>
          <w:rFonts w:ascii="Arial" w:hAnsi="Arial" w:cs="Arial"/>
          <w:sz w:val="24"/>
        </w:rPr>
        <w:t xml:space="preserve">Em decorrência </w:t>
      </w:r>
      <w:r w:rsidR="00B85207">
        <w:rPr>
          <w:rFonts w:ascii="Arial" w:hAnsi="Arial" w:cs="Arial"/>
          <w:sz w:val="24"/>
        </w:rPr>
        <w:t>destes fatores,</w:t>
      </w:r>
      <w:r w:rsidR="008C3D9A" w:rsidRPr="00AD27DC">
        <w:rPr>
          <w:rFonts w:ascii="Arial" w:hAnsi="Arial" w:cs="Arial"/>
          <w:sz w:val="24"/>
        </w:rPr>
        <w:t xml:space="preserve"> as forças de segurança sob a tutela dos governos estaduais</w:t>
      </w:r>
      <w:r w:rsidR="00174BE5">
        <w:rPr>
          <w:rFonts w:ascii="Arial" w:hAnsi="Arial" w:cs="Arial"/>
          <w:sz w:val="24"/>
        </w:rPr>
        <w:t>,</w:t>
      </w:r>
      <w:r w:rsidR="008C3D9A" w:rsidRPr="00AD27DC">
        <w:rPr>
          <w:rFonts w:ascii="Arial" w:hAnsi="Arial" w:cs="Arial"/>
          <w:sz w:val="24"/>
        </w:rPr>
        <w:t xml:space="preserve"> se desenvolveram de forma isolada e desarticulada, com forte influência política. Desta forma, os estados tiveram a autonomia necessária para definir os c</w:t>
      </w:r>
      <w:r w:rsidR="008C3D9A">
        <w:rPr>
          <w:rFonts w:ascii="Arial" w:hAnsi="Arial" w:cs="Arial"/>
          <w:sz w:val="24"/>
        </w:rPr>
        <w:t xml:space="preserve">ritérios </w:t>
      </w:r>
      <w:r w:rsidR="002539AF">
        <w:rPr>
          <w:rFonts w:ascii="Arial" w:hAnsi="Arial" w:cs="Arial"/>
          <w:sz w:val="24"/>
        </w:rPr>
        <w:t>de</w:t>
      </w:r>
      <w:r w:rsidR="00174BE5">
        <w:rPr>
          <w:rFonts w:ascii="Arial" w:hAnsi="Arial" w:cs="Arial"/>
          <w:sz w:val="24"/>
        </w:rPr>
        <w:t xml:space="preserve"> </w:t>
      </w:r>
      <w:r w:rsidR="008C3D9A">
        <w:rPr>
          <w:rFonts w:ascii="Arial" w:hAnsi="Arial" w:cs="Arial"/>
          <w:sz w:val="24"/>
        </w:rPr>
        <w:t>investimento em segurança p</w:t>
      </w:r>
      <w:r w:rsidR="008C3D9A" w:rsidRPr="00AD27DC">
        <w:rPr>
          <w:rFonts w:ascii="Arial" w:hAnsi="Arial" w:cs="Arial"/>
          <w:sz w:val="24"/>
        </w:rPr>
        <w:t>ública, inclusive a política salarial de seus profissionais civis e militares.</w:t>
      </w:r>
    </w:p>
    <w:p w:rsidR="00C343ED" w:rsidRDefault="00C343ED" w:rsidP="00A6454D">
      <w:pPr>
        <w:tabs>
          <w:tab w:val="left" w:pos="709"/>
        </w:tabs>
        <w:spacing w:after="0" w:line="360" w:lineRule="auto"/>
        <w:jc w:val="both"/>
        <w:rPr>
          <w:rFonts w:ascii="Arial" w:hAnsi="Arial" w:cs="Arial"/>
          <w:sz w:val="24"/>
        </w:rPr>
      </w:pPr>
      <w:r>
        <w:rPr>
          <w:rFonts w:ascii="Arial" w:hAnsi="Arial" w:cs="Arial"/>
          <w:sz w:val="24"/>
        </w:rPr>
        <w:tab/>
        <w:t xml:space="preserve">Beltrame, (2014) observa que a primeira Polícia Militar no país, criada no início do século XIX por DOM João VI e chamada de “Guarda Real de Polícia”, trouxe a tradição de dois séculos, com mazelas prejudiciais até os dias de </w:t>
      </w:r>
      <w:r w:rsidR="00287816">
        <w:rPr>
          <w:rFonts w:ascii="Arial" w:hAnsi="Arial" w:cs="Arial"/>
          <w:sz w:val="24"/>
        </w:rPr>
        <w:t>hoje.</w:t>
      </w:r>
    </w:p>
    <w:p w:rsidR="00F36F09" w:rsidRDefault="00F36F09" w:rsidP="00A6454D">
      <w:pPr>
        <w:tabs>
          <w:tab w:val="left" w:pos="709"/>
        </w:tabs>
        <w:spacing w:after="0" w:line="360" w:lineRule="auto"/>
        <w:jc w:val="both"/>
        <w:rPr>
          <w:rFonts w:ascii="Arial" w:hAnsi="Arial" w:cs="Arial"/>
          <w:sz w:val="24"/>
        </w:rPr>
      </w:pPr>
      <w:r>
        <w:rPr>
          <w:rFonts w:ascii="Arial" w:hAnsi="Arial" w:cs="Arial"/>
          <w:sz w:val="24"/>
        </w:rPr>
        <w:tab/>
        <w:t>Diante dessas considerações, este trabalho procur</w:t>
      </w:r>
      <w:r w:rsidR="00C343ED">
        <w:rPr>
          <w:rFonts w:ascii="Arial" w:hAnsi="Arial" w:cs="Arial"/>
          <w:sz w:val="24"/>
        </w:rPr>
        <w:t>ou</w:t>
      </w:r>
      <w:r>
        <w:rPr>
          <w:rFonts w:ascii="Arial" w:hAnsi="Arial" w:cs="Arial"/>
          <w:sz w:val="24"/>
        </w:rPr>
        <w:t xml:space="preserve"> avaliar o comportamento dos gastos em Segurança Pública </w:t>
      </w:r>
      <w:r w:rsidR="001536F4">
        <w:rPr>
          <w:rFonts w:ascii="Arial" w:hAnsi="Arial" w:cs="Arial"/>
          <w:sz w:val="24"/>
        </w:rPr>
        <w:t>dos principais órgãos do setor no Governo de Goiás, com foco nas Polícias Civil e Militar, Secretaria de Segurança Pública, Fundo Estadual de Segurança Pública</w:t>
      </w:r>
      <w:r w:rsidR="00C343ED">
        <w:rPr>
          <w:rFonts w:ascii="Arial" w:hAnsi="Arial" w:cs="Arial"/>
          <w:sz w:val="24"/>
        </w:rPr>
        <w:t>¹</w:t>
      </w:r>
      <w:r w:rsidR="001536F4">
        <w:rPr>
          <w:rFonts w:ascii="Arial" w:hAnsi="Arial" w:cs="Arial"/>
          <w:sz w:val="24"/>
        </w:rPr>
        <w:t xml:space="preserve"> e Secretaria de Administração Penitenciária e </w:t>
      </w:r>
      <w:r w:rsidR="00F40677">
        <w:rPr>
          <w:rFonts w:ascii="Arial" w:hAnsi="Arial" w:cs="Arial"/>
          <w:sz w:val="24"/>
        </w:rPr>
        <w:t>Justiça</w:t>
      </w:r>
      <w:r w:rsidR="00C343ED">
        <w:rPr>
          <w:rFonts w:ascii="Arial" w:hAnsi="Arial" w:cs="Arial"/>
          <w:sz w:val="24"/>
        </w:rPr>
        <w:t>²</w:t>
      </w:r>
      <w:r w:rsidR="001536F4">
        <w:rPr>
          <w:rFonts w:ascii="Arial" w:hAnsi="Arial" w:cs="Arial"/>
          <w:sz w:val="24"/>
        </w:rPr>
        <w:t>.</w:t>
      </w:r>
    </w:p>
    <w:p w:rsidR="001523FD" w:rsidRDefault="00EE57AC" w:rsidP="00A6454D">
      <w:pPr>
        <w:tabs>
          <w:tab w:val="left" w:pos="709"/>
        </w:tabs>
        <w:spacing w:after="0" w:line="360" w:lineRule="auto"/>
        <w:jc w:val="both"/>
        <w:rPr>
          <w:rFonts w:ascii="Arial" w:hAnsi="Arial" w:cs="Arial"/>
          <w:sz w:val="24"/>
        </w:rPr>
      </w:pPr>
      <w:r>
        <w:rPr>
          <w:rFonts w:ascii="Arial" w:hAnsi="Arial" w:cs="Arial"/>
          <w:sz w:val="24"/>
        </w:rPr>
        <w:tab/>
      </w:r>
      <w:r w:rsidRPr="00E9741E">
        <w:rPr>
          <w:rFonts w:ascii="Arial" w:hAnsi="Arial" w:cs="Arial"/>
          <w:sz w:val="24"/>
        </w:rPr>
        <w:t xml:space="preserve">Segundo dados da edição de 2010 do Anuário Brasileiro de Segurança Pública, produzido pelo Fórum Brasileiro de Segurança Pública, chama a atenção o aumento de mais de 100%, entre 2003 e 2009, no total de despesas </w:t>
      </w:r>
      <w:r>
        <w:rPr>
          <w:rFonts w:ascii="Arial" w:hAnsi="Arial" w:cs="Arial"/>
          <w:sz w:val="24"/>
        </w:rPr>
        <w:t>em</w:t>
      </w:r>
      <w:r w:rsidRPr="00E9741E">
        <w:rPr>
          <w:rFonts w:ascii="Arial" w:hAnsi="Arial" w:cs="Arial"/>
          <w:sz w:val="24"/>
        </w:rPr>
        <w:t xml:space="preserve"> segurança pública: União, Estados</w:t>
      </w:r>
      <w:r w:rsidR="00C343ED">
        <w:rPr>
          <w:rFonts w:ascii="Arial" w:hAnsi="Arial" w:cs="Arial"/>
          <w:sz w:val="24"/>
        </w:rPr>
        <w:t xml:space="preserve"> </w:t>
      </w:r>
      <w:r w:rsidRPr="00E9741E">
        <w:rPr>
          <w:rFonts w:ascii="Arial" w:hAnsi="Arial" w:cs="Arial"/>
          <w:sz w:val="24"/>
        </w:rPr>
        <w:t xml:space="preserve">e Municípios gastaram aproximadamente R$22,5 </w:t>
      </w:r>
      <w:r w:rsidR="00D30873">
        <w:rPr>
          <w:rFonts w:ascii="Arial" w:hAnsi="Arial" w:cs="Arial"/>
          <w:sz w:val="24"/>
        </w:rPr>
        <w:t xml:space="preserve">bilhões </w:t>
      </w:r>
      <w:r w:rsidRPr="00E9741E">
        <w:rPr>
          <w:rFonts w:ascii="Arial" w:hAnsi="Arial" w:cs="Arial"/>
          <w:sz w:val="24"/>
        </w:rPr>
        <w:t xml:space="preserve">em 2003, valor que alcançou mais de </w:t>
      </w:r>
      <w:r w:rsidR="00D30873">
        <w:rPr>
          <w:rFonts w:ascii="Arial" w:hAnsi="Arial" w:cs="Arial"/>
          <w:sz w:val="24"/>
        </w:rPr>
        <w:t>R$</w:t>
      </w:r>
      <w:r w:rsidRPr="00E9741E">
        <w:rPr>
          <w:rFonts w:ascii="Arial" w:hAnsi="Arial" w:cs="Arial"/>
          <w:sz w:val="24"/>
        </w:rPr>
        <w:t>47,6 bilhões, em 2009. Em valores nominais, todos os estados aumentaram suas despesas acima da inflação acumulada nesse mesmo per</w:t>
      </w:r>
      <w:r>
        <w:rPr>
          <w:rFonts w:ascii="Arial" w:hAnsi="Arial" w:cs="Arial"/>
          <w:sz w:val="24"/>
        </w:rPr>
        <w:t>í</w:t>
      </w:r>
      <w:r w:rsidRPr="00E9741E">
        <w:rPr>
          <w:rFonts w:ascii="Arial" w:hAnsi="Arial" w:cs="Arial"/>
          <w:sz w:val="24"/>
        </w:rPr>
        <w:t>odo (40,4% pelo IPCA).</w:t>
      </w:r>
    </w:p>
    <w:p w:rsidR="005B672B" w:rsidRDefault="001523FD" w:rsidP="005B672B">
      <w:pPr>
        <w:tabs>
          <w:tab w:val="left" w:pos="709"/>
        </w:tabs>
        <w:spacing w:after="0" w:line="360" w:lineRule="auto"/>
        <w:jc w:val="both"/>
        <w:rPr>
          <w:rFonts w:ascii="Arial" w:hAnsi="Arial" w:cs="Arial"/>
          <w:sz w:val="24"/>
        </w:rPr>
      </w:pPr>
      <w:r>
        <w:rPr>
          <w:rFonts w:ascii="Arial" w:hAnsi="Arial" w:cs="Arial"/>
          <w:sz w:val="24"/>
        </w:rPr>
        <w:tab/>
      </w:r>
      <w:r w:rsidR="00EE57AC" w:rsidRPr="00E9741E">
        <w:rPr>
          <w:rFonts w:ascii="Arial" w:hAnsi="Arial" w:cs="Arial"/>
          <w:sz w:val="24"/>
        </w:rPr>
        <w:t xml:space="preserve">No entanto, os dados apresentados nas tabelas que compõem as estatísticas criminais do mesmo </w:t>
      </w:r>
      <w:r w:rsidR="00E57124">
        <w:rPr>
          <w:rFonts w:ascii="Arial" w:hAnsi="Arial" w:cs="Arial"/>
          <w:sz w:val="24"/>
        </w:rPr>
        <w:t>Anuário</w:t>
      </w:r>
      <w:r w:rsidR="00EE57AC" w:rsidRPr="00E9741E">
        <w:rPr>
          <w:rFonts w:ascii="Arial" w:hAnsi="Arial" w:cs="Arial"/>
          <w:sz w:val="24"/>
        </w:rPr>
        <w:t>, evidencia</w:t>
      </w:r>
      <w:r w:rsidR="00066E0C">
        <w:rPr>
          <w:rFonts w:ascii="Arial" w:hAnsi="Arial" w:cs="Arial"/>
          <w:sz w:val="24"/>
        </w:rPr>
        <w:t>m</w:t>
      </w:r>
      <w:r w:rsidR="00EE57AC" w:rsidRPr="00E9741E">
        <w:rPr>
          <w:rFonts w:ascii="Arial" w:hAnsi="Arial" w:cs="Arial"/>
          <w:sz w:val="24"/>
        </w:rPr>
        <w:t xml:space="preserve"> que não houve queda</w:t>
      </w:r>
      <w:r w:rsidR="00066E0C">
        <w:rPr>
          <w:rFonts w:ascii="Arial" w:hAnsi="Arial" w:cs="Arial"/>
          <w:sz w:val="24"/>
        </w:rPr>
        <w:t xml:space="preserve"> nos índices de violência e criminalidade</w:t>
      </w:r>
      <w:r w:rsidR="00EE57AC">
        <w:rPr>
          <w:rFonts w:ascii="Arial" w:hAnsi="Arial" w:cs="Arial"/>
          <w:sz w:val="24"/>
        </w:rPr>
        <w:t xml:space="preserve">, </w:t>
      </w:r>
      <w:r w:rsidR="00EE57AC" w:rsidRPr="00E9741E">
        <w:rPr>
          <w:rFonts w:ascii="Arial" w:hAnsi="Arial" w:cs="Arial"/>
          <w:sz w:val="24"/>
        </w:rPr>
        <w:t xml:space="preserve">mesmo em face do aumento dos </w:t>
      </w:r>
      <w:r w:rsidR="004A185E">
        <w:rPr>
          <w:rFonts w:ascii="Arial" w:hAnsi="Arial" w:cs="Arial"/>
          <w:sz w:val="24"/>
        </w:rPr>
        <w:t>gastos</w:t>
      </w:r>
      <w:r w:rsidR="00EE57AC" w:rsidRPr="00E9741E">
        <w:rPr>
          <w:rFonts w:ascii="Arial" w:hAnsi="Arial" w:cs="Arial"/>
          <w:sz w:val="24"/>
        </w:rPr>
        <w:t>.</w:t>
      </w:r>
    </w:p>
    <w:p w:rsidR="005B672B" w:rsidRDefault="005B672B" w:rsidP="005B672B">
      <w:pPr>
        <w:tabs>
          <w:tab w:val="left" w:pos="709"/>
        </w:tabs>
        <w:spacing w:after="0" w:line="360" w:lineRule="auto"/>
        <w:jc w:val="both"/>
        <w:rPr>
          <w:rFonts w:ascii="Arial" w:hAnsi="Arial" w:cs="Arial"/>
          <w:sz w:val="24"/>
        </w:rPr>
      </w:pPr>
      <w:r>
        <w:rPr>
          <w:rFonts w:ascii="Arial" w:hAnsi="Arial" w:cs="Arial"/>
          <w:sz w:val="24"/>
        </w:rPr>
        <w:tab/>
      </w:r>
      <w:r w:rsidR="003A2E65">
        <w:rPr>
          <w:rFonts w:ascii="Arial" w:hAnsi="Arial" w:cs="Arial"/>
          <w:sz w:val="24"/>
        </w:rPr>
        <w:t>Soares</w:t>
      </w:r>
      <w:r w:rsidR="00E57CE7">
        <w:rPr>
          <w:rFonts w:ascii="Arial" w:hAnsi="Arial" w:cs="Arial"/>
          <w:sz w:val="24"/>
        </w:rPr>
        <w:t>,</w:t>
      </w:r>
      <w:r>
        <w:rPr>
          <w:rFonts w:ascii="Arial" w:hAnsi="Arial" w:cs="Arial"/>
          <w:sz w:val="24"/>
        </w:rPr>
        <w:t xml:space="preserve"> (2000)</w:t>
      </w:r>
      <w:r w:rsidR="009F0191">
        <w:rPr>
          <w:rFonts w:ascii="Arial" w:hAnsi="Arial" w:cs="Arial"/>
          <w:sz w:val="24"/>
        </w:rPr>
        <w:t xml:space="preserve"> destaca que</w:t>
      </w:r>
      <w:r>
        <w:rPr>
          <w:rFonts w:ascii="Arial" w:hAnsi="Arial" w:cs="Arial"/>
          <w:sz w:val="24"/>
        </w:rPr>
        <w:t xml:space="preserve"> não há política </w:t>
      </w:r>
      <w:r w:rsidR="009F0191">
        <w:rPr>
          <w:rFonts w:ascii="Arial" w:hAnsi="Arial" w:cs="Arial"/>
          <w:sz w:val="24"/>
        </w:rPr>
        <w:t xml:space="preserve">pública </w:t>
      </w:r>
      <w:r>
        <w:rPr>
          <w:rFonts w:ascii="Arial" w:hAnsi="Arial" w:cs="Arial"/>
          <w:sz w:val="24"/>
        </w:rPr>
        <w:t>ou planejamento sem</w:t>
      </w:r>
      <w:r w:rsidR="00C343ED">
        <w:rPr>
          <w:rFonts w:ascii="Arial" w:hAnsi="Arial" w:cs="Arial"/>
          <w:sz w:val="24"/>
        </w:rPr>
        <w:t xml:space="preserve"> </w:t>
      </w:r>
      <w:r>
        <w:rPr>
          <w:rFonts w:ascii="Arial" w:hAnsi="Arial" w:cs="Arial"/>
          <w:sz w:val="24"/>
        </w:rPr>
        <w:t xml:space="preserve">informações qualificadas e consistentes, principalmente no campo da Segurança Pública, onde a </w:t>
      </w:r>
      <w:r w:rsidR="009F0191">
        <w:rPr>
          <w:rFonts w:ascii="Arial" w:hAnsi="Arial" w:cs="Arial"/>
          <w:sz w:val="24"/>
        </w:rPr>
        <w:t xml:space="preserve">péssima qualidade ou a </w:t>
      </w:r>
      <w:r>
        <w:rPr>
          <w:rFonts w:ascii="Arial" w:hAnsi="Arial" w:cs="Arial"/>
          <w:sz w:val="24"/>
        </w:rPr>
        <w:t>falta de informações impossibilita um estudo preciso da dinâmica criminal. Em Goiás não é diferente, as três fontes consultadas para o levantamento da estatística criminal do Estado apresentaram dados discordantes entre si, impossibilitando uma análise mais completa do cenário da violência</w:t>
      </w:r>
      <w:r w:rsidR="009F0191">
        <w:rPr>
          <w:rFonts w:ascii="Arial" w:hAnsi="Arial" w:cs="Arial"/>
          <w:sz w:val="24"/>
        </w:rPr>
        <w:t>.</w:t>
      </w:r>
    </w:p>
    <w:p w:rsidR="00834A7C" w:rsidRDefault="00834A7C" w:rsidP="00834A7C">
      <w:pPr>
        <w:tabs>
          <w:tab w:val="left" w:pos="1701"/>
        </w:tabs>
        <w:spacing w:after="0" w:line="360" w:lineRule="auto"/>
        <w:jc w:val="both"/>
        <w:rPr>
          <w:rFonts w:ascii="Arial" w:hAnsi="Arial" w:cs="Arial"/>
          <w:sz w:val="24"/>
          <w:szCs w:val="24"/>
        </w:rPr>
      </w:pPr>
      <w:r>
        <w:rPr>
          <w:rFonts w:ascii="Arial" w:hAnsi="Arial" w:cs="Arial"/>
          <w:sz w:val="24"/>
          <w:szCs w:val="24"/>
        </w:rPr>
        <w:t>_____________</w:t>
      </w:r>
    </w:p>
    <w:p w:rsidR="00A72E6A" w:rsidRPr="00074F5F" w:rsidRDefault="00A72E6A" w:rsidP="00074F5F">
      <w:pPr>
        <w:tabs>
          <w:tab w:val="left" w:pos="709"/>
        </w:tabs>
        <w:spacing w:after="0" w:line="240" w:lineRule="auto"/>
        <w:jc w:val="both"/>
        <w:rPr>
          <w:rFonts w:ascii="Arial" w:hAnsi="Arial" w:cs="Arial"/>
          <w:sz w:val="16"/>
          <w:szCs w:val="16"/>
        </w:rPr>
      </w:pPr>
      <w:r>
        <w:rPr>
          <w:rFonts w:ascii="Arial" w:hAnsi="Arial" w:cs="Arial"/>
          <w:sz w:val="16"/>
          <w:szCs w:val="20"/>
        </w:rPr>
        <w:t xml:space="preserve">¹ </w:t>
      </w:r>
      <w:r w:rsidR="00074F5F" w:rsidRPr="00074F5F">
        <w:rPr>
          <w:rFonts w:ascii="Arial" w:hAnsi="Arial" w:cs="Arial"/>
          <w:color w:val="000000"/>
          <w:sz w:val="16"/>
          <w:szCs w:val="16"/>
        </w:rPr>
        <w:t>destinado</w:t>
      </w:r>
      <w:r w:rsidR="00074F5F">
        <w:rPr>
          <w:rFonts w:ascii="Arial" w:hAnsi="Arial" w:cs="Arial"/>
          <w:color w:val="000000"/>
          <w:sz w:val="16"/>
          <w:szCs w:val="16"/>
        </w:rPr>
        <w:t xml:space="preserve"> </w:t>
      </w:r>
      <w:r w:rsidR="00074F5F" w:rsidRPr="00074F5F">
        <w:rPr>
          <w:rFonts w:ascii="Arial" w:hAnsi="Arial" w:cs="Arial"/>
          <w:color w:val="000000"/>
          <w:sz w:val="16"/>
          <w:szCs w:val="16"/>
        </w:rPr>
        <w:t>à manutenção geral, reequipamento e aquisição de material permanente, contratação de serviços e obras e cobertura de demais despesas da Secretaria de Estado da Segurança Pública, das Polícias Civil e Militar e do Sistema Prisional</w:t>
      </w:r>
      <w:r w:rsidR="00074F5F">
        <w:rPr>
          <w:rFonts w:ascii="Arial" w:hAnsi="Arial" w:cs="Arial"/>
          <w:color w:val="000000"/>
          <w:sz w:val="16"/>
          <w:szCs w:val="16"/>
        </w:rPr>
        <w:t>.</w:t>
      </w:r>
    </w:p>
    <w:p w:rsidR="001953DA" w:rsidRPr="00066E0C" w:rsidRDefault="00A72E6A" w:rsidP="00074F5F">
      <w:pPr>
        <w:tabs>
          <w:tab w:val="left" w:pos="709"/>
        </w:tabs>
        <w:spacing w:after="0" w:line="240" w:lineRule="auto"/>
        <w:jc w:val="both"/>
        <w:rPr>
          <w:rFonts w:ascii="Arial" w:hAnsi="Arial" w:cs="Arial"/>
          <w:sz w:val="16"/>
          <w:szCs w:val="20"/>
        </w:rPr>
      </w:pPr>
      <w:r>
        <w:rPr>
          <w:rFonts w:ascii="Arial" w:hAnsi="Arial" w:cs="Arial"/>
          <w:sz w:val="16"/>
          <w:szCs w:val="20"/>
        </w:rPr>
        <w:t>²</w:t>
      </w:r>
      <w:r w:rsidR="007677E2">
        <w:rPr>
          <w:rFonts w:ascii="Arial" w:hAnsi="Arial" w:cs="Arial"/>
          <w:sz w:val="16"/>
          <w:szCs w:val="20"/>
        </w:rPr>
        <w:t xml:space="preserve"> </w:t>
      </w:r>
      <w:r w:rsidR="00834A7C" w:rsidRPr="00066E0C">
        <w:rPr>
          <w:rFonts w:ascii="Arial" w:hAnsi="Arial" w:cs="Arial"/>
          <w:sz w:val="16"/>
          <w:szCs w:val="20"/>
        </w:rPr>
        <w:t>A Secretaria de Administração Penitenciária e Justiça é o órgão a quem compete o sistema de execução penal em Goiás. Ao longo do período avaliado teve outras denominações como: Agência Goiana do Sistema Prisional (2004-</w:t>
      </w:r>
      <w:r w:rsidR="00066E0C" w:rsidRPr="00066E0C">
        <w:rPr>
          <w:rFonts w:ascii="Arial" w:hAnsi="Arial" w:cs="Arial"/>
          <w:sz w:val="16"/>
          <w:szCs w:val="20"/>
        </w:rPr>
        <w:t>2006), Secretaria de Justiça (2006-2008) e Agência Goiana do Sistema de Execução Penal (2009-2013).</w:t>
      </w:r>
    </w:p>
    <w:p w:rsidR="002156D9" w:rsidRDefault="00BD2553" w:rsidP="00A6454D">
      <w:pPr>
        <w:tabs>
          <w:tab w:val="left" w:pos="709"/>
        </w:tabs>
        <w:spacing w:after="0" w:line="360" w:lineRule="auto"/>
        <w:jc w:val="both"/>
        <w:rPr>
          <w:rFonts w:ascii="Arial" w:hAnsi="Arial" w:cs="Arial"/>
          <w:b/>
          <w:sz w:val="24"/>
        </w:rPr>
      </w:pPr>
      <w:r>
        <w:rPr>
          <w:rFonts w:ascii="Arial" w:hAnsi="Arial" w:cs="Arial"/>
          <w:b/>
          <w:sz w:val="24"/>
        </w:rPr>
        <w:lastRenderedPageBreak/>
        <w:t xml:space="preserve">2 </w:t>
      </w:r>
      <w:r w:rsidR="002156D9" w:rsidRPr="002156D9">
        <w:rPr>
          <w:rFonts w:ascii="Arial" w:hAnsi="Arial" w:cs="Arial"/>
          <w:b/>
          <w:sz w:val="24"/>
        </w:rPr>
        <w:t>METODOLOGIA</w:t>
      </w:r>
    </w:p>
    <w:p w:rsidR="008C3D9A" w:rsidRDefault="002156D9" w:rsidP="000C3DD8">
      <w:pPr>
        <w:tabs>
          <w:tab w:val="left" w:pos="709"/>
        </w:tabs>
        <w:spacing w:after="0" w:line="360" w:lineRule="auto"/>
        <w:jc w:val="both"/>
        <w:rPr>
          <w:rFonts w:ascii="Arial" w:hAnsi="Arial" w:cs="Arial"/>
          <w:sz w:val="24"/>
        </w:rPr>
      </w:pPr>
      <w:r w:rsidRPr="009F4C81">
        <w:rPr>
          <w:rFonts w:ascii="Arial" w:hAnsi="Arial" w:cs="Arial"/>
          <w:sz w:val="24"/>
        </w:rPr>
        <w:tab/>
      </w:r>
      <w:r w:rsidR="009F4C81" w:rsidRPr="009F4C81">
        <w:rPr>
          <w:rFonts w:ascii="Arial" w:hAnsi="Arial" w:cs="Arial"/>
          <w:sz w:val="24"/>
        </w:rPr>
        <w:t xml:space="preserve">A </w:t>
      </w:r>
      <w:r w:rsidR="009F4C81">
        <w:rPr>
          <w:rFonts w:ascii="Arial" w:hAnsi="Arial" w:cs="Arial"/>
          <w:sz w:val="24"/>
        </w:rPr>
        <w:t>pesquisa em questão se caracteriza com</w:t>
      </w:r>
      <w:r w:rsidR="000C3DD8">
        <w:rPr>
          <w:rFonts w:ascii="Arial" w:hAnsi="Arial" w:cs="Arial"/>
          <w:sz w:val="24"/>
        </w:rPr>
        <w:t>o</w:t>
      </w:r>
      <w:r w:rsidR="009F4C81">
        <w:rPr>
          <w:rFonts w:ascii="Arial" w:hAnsi="Arial" w:cs="Arial"/>
          <w:sz w:val="24"/>
        </w:rPr>
        <w:t xml:space="preserve"> explicativa</w:t>
      </w:r>
      <w:r w:rsidR="000C3DD8">
        <w:rPr>
          <w:rFonts w:ascii="Arial" w:hAnsi="Arial" w:cs="Arial"/>
          <w:sz w:val="24"/>
        </w:rPr>
        <w:t xml:space="preserve"> e descritiva </w:t>
      </w:r>
      <w:r w:rsidR="00DE47AA">
        <w:rPr>
          <w:rFonts w:ascii="Arial" w:hAnsi="Arial" w:cs="Arial"/>
          <w:sz w:val="24"/>
        </w:rPr>
        <w:t>em que</w:t>
      </w:r>
      <w:r w:rsidR="000C3DD8">
        <w:rPr>
          <w:rFonts w:ascii="Arial" w:hAnsi="Arial" w:cs="Arial"/>
          <w:sz w:val="24"/>
        </w:rPr>
        <w:t xml:space="preserve"> </w:t>
      </w:r>
      <w:r w:rsidR="00287816">
        <w:rPr>
          <w:rFonts w:ascii="Arial" w:hAnsi="Arial" w:cs="Arial"/>
          <w:sz w:val="24"/>
        </w:rPr>
        <w:t>se buscou</w:t>
      </w:r>
      <w:r w:rsidR="00250BEB">
        <w:rPr>
          <w:rFonts w:ascii="Arial" w:hAnsi="Arial" w:cs="Arial"/>
          <w:sz w:val="24"/>
        </w:rPr>
        <w:t>,</w:t>
      </w:r>
      <w:r w:rsidR="000C3DD8">
        <w:rPr>
          <w:rFonts w:ascii="Arial" w:hAnsi="Arial" w:cs="Arial"/>
          <w:sz w:val="24"/>
        </w:rPr>
        <w:t xml:space="preserve"> como objetivo</w:t>
      </w:r>
      <w:r w:rsidR="00250BEB">
        <w:rPr>
          <w:rFonts w:ascii="Arial" w:hAnsi="Arial" w:cs="Arial"/>
          <w:sz w:val="24"/>
        </w:rPr>
        <w:t>,</w:t>
      </w:r>
      <w:r w:rsidR="000C3DD8">
        <w:rPr>
          <w:rFonts w:ascii="Arial" w:hAnsi="Arial" w:cs="Arial"/>
          <w:sz w:val="24"/>
        </w:rPr>
        <w:t xml:space="preserve"> levantar informações acerca dos gastos públicos na área de segurança pública em Goiás e estabelecer relações com os índices de violência e criminalidade no Estado.</w:t>
      </w:r>
    </w:p>
    <w:p w:rsidR="000C3DD8" w:rsidRDefault="000C3DD8" w:rsidP="000C3DD8">
      <w:pPr>
        <w:tabs>
          <w:tab w:val="left" w:pos="709"/>
        </w:tabs>
        <w:spacing w:after="0" w:line="360" w:lineRule="auto"/>
        <w:jc w:val="both"/>
        <w:rPr>
          <w:rFonts w:ascii="Arial" w:hAnsi="Arial" w:cs="Arial"/>
          <w:sz w:val="24"/>
        </w:rPr>
      </w:pPr>
      <w:r>
        <w:rPr>
          <w:rFonts w:ascii="Arial" w:hAnsi="Arial" w:cs="Arial"/>
          <w:sz w:val="24"/>
        </w:rPr>
        <w:tab/>
        <w:t xml:space="preserve">Com relação </w:t>
      </w:r>
      <w:r w:rsidR="0041419F">
        <w:rPr>
          <w:rFonts w:ascii="Arial" w:hAnsi="Arial" w:cs="Arial"/>
          <w:sz w:val="24"/>
        </w:rPr>
        <w:t>às informações financeiras</w:t>
      </w:r>
      <w:r>
        <w:rPr>
          <w:rFonts w:ascii="Arial" w:hAnsi="Arial" w:cs="Arial"/>
          <w:sz w:val="24"/>
        </w:rPr>
        <w:t>, o universo de pesquisa constituiu-se dos 04 principais órgãos da área de segurança pública da organização administrativa do Poder Executivo em Goiás</w:t>
      </w:r>
      <w:r w:rsidR="009B4EC3">
        <w:rPr>
          <w:rFonts w:ascii="Arial" w:hAnsi="Arial" w:cs="Arial"/>
          <w:sz w:val="24"/>
        </w:rPr>
        <w:t xml:space="preserve"> (Secretaria de Segurança Pública, Polícia Civil, Polícia Militar e Secretaria de Administração Penitenciária e Justiça), independentemente da Função Orçamentária</w:t>
      </w:r>
      <w:r w:rsidR="00A72E6A">
        <w:rPr>
          <w:rFonts w:ascii="Arial" w:hAnsi="Arial" w:cs="Arial"/>
          <w:sz w:val="24"/>
        </w:rPr>
        <w:t>³</w:t>
      </w:r>
      <w:r w:rsidR="009B4EC3">
        <w:rPr>
          <w:rFonts w:ascii="Arial" w:hAnsi="Arial" w:cs="Arial"/>
          <w:sz w:val="24"/>
        </w:rPr>
        <w:t xml:space="preserve"> na qual foi </w:t>
      </w:r>
      <w:r w:rsidR="006F18C9">
        <w:rPr>
          <w:rFonts w:ascii="Arial" w:hAnsi="Arial" w:cs="Arial"/>
          <w:sz w:val="24"/>
        </w:rPr>
        <w:t>realizado</w:t>
      </w:r>
      <w:r w:rsidR="009B4EC3">
        <w:rPr>
          <w:rFonts w:ascii="Arial" w:hAnsi="Arial" w:cs="Arial"/>
          <w:sz w:val="24"/>
        </w:rPr>
        <w:t xml:space="preserve"> o gasto.</w:t>
      </w:r>
    </w:p>
    <w:p w:rsidR="00ED3D97" w:rsidRDefault="0041419F" w:rsidP="00392EBF">
      <w:pPr>
        <w:tabs>
          <w:tab w:val="left" w:pos="709"/>
        </w:tabs>
        <w:spacing w:after="0" w:line="360" w:lineRule="auto"/>
        <w:jc w:val="both"/>
        <w:rPr>
          <w:rFonts w:ascii="Arial" w:hAnsi="Arial" w:cs="Arial"/>
          <w:sz w:val="24"/>
        </w:rPr>
      </w:pPr>
      <w:r>
        <w:rPr>
          <w:rFonts w:ascii="Arial" w:hAnsi="Arial" w:cs="Arial"/>
          <w:sz w:val="24"/>
        </w:rPr>
        <w:tab/>
        <w:t xml:space="preserve">Os dados foram extraídos do </w:t>
      </w:r>
      <w:r w:rsidRPr="0041419F">
        <w:rPr>
          <w:rFonts w:ascii="Arial" w:hAnsi="Arial" w:cs="Arial"/>
          <w:sz w:val="24"/>
        </w:rPr>
        <w:t>Sistema de Programação e Execução Orçamentária e Financeira</w:t>
      </w:r>
      <w:r>
        <w:rPr>
          <w:rFonts w:ascii="Arial" w:hAnsi="Arial" w:cs="Arial"/>
          <w:sz w:val="24"/>
        </w:rPr>
        <w:t xml:space="preserve"> – SiofiNet, </w:t>
      </w:r>
      <w:r w:rsidRPr="0041419F">
        <w:rPr>
          <w:rFonts w:ascii="Arial" w:hAnsi="Arial" w:cs="Arial"/>
          <w:sz w:val="24"/>
        </w:rPr>
        <w:t>sistema contábil que tem por finalidade realizar todo o processamento, controle e execução financeira</w:t>
      </w:r>
      <w:r w:rsidR="00392EBF">
        <w:rPr>
          <w:rFonts w:ascii="Arial" w:hAnsi="Arial" w:cs="Arial"/>
          <w:sz w:val="24"/>
        </w:rPr>
        <w:t xml:space="preserve"> e</w:t>
      </w:r>
      <w:r w:rsidR="00AB42FD">
        <w:rPr>
          <w:rFonts w:ascii="Arial" w:hAnsi="Arial" w:cs="Arial"/>
          <w:sz w:val="24"/>
        </w:rPr>
        <w:t xml:space="preserve"> </w:t>
      </w:r>
      <w:r w:rsidR="00392EBF">
        <w:rPr>
          <w:rFonts w:ascii="Arial" w:hAnsi="Arial" w:cs="Arial"/>
          <w:sz w:val="24"/>
        </w:rPr>
        <w:t xml:space="preserve">orçamentária </w:t>
      </w:r>
      <w:r w:rsidRPr="0041419F">
        <w:rPr>
          <w:rFonts w:ascii="Arial" w:hAnsi="Arial" w:cs="Arial"/>
          <w:sz w:val="24"/>
        </w:rPr>
        <w:t>do</w:t>
      </w:r>
      <w:r w:rsidRPr="00392EBF">
        <w:rPr>
          <w:rFonts w:ascii="Arial" w:hAnsi="Arial" w:cs="Arial"/>
          <w:sz w:val="24"/>
        </w:rPr>
        <w:t> </w:t>
      </w:r>
      <w:r w:rsidR="00392EBF" w:rsidRPr="00392EBF">
        <w:rPr>
          <w:rFonts w:ascii="Arial" w:hAnsi="Arial" w:cs="Arial"/>
          <w:sz w:val="24"/>
        </w:rPr>
        <w:t>Governo do Estado de Goiás.</w:t>
      </w:r>
      <w:r w:rsidR="008228D3">
        <w:rPr>
          <w:rFonts w:ascii="Arial" w:hAnsi="Arial" w:cs="Arial"/>
          <w:sz w:val="24"/>
        </w:rPr>
        <w:t xml:space="preserve"> As despesas foram desdobradas em 03 grupos, sendo: Pessoal e Encargos Sociais (Grupo 01), Outras Despesas Correntes (Grupo 0</w:t>
      </w:r>
      <w:r w:rsidR="00B02C24">
        <w:rPr>
          <w:rFonts w:ascii="Arial" w:hAnsi="Arial" w:cs="Arial"/>
          <w:sz w:val="24"/>
        </w:rPr>
        <w:t>3</w:t>
      </w:r>
      <w:r w:rsidR="008228D3">
        <w:rPr>
          <w:rFonts w:ascii="Arial" w:hAnsi="Arial" w:cs="Arial"/>
          <w:sz w:val="24"/>
        </w:rPr>
        <w:t>) e Investimentos (Grupo 04).</w:t>
      </w:r>
      <w:r w:rsidR="00B02C24">
        <w:rPr>
          <w:rFonts w:ascii="Arial" w:hAnsi="Arial" w:cs="Arial"/>
          <w:sz w:val="24"/>
        </w:rPr>
        <w:t xml:space="preserve"> Os demais grupos de despesa não figuram na pesquisa em virtude da inexistência de gastos nestas modalidades</w:t>
      </w:r>
      <w:r w:rsidR="002545E0">
        <w:rPr>
          <w:rFonts w:ascii="Arial" w:hAnsi="Arial" w:cs="Arial"/>
          <w:sz w:val="24"/>
        </w:rPr>
        <w:t xml:space="preserve"> no período avaliado</w:t>
      </w:r>
      <w:r w:rsidR="00B02C24">
        <w:rPr>
          <w:rFonts w:ascii="Arial" w:hAnsi="Arial" w:cs="Arial"/>
          <w:sz w:val="24"/>
        </w:rPr>
        <w:t>.</w:t>
      </w:r>
    </w:p>
    <w:p w:rsidR="00566C6D" w:rsidRDefault="00566C6D" w:rsidP="00392EBF">
      <w:pPr>
        <w:tabs>
          <w:tab w:val="left" w:pos="709"/>
        </w:tabs>
        <w:spacing w:after="0" w:line="360" w:lineRule="auto"/>
        <w:jc w:val="both"/>
        <w:rPr>
          <w:rFonts w:ascii="Arial" w:hAnsi="Arial" w:cs="Arial"/>
          <w:sz w:val="24"/>
        </w:rPr>
      </w:pPr>
      <w:r>
        <w:rPr>
          <w:rFonts w:ascii="Arial" w:hAnsi="Arial" w:cs="Arial"/>
          <w:sz w:val="24"/>
        </w:rPr>
        <w:tab/>
        <w:t xml:space="preserve">Quanto aos dados relativos às estatísticas criminais e ao efetivo estadual de segurança pública, as principais fontes de consulta foram os Anuários do Fórum Brasileiro de Segurança Pública. Foram utilizadas, ainda, </w:t>
      </w:r>
      <w:r w:rsidR="00426771">
        <w:rPr>
          <w:rFonts w:ascii="Arial" w:hAnsi="Arial" w:cs="Arial"/>
          <w:sz w:val="24"/>
        </w:rPr>
        <w:t xml:space="preserve">de forma complementar, </w:t>
      </w:r>
      <w:r w:rsidR="008366E2">
        <w:rPr>
          <w:rFonts w:ascii="Arial" w:hAnsi="Arial" w:cs="Arial"/>
          <w:sz w:val="24"/>
        </w:rPr>
        <w:t xml:space="preserve">informações disponibilizadas no </w:t>
      </w:r>
      <w:r w:rsidR="008366E2" w:rsidRPr="008366E2">
        <w:rPr>
          <w:rFonts w:ascii="Arial" w:hAnsi="Arial" w:cs="Arial"/>
          <w:i/>
          <w:sz w:val="24"/>
        </w:rPr>
        <w:t>website</w:t>
      </w:r>
      <w:r w:rsidR="008366E2">
        <w:rPr>
          <w:rFonts w:ascii="Arial" w:hAnsi="Arial" w:cs="Arial"/>
          <w:sz w:val="24"/>
        </w:rPr>
        <w:t xml:space="preserve"> da Secretaria de Segurança Pública do Estado de Goiás e </w:t>
      </w:r>
      <w:r w:rsidR="00426771">
        <w:rPr>
          <w:rFonts w:ascii="Arial" w:hAnsi="Arial" w:cs="Arial"/>
          <w:sz w:val="24"/>
        </w:rPr>
        <w:t>n</w:t>
      </w:r>
      <w:r w:rsidR="008366E2">
        <w:rPr>
          <w:rFonts w:ascii="Arial" w:hAnsi="Arial" w:cs="Arial"/>
          <w:sz w:val="24"/>
        </w:rPr>
        <w:t>a publicação “Goiás em Dados”, de responsabilidade do Instituto Mauro Borges de Estatísticas e Estudos Socioeconômicos.</w:t>
      </w:r>
      <w:r w:rsidR="00AB42FD">
        <w:rPr>
          <w:rFonts w:ascii="Arial" w:hAnsi="Arial" w:cs="Arial"/>
          <w:sz w:val="24"/>
        </w:rPr>
        <w:t xml:space="preserve"> </w:t>
      </w:r>
      <w:r w:rsidR="00B63C56">
        <w:rPr>
          <w:rFonts w:ascii="Arial" w:hAnsi="Arial" w:cs="Arial"/>
          <w:sz w:val="24"/>
        </w:rPr>
        <w:t>Todos os dados criminais pesquisados foram analisados em números absolutos e também ponderados em relação a 100 mil habitantes.</w:t>
      </w:r>
    </w:p>
    <w:p w:rsidR="005D5DDE" w:rsidRDefault="006D16DB" w:rsidP="00392EBF">
      <w:pPr>
        <w:tabs>
          <w:tab w:val="left" w:pos="709"/>
        </w:tabs>
        <w:spacing w:after="0" w:line="360" w:lineRule="auto"/>
        <w:jc w:val="both"/>
        <w:rPr>
          <w:rFonts w:ascii="Arial" w:hAnsi="Arial" w:cs="Arial"/>
          <w:sz w:val="24"/>
        </w:rPr>
      </w:pPr>
      <w:r>
        <w:rPr>
          <w:rFonts w:ascii="Arial" w:hAnsi="Arial" w:cs="Arial"/>
          <w:sz w:val="24"/>
        </w:rPr>
        <w:tab/>
      </w:r>
      <w:r w:rsidR="005D5DDE">
        <w:rPr>
          <w:rFonts w:ascii="Arial" w:hAnsi="Arial" w:cs="Arial"/>
          <w:sz w:val="24"/>
        </w:rPr>
        <w:t xml:space="preserve">O período avaliado é de 10 anos, compreendendo os exercícios de 2004 a 2013. Optou-se por este intervalo em virtude da disponibilidade dos dados financeiros </w:t>
      </w:r>
      <w:r w:rsidR="00493B82">
        <w:rPr>
          <w:rFonts w:ascii="Arial" w:hAnsi="Arial" w:cs="Arial"/>
          <w:sz w:val="24"/>
        </w:rPr>
        <w:t xml:space="preserve">e </w:t>
      </w:r>
      <w:r w:rsidR="005D5DDE">
        <w:rPr>
          <w:rFonts w:ascii="Arial" w:hAnsi="Arial" w:cs="Arial"/>
          <w:sz w:val="24"/>
        </w:rPr>
        <w:t xml:space="preserve">de forma a coincidir com os </w:t>
      </w:r>
      <w:r w:rsidR="00493B82">
        <w:rPr>
          <w:rFonts w:ascii="Arial" w:hAnsi="Arial" w:cs="Arial"/>
          <w:sz w:val="24"/>
        </w:rPr>
        <w:t xml:space="preserve">três </w:t>
      </w:r>
      <w:r w:rsidR="005D5DDE">
        <w:rPr>
          <w:rFonts w:ascii="Arial" w:hAnsi="Arial" w:cs="Arial"/>
          <w:sz w:val="24"/>
        </w:rPr>
        <w:t xml:space="preserve">últimos </w:t>
      </w:r>
      <w:r w:rsidR="00493B82">
        <w:rPr>
          <w:rFonts w:ascii="Arial" w:hAnsi="Arial" w:cs="Arial"/>
          <w:sz w:val="24"/>
        </w:rPr>
        <w:t>P</w:t>
      </w:r>
      <w:r w:rsidR="005D5DDE">
        <w:rPr>
          <w:rFonts w:ascii="Arial" w:hAnsi="Arial" w:cs="Arial"/>
          <w:sz w:val="24"/>
        </w:rPr>
        <w:t>lano</w:t>
      </w:r>
      <w:r w:rsidR="00493B82">
        <w:rPr>
          <w:rFonts w:ascii="Arial" w:hAnsi="Arial" w:cs="Arial"/>
          <w:sz w:val="24"/>
        </w:rPr>
        <w:t>s</w:t>
      </w:r>
      <w:r w:rsidR="005D5DDE">
        <w:rPr>
          <w:rFonts w:ascii="Arial" w:hAnsi="Arial" w:cs="Arial"/>
          <w:sz w:val="24"/>
        </w:rPr>
        <w:t xml:space="preserve"> Plurianuais do Estado de Goiás (2004-2007</w:t>
      </w:r>
      <w:r w:rsidR="00CB1FCF">
        <w:rPr>
          <w:rFonts w:ascii="Arial" w:hAnsi="Arial" w:cs="Arial"/>
          <w:sz w:val="24"/>
        </w:rPr>
        <w:t xml:space="preserve"> - </w:t>
      </w:r>
      <w:r w:rsidR="005D5DDE">
        <w:rPr>
          <w:rFonts w:ascii="Arial" w:hAnsi="Arial" w:cs="Arial"/>
          <w:sz w:val="24"/>
        </w:rPr>
        <w:t xml:space="preserve">Plano Goiás Século XXI </w:t>
      </w:r>
      <w:r w:rsidR="00CB1FCF">
        <w:rPr>
          <w:rFonts w:ascii="Arial" w:hAnsi="Arial" w:cs="Arial"/>
          <w:sz w:val="24"/>
        </w:rPr>
        <w:t>“</w:t>
      </w:r>
      <w:r w:rsidR="005D5DDE">
        <w:rPr>
          <w:rFonts w:ascii="Arial" w:hAnsi="Arial" w:cs="Arial"/>
          <w:sz w:val="24"/>
        </w:rPr>
        <w:t>Avançar Mais</w:t>
      </w:r>
      <w:r w:rsidR="00CB1FCF">
        <w:rPr>
          <w:rFonts w:ascii="Arial" w:hAnsi="Arial" w:cs="Arial"/>
          <w:sz w:val="24"/>
        </w:rPr>
        <w:t>”</w:t>
      </w:r>
      <w:r w:rsidR="005D5DDE">
        <w:rPr>
          <w:rFonts w:ascii="Arial" w:hAnsi="Arial" w:cs="Arial"/>
          <w:sz w:val="24"/>
        </w:rPr>
        <w:t>, 2008-2011</w:t>
      </w:r>
      <w:r w:rsidR="00CB1FCF">
        <w:rPr>
          <w:rFonts w:ascii="Arial" w:hAnsi="Arial" w:cs="Arial"/>
          <w:sz w:val="24"/>
        </w:rPr>
        <w:t xml:space="preserve"> – Goiás Estado da Qualidade de Vida e</w:t>
      </w:r>
      <w:r w:rsidR="005D5DDE">
        <w:rPr>
          <w:rFonts w:ascii="Arial" w:hAnsi="Arial" w:cs="Arial"/>
          <w:sz w:val="24"/>
        </w:rPr>
        <w:t xml:space="preserve"> 2012-2015</w:t>
      </w:r>
      <w:r w:rsidR="00CB1FCF">
        <w:rPr>
          <w:rFonts w:ascii="Arial" w:hAnsi="Arial" w:cs="Arial"/>
          <w:sz w:val="24"/>
        </w:rPr>
        <w:t xml:space="preserve"> – Plano de Desenvolvimento Estratégico</w:t>
      </w:r>
      <w:r w:rsidR="005D5DDE">
        <w:rPr>
          <w:rFonts w:ascii="Arial" w:hAnsi="Arial" w:cs="Arial"/>
          <w:sz w:val="24"/>
        </w:rPr>
        <w:t>).</w:t>
      </w:r>
    </w:p>
    <w:p w:rsidR="00E3061A" w:rsidRDefault="00E3061A" w:rsidP="00E3061A">
      <w:pPr>
        <w:tabs>
          <w:tab w:val="left" w:pos="1701"/>
        </w:tabs>
        <w:spacing w:after="0" w:line="360" w:lineRule="auto"/>
        <w:jc w:val="both"/>
        <w:rPr>
          <w:rFonts w:ascii="Arial" w:hAnsi="Arial" w:cs="Arial"/>
          <w:sz w:val="24"/>
          <w:szCs w:val="24"/>
        </w:rPr>
      </w:pPr>
      <w:r>
        <w:rPr>
          <w:rFonts w:ascii="Arial" w:hAnsi="Arial" w:cs="Arial"/>
          <w:sz w:val="24"/>
          <w:szCs w:val="24"/>
        </w:rPr>
        <w:t>_____________</w:t>
      </w:r>
    </w:p>
    <w:p w:rsidR="00327231" w:rsidRPr="00E3061A" w:rsidRDefault="00A72E6A" w:rsidP="00E3061A">
      <w:pPr>
        <w:tabs>
          <w:tab w:val="left" w:pos="709"/>
        </w:tabs>
        <w:spacing w:after="0" w:line="360" w:lineRule="auto"/>
        <w:jc w:val="both"/>
        <w:rPr>
          <w:rFonts w:ascii="Arial" w:hAnsi="Arial" w:cs="Arial"/>
          <w:sz w:val="16"/>
          <w:szCs w:val="16"/>
        </w:rPr>
      </w:pPr>
      <w:r>
        <w:rPr>
          <w:rFonts w:ascii="Arial" w:hAnsi="Arial" w:cs="Arial"/>
          <w:sz w:val="16"/>
          <w:szCs w:val="16"/>
        </w:rPr>
        <w:t>³</w:t>
      </w:r>
      <w:r w:rsidR="007677E2">
        <w:rPr>
          <w:rFonts w:ascii="Arial" w:hAnsi="Arial" w:cs="Arial"/>
          <w:sz w:val="16"/>
          <w:szCs w:val="16"/>
        </w:rPr>
        <w:t xml:space="preserve"> </w:t>
      </w:r>
      <w:r w:rsidR="00E3061A" w:rsidRPr="00E3061A">
        <w:rPr>
          <w:rFonts w:ascii="Arial" w:hAnsi="Arial" w:cs="Arial"/>
          <w:sz w:val="16"/>
          <w:szCs w:val="16"/>
        </w:rPr>
        <w:t>Função Orçamentária representa o maior nível de agregação das diversas áreas de despesa que competem ao setor público</w:t>
      </w:r>
      <w:r w:rsidR="00E3061A">
        <w:rPr>
          <w:rFonts w:ascii="Arial" w:hAnsi="Arial" w:cs="Arial"/>
          <w:sz w:val="16"/>
          <w:szCs w:val="16"/>
        </w:rPr>
        <w:t>.</w:t>
      </w:r>
    </w:p>
    <w:p w:rsidR="00327231" w:rsidRDefault="00BD2553" w:rsidP="00327231">
      <w:pPr>
        <w:tabs>
          <w:tab w:val="left" w:pos="709"/>
        </w:tabs>
        <w:spacing w:after="0" w:line="360" w:lineRule="auto"/>
        <w:jc w:val="both"/>
        <w:rPr>
          <w:rFonts w:ascii="Arial" w:hAnsi="Arial" w:cs="Arial"/>
          <w:b/>
          <w:sz w:val="24"/>
        </w:rPr>
      </w:pPr>
      <w:r>
        <w:rPr>
          <w:rFonts w:ascii="Arial" w:hAnsi="Arial" w:cs="Arial"/>
          <w:b/>
          <w:sz w:val="24"/>
        </w:rPr>
        <w:lastRenderedPageBreak/>
        <w:t xml:space="preserve">3 </w:t>
      </w:r>
      <w:r w:rsidR="00327231">
        <w:rPr>
          <w:rFonts w:ascii="Arial" w:hAnsi="Arial" w:cs="Arial"/>
          <w:b/>
          <w:sz w:val="24"/>
        </w:rPr>
        <w:t>RESULTADOS</w:t>
      </w:r>
    </w:p>
    <w:p w:rsidR="00BD2553" w:rsidRDefault="00BD2553" w:rsidP="00327231">
      <w:pPr>
        <w:tabs>
          <w:tab w:val="left" w:pos="709"/>
        </w:tabs>
        <w:spacing w:after="0" w:line="360" w:lineRule="auto"/>
        <w:jc w:val="both"/>
        <w:rPr>
          <w:rFonts w:ascii="Arial" w:hAnsi="Arial" w:cs="Arial"/>
          <w:b/>
          <w:sz w:val="24"/>
        </w:rPr>
      </w:pPr>
      <w:r>
        <w:rPr>
          <w:rFonts w:ascii="Arial" w:hAnsi="Arial" w:cs="Arial"/>
          <w:b/>
          <w:sz w:val="24"/>
        </w:rPr>
        <w:t>3.1 GASTOS DO GOVERNO DE GOIÁS EM SEGURANÇA PÚBLICA</w:t>
      </w:r>
    </w:p>
    <w:p w:rsidR="00E94D2C" w:rsidRDefault="00327231" w:rsidP="00327231">
      <w:pPr>
        <w:tabs>
          <w:tab w:val="left" w:pos="709"/>
        </w:tabs>
        <w:spacing w:after="0" w:line="360" w:lineRule="auto"/>
        <w:jc w:val="both"/>
        <w:rPr>
          <w:rFonts w:ascii="Arial" w:hAnsi="Arial" w:cs="Arial"/>
          <w:sz w:val="24"/>
        </w:rPr>
      </w:pPr>
      <w:r w:rsidRPr="00327231">
        <w:rPr>
          <w:rFonts w:ascii="Arial" w:hAnsi="Arial" w:cs="Arial"/>
          <w:sz w:val="24"/>
        </w:rPr>
        <w:tab/>
        <w:t xml:space="preserve">Da </w:t>
      </w:r>
      <w:r>
        <w:rPr>
          <w:rFonts w:ascii="Arial" w:hAnsi="Arial" w:cs="Arial"/>
          <w:sz w:val="24"/>
        </w:rPr>
        <w:t>análise dos dados financeiros das despesas do Grupo 1 – Pessoal e Encargos Sociais</w:t>
      </w:r>
      <w:r w:rsidR="00AB42FD">
        <w:rPr>
          <w:rFonts w:ascii="Arial" w:hAnsi="Arial" w:cs="Arial"/>
          <w:sz w:val="24"/>
        </w:rPr>
        <w:t xml:space="preserve"> (Gráfico 01)</w:t>
      </w:r>
      <w:r>
        <w:rPr>
          <w:rFonts w:ascii="Arial" w:hAnsi="Arial" w:cs="Arial"/>
          <w:sz w:val="24"/>
        </w:rPr>
        <w:t>,</w:t>
      </w:r>
      <w:r w:rsidR="008C299D">
        <w:rPr>
          <w:rFonts w:ascii="Arial" w:hAnsi="Arial" w:cs="Arial"/>
          <w:sz w:val="24"/>
        </w:rPr>
        <w:t xml:space="preserve"> ficou demonstrado que </w:t>
      </w:r>
      <w:r w:rsidR="003B23FD">
        <w:rPr>
          <w:rFonts w:ascii="Arial" w:hAnsi="Arial" w:cs="Arial"/>
          <w:sz w:val="24"/>
        </w:rPr>
        <w:t>t</w:t>
      </w:r>
      <w:r w:rsidR="008C299D">
        <w:rPr>
          <w:rFonts w:ascii="Arial" w:hAnsi="Arial" w:cs="Arial"/>
          <w:sz w:val="24"/>
        </w:rPr>
        <w:t>a</w:t>
      </w:r>
      <w:r w:rsidR="003B23FD">
        <w:rPr>
          <w:rFonts w:ascii="Arial" w:hAnsi="Arial" w:cs="Arial"/>
          <w:sz w:val="24"/>
        </w:rPr>
        <w:t>i</w:t>
      </w:r>
      <w:r w:rsidR="008C299D">
        <w:rPr>
          <w:rFonts w:ascii="Arial" w:hAnsi="Arial" w:cs="Arial"/>
          <w:sz w:val="24"/>
        </w:rPr>
        <w:t xml:space="preserve">s despesas </w:t>
      </w:r>
      <w:r w:rsidR="003B23FD">
        <w:rPr>
          <w:rFonts w:ascii="Arial" w:hAnsi="Arial" w:cs="Arial"/>
          <w:sz w:val="24"/>
        </w:rPr>
        <w:t>tiveram um salto expressivo no período avaliado</w:t>
      </w:r>
      <w:r w:rsidR="00DD7A6B">
        <w:rPr>
          <w:rFonts w:ascii="Arial" w:hAnsi="Arial" w:cs="Arial"/>
          <w:sz w:val="24"/>
        </w:rPr>
        <w:t>,</w:t>
      </w:r>
      <w:r w:rsidR="00AB42FD">
        <w:rPr>
          <w:rFonts w:ascii="Arial" w:hAnsi="Arial" w:cs="Arial"/>
          <w:sz w:val="24"/>
        </w:rPr>
        <w:t xml:space="preserve"> </w:t>
      </w:r>
      <w:r w:rsidR="0001765F">
        <w:rPr>
          <w:rFonts w:ascii="Arial" w:hAnsi="Arial" w:cs="Arial"/>
          <w:sz w:val="24"/>
        </w:rPr>
        <w:t xml:space="preserve">bem acima do índice oficial de inflação </w:t>
      </w:r>
      <w:r w:rsidR="003A1DDF">
        <w:rPr>
          <w:rFonts w:ascii="Arial" w:hAnsi="Arial" w:cs="Arial"/>
          <w:sz w:val="24"/>
        </w:rPr>
        <w:t xml:space="preserve">para o mesmo período </w:t>
      </w:r>
      <w:r w:rsidR="0001765F">
        <w:rPr>
          <w:rFonts w:ascii="Arial" w:hAnsi="Arial" w:cs="Arial"/>
          <w:sz w:val="24"/>
        </w:rPr>
        <w:t xml:space="preserve">segundo o IPCA - </w:t>
      </w:r>
      <w:r w:rsidR="0001765F" w:rsidRPr="003B23FD">
        <w:rPr>
          <w:rFonts w:ascii="Arial" w:hAnsi="Arial" w:cs="Arial"/>
          <w:sz w:val="24"/>
        </w:rPr>
        <w:t>Índice de Preços ao Consumidor Amplo</w:t>
      </w:r>
      <w:r w:rsidR="0001765F">
        <w:rPr>
          <w:rFonts w:ascii="Arial" w:hAnsi="Arial" w:cs="Arial"/>
          <w:sz w:val="24"/>
        </w:rPr>
        <w:t>, que foi de 54,05%. Em 2004, os gastos com pessoal da Polícia Civil somaram R$</w:t>
      </w:r>
      <w:r w:rsidR="0001765F" w:rsidRPr="0001765F">
        <w:rPr>
          <w:rFonts w:ascii="Arial" w:hAnsi="Arial" w:cs="Arial"/>
          <w:sz w:val="24"/>
        </w:rPr>
        <w:t>101</w:t>
      </w:r>
      <w:r w:rsidR="0001765F">
        <w:rPr>
          <w:rFonts w:ascii="Arial" w:hAnsi="Arial" w:cs="Arial"/>
          <w:sz w:val="24"/>
        </w:rPr>
        <w:t>.</w:t>
      </w:r>
      <w:r w:rsidR="0001765F" w:rsidRPr="0001765F">
        <w:rPr>
          <w:rFonts w:ascii="Arial" w:hAnsi="Arial" w:cs="Arial"/>
          <w:sz w:val="24"/>
        </w:rPr>
        <w:t>852</w:t>
      </w:r>
      <w:r w:rsidR="0001765F">
        <w:rPr>
          <w:rFonts w:ascii="Arial" w:hAnsi="Arial" w:cs="Arial"/>
          <w:sz w:val="24"/>
        </w:rPr>
        <w:t>.</w:t>
      </w:r>
      <w:r w:rsidR="0001765F" w:rsidRPr="0001765F">
        <w:rPr>
          <w:rFonts w:ascii="Arial" w:hAnsi="Arial" w:cs="Arial"/>
          <w:sz w:val="24"/>
        </w:rPr>
        <w:t>457,7</w:t>
      </w:r>
      <w:r w:rsidR="0001765F">
        <w:rPr>
          <w:rFonts w:ascii="Arial" w:hAnsi="Arial" w:cs="Arial"/>
          <w:sz w:val="24"/>
        </w:rPr>
        <w:t>0, atingindo R$</w:t>
      </w:r>
      <w:r w:rsidR="0001765F" w:rsidRPr="0001765F">
        <w:rPr>
          <w:rFonts w:ascii="Arial" w:hAnsi="Arial" w:cs="Arial"/>
          <w:sz w:val="24"/>
        </w:rPr>
        <w:t>317</w:t>
      </w:r>
      <w:r w:rsidR="0001765F">
        <w:rPr>
          <w:rFonts w:ascii="Arial" w:hAnsi="Arial" w:cs="Arial"/>
          <w:sz w:val="24"/>
        </w:rPr>
        <w:t>.</w:t>
      </w:r>
      <w:r w:rsidR="0001765F" w:rsidRPr="0001765F">
        <w:rPr>
          <w:rFonts w:ascii="Arial" w:hAnsi="Arial" w:cs="Arial"/>
          <w:sz w:val="24"/>
        </w:rPr>
        <w:t>763</w:t>
      </w:r>
      <w:r w:rsidR="0001765F">
        <w:rPr>
          <w:rFonts w:ascii="Arial" w:hAnsi="Arial" w:cs="Arial"/>
          <w:sz w:val="24"/>
        </w:rPr>
        <w:t>.</w:t>
      </w:r>
      <w:r w:rsidR="0001765F" w:rsidRPr="0001765F">
        <w:rPr>
          <w:rFonts w:ascii="Arial" w:hAnsi="Arial" w:cs="Arial"/>
          <w:sz w:val="24"/>
        </w:rPr>
        <w:t>786,71</w:t>
      </w:r>
      <w:r w:rsidR="0001765F">
        <w:rPr>
          <w:rFonts w:ascii="Arial" w:hAnsi="Arial" w:cs="Arial"/>
          <w:sz w:val="24"/>
        </w:rPr>
        <w:t xml:space="preserve"> em 2013, o que representa um aumento de 211,98%.</w:t>
      </w:r>
      <w:r w:rsidR="00996A9F">
        <w:rPr>
          <w:rFonts w:ascii="Arial" w:hAnsi="Arial" w:cs="Arial"/>
          <w:sz w:val="24"/>
        </w:rPr>
        <w:t xml:space="preserve"> No caso da Polícia Militar, as despesas saltaram de R$</w:t>
      </w:r>
      <w:r w:rsidR="00996A9F" w:rsidRPr="003B23FD">
        <w:rPr>
          <w:rFonts w:ascii="Arial" w:hAnsi="Arial" w:cs="Arial"/>
          <w:sz w:val="24"/>
        </w:rPr>
        <w:t>300</w:t>
      </w:r>
      <w:r w:rsidR="00996A9F">
        <w:rPr>
          <w:rFonts w:ascii="Arial" w:hAnsi="Arial" w:cs="Arial"/>
          <w:sz w:val="24"/>
        </w:rPr>
        <w:t>.</w:t>
      </w:r>
      <w:r w:rsidR="00996A9F" w:rsidRPr="003B23FD">
        <w:rPr>
          <w:rFonts w:ascii="Arial" w:hAnsi="Arial" w:cs="Arial"/>
          <w:sz w:val="24"/>
        </w:rPr>
        <w:t>711</w:t>
      </w:r>
      <w:r w:rsidR="00996A9F">
        <w:rPr>
          <w:rFonts w:ascii="Arial" w:hAnsi="Arial" w:cs="Arial"/>
          <w:sz w:val="24"/>
        </w:rPr>
        <w:t>.</w:t>
      </w:r>
      <w:r w:rsidR="00996A9F" w:rsidRPr="003B23FD">
        <w:rPr>
          <w:rFonts w:ascii="Arial" w:hAnsi="Arial" w:cs="Arial"/>
          <w:sz w:val="24"/>
        </w:rPr>
        <w:t>504,62</w:t>
      </w:r>
      <w:r w:rsidR="00996A9F">
        <w:rPr>
          <w:rFonts w:ascii="Arial" w:hAnsi="Arial" w:cs="Arial"/>
          <w:sz w:val="24"/>
        </w:rPr>
        <w:t xml:space="preserve"> em 2004 para R$</w:t>
      </w:r>
      <w:r w:rsidR="00996A9F" w:rsidRPr="003B23FD">
        <w:rPr>
          <w:rFonts w:ascii="Arial" w:hAnsi="Arial" w:cs="Arial"/>
          <w:sz w:val="24"/>
        </w:rPr>
        <w:t>920</w:t>
      </w:r>
      <w:r w:rsidR="00996A9F">
        <w:rPr>
          <w:rFonts w:ascii="Arial" w:hAnsi="Arial" w:cs="Arial"/>
          <w:sz w:val="24"/>
        </w:rPr>
        <w:t>.</w:t>
      </w:r>
      <w:r w:rsidR="00996A9F" w:rsidRPr="003B23FD">
        <w:rPr>
          <w:rFonts w:ascii="Arial" w:hAnsi="Arial" w:cs="Arial"/>
          <w:sz w:val="24"/>
        </w:rPr>
        <w:t>816</w:t>
      </w:r>
      <w:r w:rsidR="00996A9F">
        <w:rPr>
          <w:rFonts w:ascii="Arial" w:hAnsi="Arial" w:cs="Arial"/>
          <w:sz w:val="24"/>
        </w:rPr>
        <w:t>.</w:t>
      </w:r>
      <w:r w:rsidR="00996A9F" w:rsidRPr="003B23FD">
        <w:rPr>
          <w:rFonts w:ascii="Arial" w:hAnsi="Arial" w:cs="Arial"/>
          <w:sz w:val="24"/>
        </w:rPr>
        <w:t>641,4</w:t>
      </w:r>
      <w:r w:rsidR="00996A9F">
        <w:rPr>
          <w:rFonts w:ascii="Arial" w:hAnsi="Arial" w:cs="Arial"/>
          <w:sz w:val="24"/>
        </w:rPr>
        <w:t>0 em 2013, representando um aumento de 206,21%.</w:t>
      </w:r>
    </w:p>
    <w:p w:rsidR="0001765F" w:rsidRDefault="00E94D2C" w:rsidP="00327231">
      <w:pPr>
        <w:tabs>
          <w:tab w:val="left" w:pos="709"/>
        </w:tabs>
        <w:spacing w:after="0" w:line="360" w:lineRule="auto"/>
        <w:jc w:val="both"/>
        <w:rPr>
          <w:rFonts w:ascii="Arial" w:hAnsi="Arial" w:cs="Arial"/>
          <w:sz w:val="24"/>
        </w:rPr>
      </w:pPr>
      <w:r>
        <w:rPr>
          <w:rFonts w:ascii="Arial" w:hAnsi="Arial" w:cs="Arial"/>
          <w:sz w:val="24"/>
        </w:rPr>
        <w:tab/>
      </w:r>
      <w:r w:rsidR="00896087">
        <w:rPr>
          <w:rFonts w:ascii="Arial" w:hAnsi="Arial" w:cs="Arial"/>
          <w:sz w:val="24"/>
        </w:rPr>
        <w:t xml:space="preserve">A Secretaria de Administração Penitenciária e Justiça, em </w:t>
      </w:r>
      <w:r>
        <w:rPr>
          <w:rFonts w:ascii="Arial" w:hAnsi="Arial" w:cs="Arial"/>
          <w:sz w:val="24"/>
        </w:rPr>
        <w:t>decorrência</w:t>
      </w:r>
      <w:r w:rsidR="00896087">
        <w:rPr>
          <w:rFonts w:ascii="Arial" w:hAnsi="Arial" w:cs="Arial"/>
          <w:sz w:val="24"/>
        </w:rPr>
        <w:t xml:space="preserve"> da constante alteração em sua estrutura administrativa, ora </w:t>
      </w:r>
      <w:r w:rsidR="00B23F47">
        <w:rPr>
          <w:rFonts w:ascii="Arial" w:hAnsi="Arial" w:cs="Arial"/>
          <w:sz w:val="24"/>
        </w:rPr>
        <w:t xml:space="preserve">compondo </w:t>
      </w:r>
      <w:r w:rsidR="00896087">
        <w:rPr>
          <w:rFonts w:ascii="Arial" w:hAnsi="Arial" w:cs="Arial"/>
          <w:sz w:val="24"/>
        </w:rPr>
        <w:t xml:space="preserve">a Administração Direta, ora a Administração </w:t>
      </w:r>
      <w:r>
        <w:rPr>
          <w:rFonts w:ascii="Arial" w:hAnsi="Arial" w:cs="Arial"/>
          <w:sz w:val="24"/>
        </w:rPr>
        <w:t>Indireta</w:t>
      </w:r>
      <w:r w:rsidR="00896087">
        <w:rPr>
          <w:rFonts w:ascii="Arial" w:hAnsi="Arial" w:cs="Arial"/>
          <w:sz w:val="24"/>
        </w:rPr>
        <w:t xml:space="preserve"> ou mesmo incorporada </w:t>
      </w:r>
      <w:r w:rsidR="00E86A5C">
        <w:rPr>
          <w:rFonts w:ascii="Arial" w:hAnsi="Arial" w:cs="Arial"/>
          <w:sz w:val="24"/>
        </w:rPr>
        <w:t>a</w:t>
      </w:r>
      <w:r w:rsidR="00896087">
        <w:rPr>
          <w:rFonts w:ascii="Arial" w:hAnsi="Arial" w:cs="Arial"/>
          <w:sz w:val="24"/>
        </w:rPr>
        <w:t xml:space="preserve"> outro órgão do Poder Executivo,</w:t>
      </w:r>
      <w:r w:rsidR="00AB42FD">
        <w:rPr>
          <w:rFonts w:ascii="Arial" w:hAnsi="Arial" w:cs="Arial"/>
          <w:sz w:val="24"/>
        </w:rPr>
        <w:t xml:space="preserve"> </w:t>
      </w:r>
      <w:r w:rsidR="007F093D" w:rsidRPr="007F093D">
        <w:rPr>
          <w:rFonts w:ascii="Arial" w:hAnsi="Arial" w:cs="Arial"/>
          <w:sz w:val="24"/>
        </w:rPr>
        <w:t>não apresentou qualquer tendência</w:t>
      </w:r>
      <w:r>
        <w:rPr>
          <w:rFonts w:ascii="Arial" w:hAnsi="Arial" w:cs="Arial"/>
          <w:sz w:val="24"/>
        </w:rPr>
        <w:t xml:space="preserve"> na série história</w:t>
      </w:r>
      <w:r w:rsidR="007F093D">
        <w:rPr>
          <w:rFonts w:ascii="Arial" w:hAnsi="Arial" w:cs="Arial"/>
          <w:sz w:val="24"/>
        </w:rPr>
        <w:t>,</w:t>
      </w:r>
      <w:r>
        <w:rPr>
          <w:rFonts w:ascii="Arial" w:hAnsi="Arial" w:cs="Arial"/>
          <w:sz w:val="24"/>
        </w:rPr>
        <w:t xml:space="preserve"> diferente dos demais órgãos avaliados. No entanto, quando comparado o período inicial da série ao final, o crescimento é similar, atingindo 233%, saltando de R$</w:t>
      </w:r>
      <w:r w:rsidRPr="00E94D2C">
        <w:rPr>
          <w:rFonts w:ascii="Arial" w:hAnsi="Arial" w:cs="Arial"/>
          <w:sz w:val="24"/>
        </w:rPr>
        <w:t>13.657.580</w:t>
      </w:r>
      <w:r>
        <w:rPr>
          <w:rFonts w:ascii="Arial" w:hAnsi="Arial" w:cs="Arial"/>
          <w:sz w:val="24"/>
        </w:rPr>
        <w:t>,00 em 2004 para R$</w:t>
      </w:r>
      <w:r w:rsidRPr="00E94D2C">
        <w:rPr>
          <w:rFonts w:ascii="Arial" w:hAnsi="Arial" w:cs="Arial"/>
          <w:sz w:val="24"/>
        </w:rPr>
        <w:t>45</w:t>
      </w:r>
      <w:r>
        <w:rPr>
          <w:rFonts w:ascii="Arial" w:hAnsi="Arial" w:cs="Arial"/>
          <w:sz w:val="24"/>
        </w:rPr>
        <w:t>.</w:t>
      </w:r>
      <w:r w:rsidRPr="00E94D2C">
        <w:rPr>
          <w:rFonts w:ascii="Arial" w:hAnsi="Arial" w:cs="Arial"/>
          <w:sz w:val="24"/>
        </w:rPr>
        <w:t>479</w:t>
      </w:r>
      <w:r>
        <w:rPr>
          <w:rFonts w:ascii="Arial" w:hAnsi="Arial" w:cs="Arial"/>
          <w:sz w:val="24"/>
        </w:rPr>
        <w:t>.</w:t>
      </w:r>
      <w:r w:rsidRPr="00E94D2C">
        <w:rPr>
          <w:rFonts w:ascii="Arial" w:hAnsi="Arial" w:cs="Arial"/>
          <w:sz w:val="24"/>
        </w:rPr>
        <w:t>655,46</w:t>
      </w:r>
      <w:r>
        <w:rPr>
          <w:rFonts w:ascii="Arial" w:hAnsi="Arial" w:cs="Arial"/>
          <w:sz w:val="24"/>
        </w:rPr>
        <w:t xml:space="preserve"> em 2013. </w:t>
      </w:r>
    </w:p>
    <w:p w:rsidR="003B23FD" w:rsidRDefault="00E841C8" w:rsidP="00327231">
      <w:pPr>
        <w:tabs>
          <w:tab w:val="left" w:pos="709"/>
        </w:tabs>
        <w:spacing w:after="0" w:line="360" w:lineRule="auto"/>
        <w:jc w:val="both"/>
        <w:rPr>
          <w:rFonts w:ascii="Arial" w:hAnsi="Arial" w:cs="Arial"/>
          <w:sz w:val="24"/>
        </w:rPr>
      </w:pPr>
      <w:r>
        <w:rPr>
          <w:rFonts w:ascii="Arial" w:hAnsi="Arial" w:cs="Arial"/>
          <w:sz w:val="24"/>
        </w:rPr>
        <w:tab/>
        <w:t>O aumento mais expressivo deu-se na própria Secretaria de Segurança Pública onde alcançou 426,98%, passando de R$</w:t>
      </w:r>
      <w:r w:rsidRPr="00E841C8">
        <w:rPr>
          <w:rFonts w:ascii="Arial" w:hAnsi="Arial" w:cs="Arial"/>
          <w:sz w:val="24"/>
        </w:rPr>
        <w:t>21</w:t>
      </w:r>
      <w:r>
        <w:rPr>
          <w:rFonts w:ascii="Arial" w:hAnsi="Arial" w:cs="Arial"/>
          <w:sz w:val="24"/>
        </w:rPr>
        <w:t>.</w:t>
      </w:r>
      <w:r w:rsidRPr="00E841C8">
        <w:rPr>
          <w:rFonts w:ascii="Arial" w:hAnsi="Arial" w:cs="Arial"/>
          <w:sz w:val="24"/>
        </w:rPr>
        <w:t>188</w:t>
      </w:r>
      <w:r>
        <w:rPr>
          <w:rFonts w:ascii="Arial" w:hAnsi="Arial" w:cs="Arial"/>
          <w:sz w:val="24"/>
        </w:rPr>
        <w:t>.</w:t>
      </w:r>
      <w:r w:rsidRPr="00E841C8">
        <w:rPr>
          <w:rFonts w:ascii="Arial" w:hAnsi="Arial" w:cs="Arial"/>
          <w:sz w:val="24"/>
        </w:rPr>
        <w:t>141,33</w:t>
      </w:r>
      <w:r>
        <w:rPr>
          <w:rFonts w:ascii="Arial" w:hAnsi="Arial" w:cs="Arial"/>
          <w:sz w:val="24"/>
        </w:rPr>
        <w:t xml:space="preserve"> em 2004 para R$</w:t>
      </w:r>
      <w:r w:rsidRPr="00E841C8">
        <w:rPr>
          <w:rFonts w:ascii="Arial" w:hAnsi="Arial" w:cs="Arial"/>
          <w:sz w:val="24"/>
        </w:rPr>
        <w:t>111</w:t>
      </w:r>
      <w:r>
        <w:rPr>
          <w:rFonts w:ascii="Arial" w:hAnsi="Arial" w:cs="Arial"/>
          <w:sz w:val="24"/>
        </w:rPr>
        <w:t>.</w:t>
      </w:r>
      <w:r w:rsidRPr="00E841C8">
        <w:rPr>
          <w:rFonts w:ascii="Arial" w:hAnsi="Arial" w:cs="Arial"/>
          <w:sz w:val="24"/>
        </w:rPr>
        <w:t>657</w:t>
      </w:r>
      <w:r>
        <w:rPr>
          <w:rFonts w:ascii="Arial" w:hAnsi="Arial" w:cs="Arial"/>
          <w:sz w:val="24"/>
        </w:rPr>
        <w:t>.</w:t>
      </w:r>
      <w:r w:rsidRPr="00E841C8">
        <w:rPr>
          <w:rFonts w:ascii="Arial" w:hAnsi="Arial" w:cs="Arial"/>
          <w:sz w:val="24"/>
        </w:rPr>
        <w:t>529,22</w:t>
      </w:r>
      <w:r>
        <w:rPr>
          <w:rFonts w:ascii="Arial" w:hAnsi="Arial" w:cs="Arial"/>
          <w:sz w:val="24"/>
        </w:rPr>
        <w:t xml:space="preserve"> no exercício de 2013.</w:t>
      </w:r>
    </w:p>
    <w:p w:rsidR="004D6E9D" w:rsidRDefault="004D6E9D" w:rsidP="00327231">
      <w:pPr>
        <w:tabs>
          <w:tab w:val="left" w:pos="709"/>
        </w:tabs>
        <w:spacing w:after="0" w:line="360" w:lineRule="auto"/>
        <w:jc w:val="both"/>
        <w:rPr>
          <w:rFonts w:ascii="Arial" w:hAnsi="Arial" w:cs="Arial"/>
          <w:sz w:val="24"/>
        </w:rPr>
      </w:pPr>
    </w:p>
    <w:p w:rsidR="003877B0" w:rsidRPr="003877B0" w:rsidRDefault="003877B0" w:rsidP="003877B0">
      <w:pPr>
        <w:tabs>
          <w:tab w:val="left" w:pos="709"/>
        </w:tabs>
        <w:spacing w:line="240" w:lineRule="auto"/>
        <w:jc w:val="both"/>
        <w:rPr>
          <w:rFonts w:ascii="Arial" w:hAnsi="Arial" w:cs="Arial"/>
          <w:sz w:val="24"/>
          <w:szCs w:val="20"/>
        </w:rPr>
      </w:pPr>
      <w:r w:rsidRPr="003877B0">
        <w:rPr>
          <w:rFonts w:ascii="Arial" w:hAnsi="Arial" w:cs="Arial"/>
          <w:sz w:val="24"/>
          <w:szCs w:val="20"/>
        </w:rPr>
        <w:t>Gráfico 01 - Despesas com Pessoal e Encargos Sociais</w:t>
      </w:r>
      <w:r w:rsidR="00766A74">
        <w:rPr>
          <w:rFonts w:ascii="Arial" w:hAnsi="Arial" w:cs="Arial"/>
          <w:sz w:val="24"/>
          <w:szCs w:val="20"/>
        </w:rPr>
        <w:t xml:space="preserve"> 2004-2013</w:t>
      </w:r>
      <w:r w:rsidRPr="003877B0">
        <w:rPr>
          <w:rFonts w:ascii="Arial" w:hAnsi="Arial" w:cs="Arial"/>
          <w:sz w:val="24"/>
          <w:szCs w:val="20"/>
        </w:rPr>
        <w:t xml:space="preserve"> (Grupo 01)</w:t>
      </w:r>
    </w:p>
    <w:p w:rsidR="00327231" w:rsidRPr="00327231" w:rsidRDefault="00350260" w:rsidP="00327231">
      <w:pPr>
        <w:tabs>
          <w:tab w:val="left" w:pos="709"/>
        </w:tabs>
        <w:spacing w:after="0" w:line="360" w:lineRule="auto"/>
        <w:jc w:val="both"/>
        <w:rPr>
          <w:rFonts w:ascii="Arial" w:hAnsi="Arial" w:cs="Arial"/>
          <w:sz w:val="24"/>
        </w:rPr>
      </w:pPr>
      <w:r w:rsidRPr="00350260">
        <w:rPr>
          <w:rFonts w:ascii="Arial" w:hAnsi="Arial" w:cs="Arial"/>
          <w:noProof/>
          <w:sz w:val="24"/>
        </w:rPr>
        <w:drawing>
          <wp:inline distT="0" distB="0" distL="0" distR="0">
            <wp:extent cx="5766169" cy="2509284"/>
            <wp:effectExtent l="19050" t="0" r="25031" b="5316"/>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0CF7" w:rsidRPr="00A50CF7" w:rsidRDefault="00A50CF7" w:rsidP="00C7783A">
      <w:pPr>
        <w:tabs>
          <w:tab w:val="left" w:pos="709"/>
        </w:tabs>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226E01" w:rsidRDefault="00226E01" w:rsidP="00392EBF">
      <w:pPr>
        <w:tabs>
          <w:tab w:val="left" w:pos="709"/>
        </w:tabs>
        <w:spacing w:after="0" w:line="360" w:lineRule="auto"/>
        <w:jc w:val="both"/>
        <w:rPr>
          <w:rFonts w:ascii="Arial" w:hAnsi="Arial" w:cs="Arial"/>
          <w:sz w:val="24"/>
          <w:szCs w:val="20"/>
        </w:rPr>
      </w:pPr>
      <w:r>
        <w:rPr>
          <w:rFonts w:ascii="Arial" w:hAnsi="Arial" w:cs="Arial"/>
          <w:sz w:val="24"/>
          <w:szCs w:val="20"/>
        </w:rPr>
        <w:lastRenderedPageBreak/>
        <w:tab/>
      </w:r>
      <w:r w:rsidR="00A50CF7">
        <w:rPr>
          <w:rFonts w:ascii="Arial" w:hAnsi="Arial" w:cs="Arial"/>
          <w:sz w:val="24"/>
          <w:szCs w:val="20"/>
        </w:rPr>
        <w:t xml:space="preserve">Para uma melhor análise e compreensão do expressivo aumento nos gastos com pessoal, foi levantado o efetivo das forças policiais no período </w:t>
      </w:r>
      <w:r w:rsidR="00362DD7">
        <w:rPr>
          <w:rFonts w:ascii="Arial" w:hAnsi="Arial" w:cs="Arial"/>
          <w:sz w:val="24"/>
          <w:szCs w:val="20"/>
        </w:rPr>
        <w:t>avaliado</w:t>
      </w:r>
      <w:r w:rsidR="00B562AF">
        <w:rPr>
          <w:rFonts w:ascii="Arial" w:hAnsi="Arial" w:cs="Arial"/>
          <w:sz w:val="24"/>
          <w:szCs w:val="20"/>
        </w:rPr>
        <w:t>,</w:t>
      </w:r>
      <w:r w:rsidR="00D05FE3">
        <w:rPr>
          <w:rFonts w:ascii="Arial" w:hAnsi="Arial" w:cs="Arial"/>
          <w:sz w:val="24"/>
          <w:szCs w:val="20"/>
        </w:rPr>
        <w:t xml:space="preserve"> </w:t>
      </w:r>
      <w:r w:rsidR="00A50CF7">
        <w:rPr>
          <w:rFonts w:ascii="Arial" w:hAnsi="Arial" w:cs="Arial"/>
          <w:sz w:val="24"/>
          <w:szCs w:val="20"/>
        </w:rPr>
        <w:t>obtendo-se</w:t>
      </w:r>
      <w:r w:rsidR="00362DD7">
        <w:rPr>
          <w:rFonts w:ascii="Arial" w:hAnsi="Arial" w:cs="Arial"/>
          <w:sz w:val="24"/>
          <w:szCs w:val="20"/>
        </w:rPr>
        <w:t xml:space="preserve"> os dados dispostos no Gráfico 02, onde </w:t>
      </w:r>
      <w:r w:rsidR="00E77287">
        <w:rPr>
          <w:rFonts w:ascii="Arial" w:hAnsi="Arial" w:cs="Arial"/>
          <w:sz w:val="24"/>
          <w:szCs w:val="20"/>
        </w:rPr>
        <w:t>se observou</w:t>
      </w:r>
      <w:r w:rsidR="00D05FE3">
        <w:rPr>
          <w:rFonts w:ascii="Arial" w:hAnsi="Arial" w:cs="Arial"/>
          <w:sz w:val="24"/>
          <w:szCs w:val="20"/>
        </w:rPr>
        <w:t xml:space="preserve"> </w:t>
      </w:r>
      <w:r w:rsidR="00362DD7">
        <w:rPr>
          <w:rFonts w:ascii="Arial" w:hAnsi="Arial" w:cs="Arial"/>
          <w:sz w:val="24"/>
          <w:szCs w:val="20"/>
        </w:rPr>
        <w:t>que o quantitativo de Policiais Civis e Militares manteve-se praticamente inalterado, evidenciando, assim</w:t>
      </w:r>
      <w:r w:rsidR="00E826D6">
        <w:rPr>
          <w:rFonts w:ascii="Arial" w:hAnsi="Arial" w:cs="Arial"/>
          <w:sz w:val="24"/>
          <w:szCs w:val="20"/>
        </w:rPr>
        <w:t>,</w:t>
      </w:r>
      <w:r w:rsidR="00362DD7">
        <w:rPr>
          <w:rFonts w:ascii="Arial" w:hAnsi="Arial" w:cs="Arial"/>
          <w:sz w:val="24"/>
          <w:szCs w:val="20"/>
        </w:rPr>
        <w:t xml:space="preserve"> que houve aumento real na </w:t>
      </w:r>
      <w:r w:rsidR="00C7783A">
        <w:rPr>
          <w:rFonts w:ascii="Arial" w:hAnsi="Arial" w:cs="Arial"/>
          <w:sz w:val="24"/>
          <w:szCs w:val="20"/>
        </w:rPr>
        <w:t>remuneração dest</w:t>
      </w:r>
      <w:r w:rsidR="00B562AF">
        <w:rPr>
          <w:rFonts w:ascii="Arial" w:hAnsi="Arial" w:cs="Arial"/>
          <w:sz w:val="24"/>
          <w:szCs w:val="20"/>
        </w:rPr>
        <w:t>a</w:t>
      </w:r>
      <w:r w:rsidR="00C7783A">
        <w:rPr>
          <w:rFonts w:ascii="Arial" w:hAnsi="Arial" w:cs="Arial"/>
          <w:sz w:val="24"/>
          <w:szCs w:val="20"/>
        </w:rPr>
        <w:t xml:space="preserve">s </w:t>
      </w:r>
      <w:r w:rsidR="00B562AF">
        <w:rPr>
          <w:rFonts w:ascii="Arial" w:hAnsi="Arial" w:cs="Arial"/>
          <w:sz w:val="24"/>
          <w:szCs w:val="20"/>
        </w:rPr>
        <w:t xml:space="preserve">categorias de </w:t>
      </w:r>
      <w:r w:rsidR="00C7783A">
        <w:rPr>
          <w:rFonts w:ascii="Arial" w:hAnsi="Arial" w:cs="Arial"/>
          <w:sz w:val="24"/>
          <w:szCs w:val="20"/>
        </w:rPr>
        <w:t>servidores.</w:t>
      </w:r>
    </w:p>
    <w:p w:rsidR="00A70669" w:rsidRDefault="00A70669" w:rsidP="00392EBF">
      <w:pPr>
        <w:tabs>
          <w:tab w:val="left" w:pos="709"/>
        </w:tabs>
        <w:spacing w:after="0" w:line="360" w:lineRule="auto"/>
        <w:jc w:val="both"/>
        <w:rPr>
          <w:rFonts w:ascii="Arial" w:hAnsi="Arial" w:cs="Arial"/>
          <w:sz w:val="24"/>
          <w:szCs w:val="20"/>
        </w:rPr>
      </w:pPr>
    </w:p>
    <w:p w:rsidR="003877B0" w:rsidRPr="003877B0" w:rsidRDefault="003877B0" w:rsidP="003877B0">
      <w:pPr>
        <w:tabs>
          <w:tab w:val="left" w:pos="2897"/>
        </w:tabs>
        <w:spacing w:line="240" w:lineRule="auto"/>
        <w:jc w:val="both"/>
        <w:rPr>
          <w:rFonts w:ascii="Arial" w:hAnsi="Arial" w:cs="Arial"/>
          <w:sz w:val="24"/>
          <w:szCs w:val="20"/>
        </w:rPr>
      </w:pPr>
      <w:r w:rsidRPr="003877B0">
        <w:rPr>
          <w:rFonts w:ascii="Arial" w:hAnsi="Arial" w:cs="Arial"/>
          <w:sz w:val="24"/>
          <w:szCs w:val="20"/>
        </w:rPr>
        <w:t>Gráfico 02 – Efetivo Policial</w:t>
      </w:r>
      <w:r w:rsidR="00766A74">
        <w:rPr>
          <w:rFonts w:ascii="Arial" w:hAnsi="Arial" w:cs="Arial"/>
          <w:sz w:val="24"/>
          <w:szCs w:val="20"/>
        </w:rPr>
        <w:t xml:space="preserve"> no Estado de Goiás 2004-2011</w:t>
      </w:r>
    </w:p>
    <w:p w:rsidR="00C7783A" w:rsidRDefault="00C7783A" w:rsidP="003877B0">
      <w:pPr>
        <w:tabs>
          <w:tab w:val="left" w:pos="709"/>
        </w:tabs>
        <w:spacing w:after="0" w:line="360" w:lineRule="auto"/>
        <w:jc w:val="both"/>
        <w:rPr>
          <w:rFonts w:ascii="Arial" w:hAnsi="Arial" w:cs="Arial"/>
          <w:sz w:val="24"/>
          <w:szCs w:val="20"/>
        </w:rPr>
      </w:pPr>
      <w:r w:rsidRPr="00C7783A">
        <w:rPr>
          <w:rFonts w:ascii="Arial" w:hAnsi="Arial" w:cs="Arial"/>
          <w:noProof/>
          <w:sz w:val="24"/>
          <w:szCs w:val="20"/>
        </w:rPr>
        <w:drawing>
          <wp:inline distT="0" distB="0" distL="0" distR="0">
            <wp:extent cx="5717289" cy="2339162"/>
            <wp:effectExtent l="19050" t="0" r="16761" b="3988"/>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783A" w:rsidRDefault="00C7783A" w:rsidP="003877B0">
      <w:pPr>
        <w:tabs>
          <w:tab w:val="left" w:pos="2897"/>
        </w:tabs>
        <w:spacing w:after="0" w:line="240" w:lineRule="auto"/>
        <w:jc w:val="both"/>
        <w:rPr>
          <w:rFonts w:ascii="Arial" w:hAnsi="Arial" w:cs="Arial"/>
          <w:sz w:val="20"/>
          <w:szCs w:val="20"/>
        </w:rPr>
      </w:pPr>
      <w:r>
        <w:rPr>
          <w:rFonts w:ascii="Arial" w:hAnsi="Arial" w:cs="Arial"/>
          <w:sz w:val="20"/>
          <w:szCs w:val="20"/>
        </w:rPr>
        <w:t>Fonte: Anuários de Segurança Pública</w:t>
      </w:r>
    </w:p>
    <w:p w:rsidR="00F07DB4" w:rsidRDefault="00B53597" w:rsidP="003877B0">
      <w:pPr>
        <w:spacing w:after="0" w:line="360" w:lineRule="auto"/>
        <w:jc w:val="both"/>
        <w:rPr>
          <w:rFonts w:ascii="Arial" w:hAnsi="Arial" w:cs="Arial"/>
          <w:sz w:val="24"/>
          <w:szCs w:val="20"/>
        </w:rPr>
      </w:pPr>
      <w:r>
        <w:rPr>
          <w:rFonts w:ascii="Arial" w:hAnsi="Arial" w:cs="Arial"/>
          <w:sz w:val="24"/>
          <w:szCs w:val="20"/>
        </w:rPr>
        <w:tab/>
      </w:r>
    </w:p>
    <w:p w:rsidR="002E4F1D" w:rsidRDefault="00B53597" w:rsidP="00F07DB4">
      <w:pPr>
        <w:spacing w:after="0" w:line="360" w:lineRule="auto"/>
        <w:ind w:firstLine="708"/>
        <w:jc w:val="both"/>
        <w:rPr>
          <w:rFonts w:ascii="Arial" w:hAnsi="Arial" w:cs="Arial"/>
          <w:sz w:val="24"/>
          <w:szCs w:val="20"/>
        </w:rPr>
      </w:pPr>
      <w:r>
        <w:rPr>
          <w:rFonts w:ascii="Arial" w:hAnsi="Arial" w:cs="Arial"/>
          <w:sz w:val="24"/>
          <w:szCs w:val="20"/>
        </w:rPr>
        <w:t xml:space="preserve">No levantamento dos dados relativos às despesas do Grupo 03 – </w:t>
      </w:r>
      <w:r w:rsidR="0093161E">
        <w:rPr>
          <w:rFonts w:ascii="Arial" w:hAnsi="Arial" w:cs="Arial"/>
          <w:sz w:val="24"/>
          <w:szCs w:val="20"/>
        </w:rPr>
        <w:t xml:space="preserve">Outras </w:t>
      </w:r>
      <w:r>
        <w:rPr>
          <w:rFonts w:ascii="Arial" w:hAnsi="Arial" w:cs="Arial"/>
          <w:sz w:val="24"/>
          <w:szCs w:val="20"/>
        </w:rPr>
        <w:t>Despesas Correntes (Gráfico 03)</w:t>
      </w:r>
      <w:r w:rsidR="00CA658F">
        <w:rPr>
          <w:rFonts w:ascii="Arial" w:hAnsi="Arial" w:cs="Arial"/>
          <w:sz w:val="24"/>
          <w:szCs w:val="20"/>
        </w:rPr>
        <w:t>,</w:t>
      </w:r>
      <w:r w:rsidR="00EC0DFA">
        <w:rPr>
          <w:rFonts w:ascii="Arial" w:hAnsi="Arial" w:cs="Arial"/>
          <w:sz w:val="24"/>
          <w:szCs w:val="20"/>
        </w:rPr>
        <w:t xml:space="preserve"> o crescimento mais expressivo se deu no </w:t>
      </w:r>
      <w:r w:rsidR="00EC0DFA" w:rsidRPr="00EC0DFA">
        <w:rPr>
          <w:rFonts w:ascii="Arial" w:hAnsi="Arial" w:cs="Arial"/>
          <w:sz w:val="24"/>
          <w:szCs w:val="20"/>
        </w:rPr>
        <w:t xml:space="preserve">Fundo Estadual </w:t>
      </w:r>
      <w:r w:rsidR="00EC0DFA">
        <w:rPr>
          <w:rFonts w:ascii="Arial" w:hAnsi="Arial" w:cs="Arial"/>
          <w:sz w:val="24"/>
          <w:szCs w:val="20"/>
        </w:rPr>
        <w:t>d</w:t>
      </w:r>
      <w:r w:rsidR="00EC0DFA" w:rsidRPr="00EC0DFA">
        <w:rPr>
          <w:rFonts w:ascii="Arial" w:hAnsi="Arial" w:cs="Arial"/>
          <w:sz w:val="24"/>
          <w:szCs w:val="20"/>
        </w:rPr>
        <w:t xml:space="preserve">e Segurança Pública </w:t>
      </w:r>
      <w:r w:rsidR="00EC0DFA">
        <w:rPr>
          <w:rFonts w:ascii="Arial" w:hAnsi="Arial" w:cs="Arial"/>
          <w:sz w:val="24"/>
          <w:szCs w:val="20"/>
        </w:rPr>
        <w:t>–</w:t>
      </w:r>
      <w:r w:rsidR="00EC0DFA" w:rsidRPr="00EC0DFA">
        <w:rPr>
          <w:rFonts w:ascii="Arial" w:hAnsi="Arial" w:cs="Arial"/>
          <w:sz w:val="24"/>
          <w:szCs w:val="20"/>
        </w:rPr>
        <w:t xml:space="preserve"> F</w:t>
      </w:r>
      <w:r w:rsidR="00EC0DFA">
        <w:rPr>
          <w:rFonts w:ascii="Arial" w:hAnsi="Arial" w:cs="Arial"/>
          <w:sz w:val="24"/>
          <w:szCs w:val="20"/>
        </w:rPr>
        <w:t>UNESP, saltando de R$</w:t>
      </w:r>
      <w:r w:rsidR="00EC0DFA" w:rsidRPr="00EC0DFA">
        <w:rPr>
          <w:rFonts w:ascii="Arial" w:hAnsi="Arial" w:cs="Arial"/>
          <w:sz w:val="24"/>
          <w:szCs w:val="20"/>
        </w:rPr>
        <w:t>3</w:t>
      </w:r>
      <w:r w:rsidR="00EC0DFA">
        <w:rPr>
          <w:rFonts w:ascii="Arial" w:hAnsi="Arial" w:cs="Arial"/>
          <w:sz w:val="24"/>
          <w:szCs w:val="20"/>
        </w:rPr>
        <w:t>.</w:t>
      </w:r>
      <w:r w:rsidR="00EC0DFA" w:rsidRPr="00EC0DFA">
        <w:rPr>
          <w:rFonts w:ascii="Arial" w:hAnsi="Arial" w:cs="Arial"/>
          <w:sz w:val="24"/>
          <w:szCs w:val="20"/>
        </w:rPr>
        <w:t>508</w:t>
      </w:r>
      <w:r w:rsidR="00EC0DFA">
        <w:rPr>
          <w:rFonts w:ascii="Arial" w:hAnsi="Arial" w:cs="Arial"/>
          <w:sz w:val="24"/>
          <w:szCs w:val="20"/>
        </w:rPr>
        <w:t>.</w:t>
      </w:r>
      <w:r w:rsidR="00EC0DFA" w:rsidRPr="00EC0DFA">
        <w:rPr>
          <w:rFonts w:ascii="Arial" w:hAnsi="Arial" w:cs="Arial"/>
          <w:sz w:val="24"/>
          <w:szCs w:val="20"/>
        </w:rPr>
        <w:t>168,67</w:t>
      </w:r>
      <w:r w:rsidR="00EC0DFA">
        <w:rPr>
          <w:rFonts w:ascii="Arial" w:hAnsi="Arial" w:cs="Arial"/>
          <w:sz w:val="24"/>
          <w:szCs w:val="20"/>
        </w:rPr>
        <w:t xml:space="preserve"> em 2004 para R$</w:t>
      </w:r>
      <w:r w:rsidR="00EC0DFA" w:rsidRPr="00EC0DFA">
        <w:rPr>
          <w:rFonts w:ascii="Arial" w:hAnsi="Arial" w:cs="Arial"/>
          <w:sz w:val="24"/>
          <w:szCs w:val="20"/>
        </w:rPr>
        <w:t>57</w:t>
      </w:r>
      <w:r w:rsidR="00EC0DFA">
        <w:rPr>
          <w:rFonts w:ascii="Arial" w:hAnsi="Arial" w:cs="Arial"/>
          <w:sz w:val="24"/>
          <w:szCs w:val="20"/>
        </w:rPr>
        <w:t>.</w:t>
      </w:r>
      <w:r w:rsidR="00EC0DFA" w:rsidRPr="00EC0DFA">
        <w:rPr>
          <w:rFonts w:ascii="Arial" w:hAnsi="Arial" w:cs="Arial"/>
          <w:sz w:val="24"/>
          <w:szCs w:val="20"/>
        </w:rPr>
        <w:t>883</w:t>
      </w:r>
      <w:r w:rsidR="00EC0DFA">
        <w:rPr>
          <w:rFonts w:ascii="Arial" w:hAnsi="Arial" w:cs="Arial"/>
          <w:sz w:val="24"/>
          <w:szCs w:val="20"/>
        </w:rPr>
        <w:t>.</w:t>
      </w:r>
      <w:r w:rsidR="00EC0DFA" w:rsidRPr="00EC0DFA">
        <w:rPr>
          <w:rFonts w:ascii="Arial" w:hAnsi="Arial" w:cs="Arial"/>
          <w:sz w:val="24"/>
          <w:szCs w:val="20"/>
        </w:rPr>
        <w:t>884,63</w:t>
      </w:r>
      <w:r w:rsidR="00EC0DFA">
        <w:rPr>
          <w:rFonts w:ascii="Arial" w:hAnsi="Arial" w:cs="Arial"/>
          <w:sz w:val="24"/>
          <w:szCs w:val="20"/>
        </w:rPr>
        <w:t xml:space="preserve"> em 2013, representando um aumento de 1.550%</w:t>
      </w:r>
      <w:r w:rsidR="002E4F1D">
        <w:rPr>
          <w:rFonts w:ascii="Arial" w:hAnsi="Arial" w:cs="Arial"/>
          <w:sz w:val="24"/>
          <w:szCs w:val="20"/>
        </w:rPr>
        <w:t>.</w:t>
      </w:r>
    </w:p>
    <w:p w:rsidR="00B53597" w:rsidRDefault="00FC0675" w:rsidP="00F07DB4">
      <w:pPr>
        <w:spacing w:after="0" w:line="360" w:lineRule="auto"/>
        <w:ind w:firstLine="708"/>
        <w:jc w:val="both"/>
        <w:rPr>
          <w:rFonts w:ascii="Arial" w:hAnsi="Arial" w:cs="Arial"/>
          <w:sz w:val="24"/>
          <w:szCs w:val="20"/>
        </w:rPr>
      </w:pPr>
      <w:r>
        <w:rPr>
          <w:rFonts w:ascii="Arial" w:hAnsi="Arial" w:cs="Arial"/>
          <w:sz w:val="24"/>
          <w:szCs w:val="20"/>
        </w:rPr>
        <w:t>Demonstrando a mesma tendência, as Polícias Civil e Militar apresentaram crescimento de 161,48% e 71,45% respectivamente. Em valores absolutos a Polícia Civil realizou despesas correntes de R$</w:t>
      </w:r>
      <w:r w:rsidRPr="00FC0675">
        <w:rPr>
          <w:rFonts w:ascii="Arial" w:hAnsi="Arial" w:cs="Arial"/>
          <w:sz w:val="24"/>
          <w:szCs w:val="20"/>
        </w:rPr>
        <w:t>8</w:t>
      </w:r>
      <w:r>
        <w:rPr>
          <w:rFonts w:ascii="Arial" w:hAnsi="Arial" w:cs="Arial"/>
          <w:sz w:val="24"/>
          <w:szCs w:val="20"/>
        </w:rPr>
        <w:t>.</w:t>
      </w:r>
      <w:r w:rsidRPr="00FC0675">
        <w:rPr>
          <w:rFonts w:ascii="Arial" w:hAnsi="Arial" w:cs="Arial"/>
          <w:sz w:val="24"/>
          <w:szCs w:val="20"/>
        </w:rPr>
        <w:t>666</w:t>
      </w:r>
      <w:r>
        <w:rPr>
          <w:rFonts w:ascii="Arial" w:hAnsi="Arial" w:cs="Arial"/>
          <w:sz w:val="24"/>
          <w:szCs w:val="20"/>
        </w:rPr>
        <w:t>.</w:t>
      </w:r>
      <w:r w:rsidRPr="00FC0675">
        <w:rPr>
          <w:rFonts w:ascii="Arial" w:hAnsi="Arial" w:cs="Arial"/>
          <w:sz w:val="24"/>
          <w:szCs w:val="20"/>
        </w:rPr>
        <w:t>074,29</w:t>
      </w:r>
      <w:r>
        <w:rPr>
          <w:rFonts w:ascii="Arial" w:hAnsi="Arial" w:cs="Arial"/>
          <w:sz w:val="24"/>
          <w:szCs w:val="20"/>
        </w:rPr>
        <w:t xml:space="preserve"> em 2004, passando a R$</w:t>
      </w:r>
      <w:r w:rsidRPr="00FC0675">
        <w:rPr>
          <w:rFonts w:ascii="Arial" w:hAnsi="Arial" w:cs="Arial"/>
          <w:sz w:val="24"/>
          <w:szCs w:val="20"/>
        </w:rPr>
        <w:t>22</w:t>
      </w:r>
      <w:r>
        <w:rPr>
          <w:rFonts w:ascii="Arial" w:hAnsi="Arial" w:cs="Arial"/>
          <w:sz w:val="24"/>
          <w:szCs w:val="20"/>
        </w:rPr>
        <w:t>.</w:t>
      </w:r>
      <w:r w:rsidRPr="00FC0675">
        <w:rPr>
          <w:rFonts w:ascii="Arial" w:hAnsi="Arial" w:cs="Arial"/>
          <w:sz w:val="24"/>
          <w:szCs w:val="20"/>
        </w:rPr>
        <w:t>660</w:t>
      </w:r>
      <w:r>
        <w:rPr>
          <w:rFonts w:ascii="Arial" w:hAnsi="Arial" w:cs="Arial"/>
          <w:sz w:val="24"/>
          <w:szCs w:val="20"/>
        </w:rPr>
        <w:t>.</w:t>
      </w:r>
      <w:r w:rsidRPr="00FC0675">
        <w:rPr>
          <w:rFonts w:ascii="Arial" w:hAnsi="Arial" w:cs="Arial"/>
          <w:sz w:val="24"/>
          <w:szCs w:val="20"/>
        </w:rPr>
        <w:t>251,09</w:t>
      </w:r>
      <w:r>
        <w:rPr>
          <w:rFonts w:ascii="Arial" w:hAnsi="Arial" w:cs="Arial"/>
          <w:sz w:val="24"/>
          <w:szCs w:val="20"/>
        </w:rPr>
        <w:t xml:space="preserve"> no exercício de 2013. Da mesma forma, a Polícia Militar </w:t>
      </w:r>
      <w:r w:rsidR="003A34BC">
        <w:rPr>
          <w:rFonts w:ascii="Arial" w:hAnsi="Arial" w:cs="Arial"/>
          <w:sz w:val="24"/>
          <w:szCs w:val="20"/>
        </w:rPr>
        <w:t>demonstr</w:t>
      </w:r>
      <w:r w:rsidR="00E034C2">
        <w:rPr>
          <w:rFonts w:ascii="Arial" w:hAnsi="Arial" w:cs="Arial"/>
          <w:sz w:val="24"/>
          <w:szCs w:val="20"/>
        </w:rPr>
        <w:t>ou</w:t>
      </w:r>
      <w:r w:rsidR="003A34BC">
        <w:rPr>
          <w:rFonts w:ascii="Arial" w:hAnsi="Arial" w:cs="Arial"/>
          <w:sz w:val="24"/>
          <w:szCs w:val="20"/>
        </w:rPr>
        <w:t xml:space="preserve"> despesas na ordem de R$</w:t>
      </w:r>
      <w:r w:rsidR="003A34BC" w:rsidRPr="003A34BC">
        <w:rPr>
          <w:rFonts w:ascii="Arial" w:hAnsi="Arial" w:cs="Arial"/>
          <w:sz w:val="24"/>
          <w:szCs w:val="20"/>
        </w:rPr>
        <w:t>19</w:t>
      </w:r>
      <w:r w:rsidR="003A34BC">
        <w:rPr>
          <w:rFonts w:ascii="Arial" w:hAnsi="Arial" w:cs="Arial"/>
          <w:sz w:val="24"/>
          <w:szCs w:val="20"/>
        </w:rPr>
        <w:t>.</w:t>
      </w:r>
      <w:r w:rsidR="003A34BC" w:rsidRPr="003A34BC">
        <w:rPr>
          <w:rFonts w:ascii="Arial" w:hAnsi="Arial" w:cs="Arial"/>
          <w:sz w:val="24"/>
          <w:szCs w:val="20"/>
        </w:rPr>
        <w:t>821</w:t>
      </w:r>
      <w:r w:rsidR="003A34BC">
        <w:rPr>
          <w:rFonts w:ascii="Arial" w:hAnsi="Arial" w:cs="Arial"/>
          <w:sz w:val="24"/>
          <w:szCs w:val="20"/>
        </w:rPr>
        <w:t>.</w:t>
      </w:r>
      <w:r w:rsidR="003A34BC" w:rsidRPr="003A34BC">
        <w:rPr>
          <w:rFonts w:ascii="Arial" w:hAnsi="Arial" w:cs="Arial"/>
          <w:sz w:val="24"/>
          <w:szCs w:val="20"/>
        </w:rPr>
        <w:t>713,34</w:t>
      </w:r>
      <w:r w:rsidR="003A34BC">
        <w:rPr>
          <w:rFonts w:ascii="Arial" w:hAnsi="Arial" w:cs="Arial"/>
          <w:sz w:val="24"/>
          <w:szCs w:val="20"/>
        </w:rPr>
        <w:t xml:space="preserve"> em 2004 e R$</w:t>
      </w:r>
      <w:r w:rsidR="003A34BC" w:rsidRPr="003A34BC">
        <w:rPr>
          <w:rFonts w:ascii="Arial" w:hAnsi="Arial" w:cs="Arial"/>
          <w:sz w:val="24"/>
          <w:szCs w:val="20"/>
        </w:rPr>
        <w:t>33</w:t>
      </w:r>
      <w:r w:rsidR="003A34BC">
        <w:rPr>
          <w:rFonts w:ascii="Arial" w:hAnsi="Arial" w:cs="Arial"/>
          <w:sz w:val="24"/>
          <w:szCs w:val="20"/>
        </w:rPr>
        <w:t>.</w:t>
      </w:r>
      <w:r w:rsidR="003A34BC" w:rsidRPr="003A34BC">
        <w:rPr>
          <w:rFonts w:ascii="Arial" w:hAnsi="Arial" w:cs="Arial"/>
          <w:sz w:val="24"/>
          <w:szCs w:val="20"/>
        </w:rPr>
        <w:t>984</w:t>
      </w:r>
      <w:r w:rsidR="003A34BC">
        <w:rPr>
          <w:rFonts w:ascii="Arial" w:hAnsi="Arial" w:cs="Arial"/>
          <w:sz w:val="24"/>
          <w:szCs w:val="20"/>
        </w:rPr>
        <w:t>.</w:t>
      </w:r>
      <w:r w:rsidR="003A34BC" w:rsidRPr="003A34BC">
        <w:rPr>
          <w:rFonts w:ascii="Arial" w:hAnsi="Arial" w:cs="Arial"/>
          <w:sz w:val="24"/>
          <w:szCs w:val="20"/>
        </w:rPr>
        <w:t>379,21</w:t>
      </w:r>
      <w:r w:rsidR="002E4F1D">
        <w:rPr>
          <w:rFonts w:ascii="Arial" w:hAnsi="Arial" w:cs="Arial"/>
          <w:sz w:val="24"/>
          <w:szCs w:val="20"/>
        </w:rPr>
        <w:t xml:space="preserve"> </w:t>
      </w:r>
      <w:r w:rsidR="003A34BC">
        <w:rPr>
          <w:rFonts w:ascii="Arial" w:hAnsi="Arial" w:cs="Arial"/>
          <w:sz w:val="24"/>
          <w:szCs w:val="20"/>
        </w:rPr>
        <w:t>em 2013.</w:t>
      </w:r>
    </w:p>
    <w:p w:rsidR="00FB1CB4" w:rsidRDefault="00FB1CB4" w:rsidP="00B53597">
      <w:pPr>
        <w:spacing w:after="0" w:line="360" w:lineRule="auto"/>
        <w:jc w:val="both"/>
        <w:rPr>
          <w:rFonts w:ascii="Arial" w:hAnsi="Arial" w:cs="Arial"/>
          <w:sz w:val="24"/>
          <w:szCs w:val="20"/>
        </w:rPr>
      </w:pPr>
      <w:r>
        <w:rPr>
          <w:rFonts w:ascii="Arial" w:hAnsi="Arial" w:cs="Arial"/>
          <w:sz w:val="24"/>
          <w:szCs w:val="20"/>
        </w:rPr>
        <w:tab/>
        <w:t>Em relação às Secretarias de Segurança Pública e Administração Penitenciária e Justiça, ambas apresentam série histórica discorde, variando, no decorrer do período, de R$</w:t>
      </w:r>
      <w:r w:rsidRPr="00FB1CB4">
        <w:rPr>
          <w:rFonts w:ascii="Arial" w:hAnsi="Arial" w:cs="Arial"/>
          <w:sz w:val="24"/>
          <w:szCs w:val="20"/>
        </w:rPr>
        <w:t>5</w:t>
      </w:r>
      <w:r>
        <w:rPr>
          <w:rFonts w:ascii="Arial" w:hAnsi="Arial" w:cs="Arial"/>
          <w:sz w:val="24"/>
          <w:szCs w:val="20"/>
        </w:rPr>
        <w:t>.</w:t>
      </w:r>
      <w:r w:rsidRPr="00FB1CB4">
        <w:rPr>
          <w:rFonts w:ascii="Arial" w:hAnsi="Arial" w:cs="Arial"/>
          <w:sz w:val="24"/>
          <w:szCs w:val="20"/>
        </w:rPr>
        <w:t>054</w:t>
      </w:r>
      <w:r>
        <w:rPr>
          <w:rFonts w:ascii="Arial" w:hAnsi="Arial" w:cs="Arial"/>
          <w:sz w:val="24"/>
          <w:szCs w:val="20"/>
        </w:rPr>
        <w:t>.</w:t>
      </w:r>
      <w:r w:rsidRPr="00FB1CB4">
        <w:rPr>
          <w:rFonts w:ascii="Arial" w:hAnsi="Arial" w:cs="Arial"/>
          <w:sz w:val="24"/>
          <w:szCs w:val="20"/>
        </w:rPr>
        <w:t>408,1</w:t>
      </w:r>
      <w:r>
        <w:rPr>
          <w:rFonts w:ascii="Arial" w:hAnsi="Arial" w:cs="Arial"/>
          <w:sz w:val="24"/>
          <w:szCs w:val="20"/>
        </w:rPr>
        <w:t>0 a R$</w:t>
      </w:r>
      <w:r w:rsidRPr="00FB1CB4">
        <w:rPr>
          <w:rFonts w:ascii="Arial" w:hAnsi="Arial" w:cs="Arial"/>
          <w:sz w:val="24"/>
          <w:szCs w:val="20"/>
        </w:rPr>
        <w:t>34</w:t>
      </w:r>
      <w:r>
        <w:rPr>
          <w:rFonts w:ascii="Arial" w:hAnsi="Arial" w:cs="Arial"/>
          <w:sz w:val="24"/>
          <w:szCs w:val="20"/>
        </w:rPr>
        <w:t>.</w:t>
      </w:r>
      <w:r w:rsidRPr="00FB1CB4">
        <w:rPr>
          <w:rFonts w:ascii="Arial" w:hAnsi="Arial" w:cs="Arial"/>
          <w:sz w:val="24"/>
          <w:szCs w:val="20"/>
        </w:rPr>
        <w:t>877</w:t>
      </w:r>
      <w:r>
        <w:rPr>
          <w:rFonts w:ascii="Arial" w:hAnsi="Arial" w:cs="Arial"/>
          <w:sz w:val="24"/>
          <w:szCs w:val="20"/>
        </w:rPr>
        <w:t>.</w:t>
      </w:r>
      <w:r w:rsidRPr="00FB1CB4">
        <w:rPr>
          <w:rFonts w:ascii="Arial" w:hAnsi="Arial" w:cs="Arial"/>
          <w:sz w:val="24"/>
          <w:szCs w:val="20"/>
        </w:rPr>
        <w:t>759,93</w:t>
      </w:r>
      <w:r>
        <w:rPr>
          <w:rFonts w:ascii="Arial" w:hAnsi="Arial" w:cs="Arial"/>
          <w:sz w:val="24"/>
          <w:szCs w:val="20"/>
        </w:rPr>
        <w:t xml:space="preserve"> no caso da Secretaria de Segurança Pública e de R$</w:t>
      </w:r>
      <w:r w:rsidRPr="00FB1CB4">
        <w:rPr>
          <w:rFonts w:ascii="Arial" w:hAnsi="Arial" w:cs="Arial"/>
          <w:sz w:val="24"/>
          <w:szCs w:val="20"/>
        </w:rPr>
        <w:t>1.697.370,99</w:t>
      </w:r>
      <w:r>
        <w:rPr>
          <w:rFonts w:ascii="Arial" w:hAnsi="Arial" w:cs="Arial"/>
          <w:sz w:val="24"/>
          <w:szCs w:val="20"/>
        </w:rPr>
        <w:t xml:space="preserve"> a R$</w:t>
      </w:r>
      <w:r w:rsidRPr="00FB1CB4">
        <w:rPr>
          <w:rFonts w:ascii="Arial" w:hAnsi="Arial" w:cs="Arial"/>
          <w:sz w:val="24"/>
          <w:szCs w:val="20"/>
        </w:rPr>
        <w:t>58</w:t>
      </w:r>
      <w:r>
        <w:rPr>
          <w:rFonts w:ascii="Arial" w:hAnsi="Arial" w:cs="Arial"/>
          <w:sz w:val="24"/>
          <w:szCs w:val="20"/>
        </w:rPr>
        <w:t>.</w:t>
      </w:r>
      <w:r w:rsidRPr="00FB1CB4">
        <w:rPr>
          <w:rFonts w:ascii="Arial" w:hAnsi="Arial" w:cs="Arial"/>
          <w:sz w:val="24"/>
          <w:szCs w:val="20"/>
        </w:rPr>
        <w:t>607</w:t>
      </w:r>
      <w:r>
        <w:rPr>
          <w:rFonts w:ascii="Arial" w:hAnsi="Arial" w:cs="Arial"/>
          <w:sz w:val="24"/>
          <w:szCs w:val="20"/>
        </w:rPr>
        <w:t>.</w:t>
      </w:r>
      <w:r w:rsidRPr="00FB1CB4">
        <w:rPr>
          <w:rFonts w:ascii="Arial" w:hAnsi="Arial" w:cs="Arial"/>
          <w:sz w:val="24"/>
          <w:szCs w:val="20"/>
        </w:rPr>
        <w:t>978,6</w:t>
      </w:r>
      <w:r>
        <w:rPr>
          <w:rFonts w:ascii="Arial" w:hAnsi="Arial" w:cs="Arial"/>
          <w:sz w:val="24"/>
          <w:szCs w:val="20"/>
        </w:rPr>
        <w:t xml:space="preserve"> na Secretaria de Administração Penitenciária e Justiça.</w:t>
      </w:r>
    </w:p>
    <w:p w:rsidR="003877B0" w:rsidRDefault="003877B0" w:rsidP="00B53597">
      <w:pPr>
        <w:spacing w:after="0" w:line="360" w:lineRule="auto"/>
        <w:jc w:val="both"/>
        <w:rPr>
          <w:rFonts w:ascii="Arial" w:hAnsi="Arial" w:cs="Arial"/>
          <w:sz w:val="24"/>
          <w:szCs w:val="20"/>
        </w:rPr>
      </w:pPr>
    </w:p>
    <w:p w:rsidR="003877B0" w:rsidRPr="003877B0" w:rsidRDefault="003877B0" w:rsidP="003877B0">
      <w:pPr>
        <w:tabs>
          <w:tab w:val="left" w:pos="709"/>
        </w:tabs>
        <w:spacing w:line="240" w:lineRule="auto"/>
        <w:jc w:val="both"/>
        <w:rPr>
          <w:rFonts w:ascii="Arial" w:hAnsi="Arial" w:cs="Arial"/>
          <w:sz w:val="24"/>
          <w:szCs w:val="20"/>
        </w:rPr>
      </w:pPr>
      <w:r w:rsidRPr="003877B0">
        <w:rPr>
          <w:rFonts w:ascii="Arial" w:hAnsi="Arial" w:cs="Arial"/>
          <w:sz w:val="24"/>
          <w:szCs w:val="20"/>
        </w:rPr>
        <w:lastRenderedPageBreak/>
        <w:t>Gráfico 03 – Outras Despesas Correntes (Grupo 03)</w:t>
      </w:r>
      <w:r w:rsidR="00766A74">
        <w:rPr>
          <w:rFonts w:ascii="Arial" w:hAnsi="Arial" w:cs="Arial"/>
          <w:sz w:val="24"/>
          <w:szCs w:val="20"/>
        </w:rPr>
        <w:t xml:space="preserve"> 2004-2013</w:t>
      </w:r>
    </w:p>
    <w:p w:rsidR="00CA658F" w:rsidRDefault="00CA658F" w:rsidP="002605B1">
      <w:pPr>
        <w:spacing w:after="0" w:line="360" w:lineRule="auto"/>
        <w:jc w:val="both"/>
        <w:rPr>
          <w:rFonts w:ascii="Arial" w:hAnsi="Arial" w:cs="Arial"/>
          <w:sz w:val="24"/>
          <w:szCs w:val="20"/>
        </w:rPr>
      </w:pPr>
      <w:r w:rsidRPr="00CA658F">
        <w:rPr>
          <w:rFonts w:ascii="Arial" w:hAnsi="Arial" w:cs="Arial"/>
          <w:noProof/>
          <w:sz w:val="24"/>
          <w:szCs w:val="20"/>
        </w:rPr>
        <w:drawing>
          <wp:inline distT="0" distB="0" distL="0" distR="0">
            <wp:extent cx="5711899" cy="3364806"/>
            <wp:effectExtent l="19050" t="0" r="22151" b="7044"/>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658F" w:rsidRPr="00A50CF7" w:rsidRDefault="00CA658F" w:rsidP="00CA658F">
      <w:pPr>
        <w:tabs>
          <w:tab w:val="left" w:pos="709"/>
        </w:tabs>
        <w:spacing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5F3228" w:rsidRDefault="005F3228" w:rsidP="00CF2FA7">
      <w:pPr>
        <w:spacing w:after="0"/>
        <w:rPr>
          <w:rFonts w:ascii="Arial" w:hAnsi="Arial" w:cs="Arial"/>
          <w:sz w:val="24"/>
          <w:szCs w:val="20"/>
        </w:rPr>
      </w:pPr>
    </w:p>
    <w:p w:rsidR="00C5360F" w:rsidRDefault="00C5360F" w:rsidP="004828A1">
      <w:pPr>
        <w:spacing w:after="0" w:line="360" w:lineRule="auto"/>
        <w:rPr>
          <w:rFonts w:ascii="Arial" w:hAnsi="Arial" w:cs="Arial"/>
          <w:sz w:val="24"/>
          <w:szCs w:val="20"/>
        </w:rPr>
      </w:pPr>
      <w:r>
        <w:rPr>
          <w:rFonts w:ascii="Arial" w:hAnsi="Arial" w:cs="Arial"/>
          <w:sz w:val="24"/>
          <w:szCs w:val="20"/>
        </w:rPr>
        <w:tab/>
        <w:t>Diante da amplitude dos tipos de gastos que envolvem as Despesas do Grupo 03 – Outras Despesas Correntes, para uma melhor análise dos dados obtidos, fez-se necessário o desdobramento destas despesas</w:t>
      </w:r>
      <w:r w:rsidR="00451895">
        <w:rPr>
          <w:rFonts w:ascii="Arial" w:hAnsi="Arial" w:cs="Arial"/>
          <w:sz w:val="24"/>
          <w:szCs w:val="20"/>
        </w:rPr>
        <w:t>,</w:t>
      </w:r>
      <w:r>
        <w:rPr>
          <w:rFonts w:ascii="Arial" w:hAnsi="Arial" w:cs="Arial"/>
          <w:sz w:val="24"/>
          <w:szCs w:val="20"/>
        </w:rPr>
        <w:t xml:space="preserve"> considerando a somatória dos 10 exercícios an</w:t>
      </w:r>
      <w:r w:rsidR="00CF2FA7">
        <w:rPr>
          <w:rFonts w:ascii="Arial" w:hAnsi="Arial" w:cs="Arial"/>
          <w:sz w:val="24"/>
          <w:szCs w:val="20"/>
        </w:rPr>
        <w:t>alisados, onde se constatou grande concentração dos gastos em itens específicos de despesa.</w:t>
      </w:r>
    </w:p>
    <w:p w:rsidR="00F53353" w:rsidRDefault="00CF2FA7" w:rsidP="004828A1">
      <w:pPr>
        <w:spacing w:after="0" w:line="360" w:lineRule="auto"/>
        <w:jc w:val="both"/>
        <w:rPr>
          <w:rFonts w:ascii="Arial" w:hAnsi="Arial" w:cs="Arial"/>
          <w:sz w:val="24"/>
          <w:szCs w:val="20"/>
        </w:rPr>
      </w:pPr>
      <w:r>
        <w:rPr>
          <w:rFonts w:ascii="Arial" w:hAnsi="Arial" w:cs="Arial"/>
          <w:sz w:val="24"/>
          <w:szCs w:val="20"/>
        </w:rPr>
        <w:tab/>
        <w:t>No levantamento das despesas realizadas pela Polícia Militar (</w:t>
      </w:r>
      <w:r w:rsidR="00F53353">
        <w:rPr>
          <w:rFonts w:ascii="Arial" w:hAnsi="Arial" w:cs="Arial"/>
          <w:sz w:val="24"/>
          <w:szCs w:val="20"/>
        </w:rPr>
        <w:t>Tabela</w:t>
      </w:r>
      <w:r>
        <w:rPr>
          <w:rFonts w:ascii="Arial" w:hAnsi="Arial" w:cs="Arial"/>
          <w:sz w:val="24"/>
          <w:szCs w:val="20"/>
        </w:rPr>
        <w:t xml:space="preserve"> 0</w:t>
      </w:r>
      <w:r w:rsidR="00F53353">
        <w:rPr>
          <w:rFonts w:ascii="Arial" w:hAnsi="Arial" w:cs="Arial"/>
          <w:sz w:val="24"/>
          <w:szCs w:val="20"/>
        </w:rPr>
        <w:t>1</w:t>
      </w:r>
      <w:r>
        <w:rPr>
          <w:rFonts w:ascii="Arial" w:hAnsi="Arial" w:cs="Arial"/>
          <w:sz w:val="24"/>
          <w:szCs w:val="20"/>
        </w:rPr>
        <w:t>),</w:t>
      </w:r>
      <w:r w:rsidR="002E4F1D">
        <w:rPr>
          <w:rFonts w:ascii="Arial" w:hAnsi="Arial" w:cs="Arial"/>
          <w:sz w:val="24"/>
          <w:szCs w:val="20"/>
        </w:rPr>
        <w:t xml:space="preserve"> </w:t>
      </w:r>
      <w:r w:rsidR="0011650A">
        <w:rPr>
          <w:rFonts w:ascii="Arial" w:hAnsi="Arial" w:cs="Arial"/>
          <w:sz w:val="24"/>
          <w:szCs w:val="20"/>
        </w:rPr>
        <w:t>os gastos com C</w:t>
      </w:r>
      <w:r w:rsidR="00DB3995">
        <w:rPr>
          <w:rFonts w:ascii="Arial" w:hAnsi="Arial" w:cs="Arial"/>
          <w:sz w:val="24"/>
          <w:szCs w:val="20"/>
        </w:rPr>
        <w:t xml:space="preserve">ombustível </w:t>
      </w:r>
      <w:r w:rsidR="0011650A">
        <w:rPr>
          <w:rFonts w:ascii="Arial" w:hAnsi="Arial" w:cs="Arial"/>
          <w:sz w:val="24"/>
          <w:szCs w:val="20"/>
        </w:rPr>
        <w:t>A</w:t>
      </w:r>
      <w:r w:rsidR="00DB3995">
        <w:rPr>
          <w:rFonts w:ascii="Arial" w:hAnsi="Arial" w:cs="Arial"/>
          <w:sz w:val="24"/>
          <w:szCs w:val="20"/>
        </w:rPr>
        <w:t>utomotivo é o mais representativo (55,8%), seguido de Material para Manutenção, Reparos e Conservação de Veículos (11,43%)</w:t>
      </w:r>
      <w:r w:rsidR="004F5E5D">
        <w:rPr>
          <w:rFonts w:ascii="Arial" w:hAnsi="Arial" w:cs="Arial"/>
          <w:sz w:val="24"/>
          <w:szCs w:val="20"/>
        </w:rPr>
        <w:t xml:space="preserve">, Diárias (4,71%) e Energia Elétrica e Água (4,45%). Esses 04 itens somados representam mais de 76% dos gastos em um universo de 112 Itens de Despesa. </w:t>
      </w:r>
    </w:p>
    <w:p w:rsidR="003877B0" w:rsidRDefault="003877B0" w:rsidP="004828A1">
      <w:pPr>
        <w:spacing w:after="0" w:line="360" w:lineRule="auto"/>
        <w:jc w:val="both"/>
        <w:rPr>
          <w:rFonts w:ascii="Arial" w:hAnsi="Arial" w:cs="Arial"/>
          <w:sz w:val="24"/>
          <w:szCs w:val="20"/>
        </w:rPr>
      </w:pPr>
    </w:p>
    <w:p w:rsidR="00ED07CE" w:rsidRDefault="00ED07CE" w:rsidP="004828A1">
      <w:pPr>
        <w:spacing w:after="0" w:line="360" w:lineRule="auto"/>
        <w:jc w:val="both"/>
        <w:rPr>
          <w:rFonts w:ascii="Arial" w:hAnsi="Arial" w:cs="Arial"/>
          <w:sz w:val="24"/>
          <w:szCs w:val="20"/>
        </w:rPr>
      </w:pPr>
    </w:p>
    <w:p w:rsidR="00ED07CE" w:rsidRDefault="00ED07CE" w:rsidP="004828A1">
      <w:pPr>
        <w:spacing w:after="0" w:line="360" w:lineRule="auto"/>
        <w:jc w:val="both"/>
        <w:rPr>
          <w:rFonts w:ascii="Arial" w:hAnsi="Arial" w:cs="Arial"/>
          <w:sz w:val="24"/>
          <w:szCs w:val="20"/>
        </w:rPr>
      </w:pPr>
    </w:p>
    <w:p w:rsidR="00ED07CE" w:rsidRDefault="00ED07CE" w:rsidP="004828A1">
      <w:pPr>
        <w:spacing w:after="0" w:line="360" w:lineRule="auto"/>
        <w:jc w:val="both"/>
        <w:rPr>
          <w:rFonts w:ascii="Arial" w:hAnsi="Arial" w:cs="Arial"/>
          <w:sz w:val="24"/>
          <w:szCs w:val="20"/>
        </w:rPr>
      </w:pPr>
    </w:p>
    <w:p w:rsidR="00ED07CE" w:rsidRDefault="00ED07CE" w:rsidP="004828A1">
      <w:pPr>
        <w:spacing w:after="0" w:line="360" w:lineRule="auto"/>
        <w:jc w:val="both"/>
        <w:rPr>
          <w:rFonts w:ascii="Arial" w:hAnsi="Arial" w:cs="Arial"/>
          <w:sz w:val="24"/>
          <w:szCs w:val="20"/>
        </w:rPr>
      </w:pPr>
    </w:p>
    <w:p w:rsidR="002605B1" w:rsidRDefault="002605B1" w:rsidP="004828A1">
      <w:pPr>
        <w:spacing w:after="0" w:line="360" w:lineRule="auto"/>
        <w:jc w:val="both"/>
        <w:rPr>
          <w:rFonts w:ascii="Arial" w:hAnsi="Arial" w:cs="Arial"/>
          <w:sz w:val="24"/>
          <w:szCs w:val="20"/>
        </w:rPr>
      </w:pPr>
    </w:p>
    <w:p w:rsidR="00ED07CE" w:rsidRDefault="00ED07CE" w:rsidP="004828A1">
      <w:pPr>
        <w:spacing w:after="0" w:line="360" w:lineRule="auto"/>
        <w:jc w:val="both"/>
        <w:rPr>
          <w:rFonts w:ascii="Arial" w:hAnsi="Arial" w:cs="Arial"/>
          <w:sz w:val="24"/>
          <w:szCs w:val="20"/>
        </w:rPr>
      </w:pPr>
    </w:p>
    <w:p w:rsidR="003877B0" w:rsidRPr="003877B0" w:rsidRDefault="003877B0" w:rsidP="003877B0">
      <w:pPr>
        <w:tabs>
          <w:tab w:val="left" w:pos="709"/>
        </w:tabs>
        <w:spacing w:line="240" w:lineRule="auto"/>
        <w:jc w:val="both"/>
        <w:rPr>
          <w:rFonts w:ascii="Arial" w:hAnsi="Arial" w:cs="Arial"/>
          <w:sz w:val="24"/>
          <w:szCs w:val="20"/>
        </w:rPr>
      </w:pPr>
      <w:r w:rsidRPr="003877B0">
        <w:rPr>
          <w:rFonts w:ascii="Arial" w:hAnsi="Arial" w:cs="Arial"/>
          <w:sz w:val="24"/>
          <w:szCs w:val="20"/>
        </w:rPr>
        <w:lastRenderedPageBreak/>
        <w:t xml:space="preserve">Tabela 01 – Despesas realizadas </w:t>
      </w:r>
      <w:r w:rsidR="006B225F">
        <w:rPr>
          <w:rFonts w:ascii="Arial" w:hAnsi="Arial" w:cs="Arial"/>
          <w:sz w:val="24"/>
          <w:szCs w:val="20"/>
        </w:rPr>
        <w:t xml:space="preserve">no período 2004-2013, </w:t>
      </w:r>
      <w:r w:rsidRPr="003877B0">
        <w:rPr>
          <w:rFonts w:ascii="Arial" w:hAnsi="Arial" w:cs="Arial"/>
          <w:sz w:val="24"/>
          <w:szCs w:val="20"/>
        </w:rPr>
        <w:t>Grupo 03 – Outras Despesas Correntes, por item –Polícia Militar</w:t>
      </w:r>
    </w:p>
    <w:tbl>
      <w:tblPr>
        <w:tblW w:w="9156" w:type="dxa"/>
        <w:tblInd w:w="55" w:type="dxa"/>
        <w:tblCellMar>
          <w:left w:w="70" w:type="dxa"/>
          <w:right w:w="70" w:type="dxa"/>
        </w:tblCellMar>
        <w:tblLook w:val="04A0"/>
      </w:tblPr>
      <w:tblGrid>
        <w:gridCol w:w="6393"/>
        <w:gridCol w:w="1833"/>
        <w:gridCol w:w="930"/>
      </w:tblGrid>
      <w:tr w:rsidR="00F53353" w:rsidRPr="00DD7D9A" w:rsidTr="00DD7D9A">
        <w:trPr>
          <w:trHeight w:val="425"/>
        </w:trPr>
        <w:tc>
          <w:tcPr>
            <w:tcW w:w="639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F53353" w:rsidRPr="00DD7D9A" w:rsidRDefault="00F53353" w:rsidP="006F1946">
            <w:pPr>
              <w:spacing w:after="0" w:line="240" w:lineRule="auto"/>
              <w:jc w:val="center"/>
              <w:rPr>
                <w:rFonts w:ascii="Arial" w:eastAsia="Times New Roman" w:hAnsi="Arial" w:cs="Arial"/>
                <w:b/>
                <w:bCs/>
                <w:sz w:val="20"/>
                <w:szCs w:val="16"/>
              </w:rPr>
            </w:pPr>
            <w:r w:rsidRPr="00DD7D9A">
              <w:rPr>
                <w:rFonts w:ascii="Arial" w:eastAsia="Times New Roman" w:hAnsi="Arial" w:cs="Arial"/>
                <w:b/>
                <w:bCs/>
                <w:sz w:val="20"/>
                <w:szCs w:val="16"/>
              </w:rPr>
              <w:t>Item de Despesa</w:t>
            </w:r>
          </w:p>
        </w:tc>
        <w:tc>
          <w:tcPr>
            <w:tcW w:w="183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F53353" w:rsidRPr="00DD7D9A" w:rsidRDefault="00F53353" w:rsidP="00020AC9">
            <w:pPr>
              <w:spacing w:after="0" w:line="240" w:lineRule="auto"/>
              <w:jc w:val="center"/>
              <w:rPr>
                <w:rFonts w:ascii="Arial" w:eastAsia="Times New Roman" w:hAnsi="Arial" w:cs="Arial"/>
                <w:b/>
                <w:bCs/>
                <w:sz w:val="20"/>
                <w:szCs w:val="16"/>
              </w:rPr>
            </w:pPr>
            <w:r w:rsidRPr="00DD7D9A">
              <w:rPr>
                <w:rFonts w:ascii="Arial" w:eastAsia="Times New Roman" w:hAnsi="Arial" w:cs="Arial"/>
                <w:b/>
                <w:bCs/>
                <w:sz w:val="20"/>
                <w:szCs w:val="16"/>
              </w:rPr>
              <w:t>Valor</w:t>
            </w:r>
            <w:r w:rsidR="00130226" w:rsidRPr="00DD7D9A">
              <w:rPr>
                <w:rFonts w:ascii="Arial" w:eastAsia="Times New Roman" w:hAnsi="Arial" w:cs="Arial"/>
                <w:b/>
                <w:bCs/>
                <w:sz w:val="20"/>
                <w:szCs w:val="16"/>
              </w:rPr>
              <w:t xml:space="preserve"> (R$)</w:t>
            </w:r>
          </w:p>
        </w:tc>
        <w:tc>
          <w:tcPr>
            <w:tcW w:w="9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F53353" w:rsidRPr="00DD7D9A" w:rsidRDefault="00F53353" w:rsidP="00020AC9">
            <w:pPr>
              <w:spacing w:after="0" w:line="240" w:lineRule="auto"/>
              <w:jc w:val="center"/>
              <w:rPr>
                <w:rFonts w:ascii="Arial" w:eastAsia="Times New Roman" w:hAnsi="Arial" w:cs="Arial"/>
                <w:b/>
                <w:bCs/>
                <w:sz w:val="20"/>
                <w:szCs w:val="16"/>
              </w:rPr>
            </w:pPr>
            <w:r w:rsidRPr="00DD7D9A">
              <w:rPr>
                <w:rFonts w:ascii="Arial" w:eastAsia="Times New Roman" w:hAnsi="Arial" w:cs="Arial"/>
                <w:b/>
                <w:bCs/>
                <w:sz w:val="20"/>
                <w:szCs w:val="16"/>
              </w:rPr>
              <w:t>%</w:t>
            </w:r>
          </w:p>
        </w:tc>
      </w:tr>
      <w:tr w:rsidR="00F53353" w:rsidRPr="004A43F1" w:rsidTr="00DD7D9A">
        <w:trPr>
          <w:trHeight w:val="340"/>
        </w:trPr>
        <w:tc>
          <w:tcPr>
            <w:tcW w:w="639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020AC9">
            <w:pPr>
              <w:spacing w:after="0" w:line="240" w:lineRule="auto"/>
              <w:rPr>
                <w:rFonts w:ascii="Arial" w:eastAsia="Times New Roman" w:hAnsi="Arial" w:cs="Arial"/>
                <w:sz w:val="20"/>
                <w:szCs w:val="16"/>
              </w:rPr>
            </w:pPr>
            <w:r w:rsidRPr="004A43F1">
              <w:rPr>
                <w:rFonts w:ascii="Arial" w:eastAsia="Times New Roman" w:hAnsi="Arial" w:cs="Arial"/>
                <w:sz w:val="20"/>
                <w:szCs w:val="16"/>
              </w:rPr>
              <w:t>Combustível Automotivo - Gasolina/</w:t>
            </w:r>
            <w:r w:rsidR="0069448C" w:rsidRPr="004A43F1">
              <w:rPr>
                <w:rFonts w:ascii="Arial" w:eastAsia="Times New Roman" w:hAnsi="Arial" w:cs="Arial"/>
                <w:sz w:val="20"/>
                <w:szCs w:val="16"/>
              </w:rPr>
              <w:t>Álcool</w:t>
            </w:r>
            <w:r w:rsidRPr="004A43F1">
              <w:rPr>
                <w:rFonts w:ascii="Arial" w:eastAsia="Times New Roman" w:hAnsi="Arial" w:cs="Arial"/>
                <w:sz w:val="20"/>
                <w:szCs w:val="16"/>
              </w:rPr>
              <w:t>/Diesel</w:t>
            </w:r>
          </w:p>
        </w:tc>
        <w:tc>
          <w:tcPr>
            <w:tcW w:w="183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B82C52">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142.110.943,52</w:t>
            </w:r>
          </w:p>
        </w:tc>
        <w:tc>
          <w:tcPr>
            <w:tcW w:w="93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020AC9">
            <w:pPr>
              <w:spacing w:after="0" w:line="240" w:lineRule="auto"/>
              <w:rPr>
                <w:rFonts w:ascii="Arial" w:eastAsia="Times New Roman" w:hAnsi="Arial" w:cs="Arial"/>
                <w:sz w:val="20"/>
                <w:szCs w:val="16"/>
              </w:rPr>
            </w:pPr>
            <w:r w:rsidRPr="004A43F1">
              <w:rPr>
                <w:rFonts w:ascii="Arial" w:eastAsia="Times New Roman" w:hAnsi="Arial" w:cs="Arial"/>
                <w:sz w:val="20"/>
                <w:szCs w:val="16"/>
              </w:rPr>
              <w:t>55,88%</w:t>
            </w:r>
          </w:p>
        </w:tc>
      </w:tr>
      <w:tr w:rsidR="00F53353" w:rsidRPr="004A43F1" w:rsidTr="00DD7D9A">
        <w:trPr>
          <w:trHeight w:val="340"/>
        </w:trPr>
        <w:tc>
          <w:tcPr>
            <w:tcW w:w="6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020AC9">
            <w:pPr>
              <w:spacing w:after="0" w:line="240" w:lineRule="auto"/>
              <w:rPr>
                <w:rFonts w:ascii="Arial" w:eastAsia="Times New Roman" w:hAnsi="Arial" w:cs="Arial"/>
                <w:sz w:val="20"/>
                <w:szCs w:val="16"/>
              </w:rPr>
            </w:pPr>
            <w:r w:rsidRPr="004A43F1">
              <w:rPr>
                <w:rFonts w:ascii="Arial" w:eastAsia="Times New Roman" w:hAnsi="Arial" w:cs="Arial"/>
                <w:sz w:val="20"/>
                <w:szCs w:val="16"/>
              </w:rPr>
              <w:t>Material para Manutenção, Reparos e Conservação de Veículos</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29.078.889,62</w:t>
            </w: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11,43%</w:t>
            </w:r>
          </w:p>
        </w:tc>
      </w:tr>
      <w:tr w:rsidR="00F53353" w:rsidRPr="004A43F1" w:rsidTr="00DD7D9A">
        <w:trPr>
          <w:trHeight w:val="340"/>
        </w:trPr>
        <w:tc>
          <w:tcPr>
            <w:tcW w:w="6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4F5E5D">
            <w:pPr>
              <w:spacing w:after="0" w:line="240" w:lineRule="auto"/>
              <w:rPr>
                <w:rFonts w:ascii="Arial" w:eastAsia="Times New Roman" w:hAnsi="Arial" w:cs="Arial"/>
                <w:sz w:val="20"/>
                <w:szCs w:val="16"/>
              </w:rPr>
            </w:pPr>
            <w:r w:rsidRPr="004A43F1">
              <w:rPr>
                <w:rFonts w:ascii="Arial" w:eastAsia="Times New Roman" w:hAnsi="Arial" w:cs="Arial"/>
                <w:sz w:val="20"/>
                <w:szCs w:val="16"/>
              </w:rPr>
              <w:t>Diárias</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11.972.709,45</w:t>
            </w: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4,71%</w:t>
            </w:r>
          </w:p>
        </w:tc>
      </w:tr>
      <w:tr w:rsidR="00F53353" w:rsidRPr="004A43F1" w:rsidTr="00DD7D9A">
        <w:trPr>
          <w:trHeight w:val="340"/>
        </w:trPr>
        <w:tc>
          <w:tcPr>
            <w:tcW w:w="6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rPr>
                <w:rFonts w:ascii="Arial" w:eastAsia="Times New Roman" w:hAnsi="Arial" w:cs="Arial"/>
                <w:sz w:val="20"/>
                <w:szCs w:val="16"/>
              </w:rPr>
            </w:pPr>
            <w:r w:rsidRPr="004A43F1">
              <w:rPr>
                <w:rFonts w:ascii="Arial" w:eastAsia="Times New Roman" w:hAnsi="Arial" w:cs="Arial"/>
                <w:sz w:val="20"/>
                <w:szCs w:val="16"/>
              </w:rPr>
              <w:t>Energia Elétrica e Água</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11.316.905,56</w:t>
            </w: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4,45%</w:t>
            </w:r>
          </w:p>
        </w:tc>
      </w:tr>
      <w:tr w:rsidR="00F53353" w:rsidRPr="004A43F1" w:rsidTr="00DD7D9A">
        <w:trPr>
          <w:trHeight w:val="340"/>
        </w:trPr>
        <w:tc>
          <w:tcPr>
            <w:tcW w:w="6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F53353" w:rsidP="0011650A">
            <w:pPr>
              <w:spacing w:after="0" w:line="240" w:lineRule="auto"/>
              <w:rPr>
                <w:rFonts w:ascii="Arial" w:eastAsia="Times New Roman" w:hAnsi="Arial" w:cs="Arial"/>
                <w:sz w:val="20"/>
                <w:szCs w:val="16"/>
              </w:rPr>
            </w:pPr>
            <w:r w:rsidRPr="004A43F1">
              <w:rPr>
                <w:rFonts w:ascii="Arial" w:eastAsia="Times New Roman" w:hAnsi="Arial" w:cs="Arial"/>
                <w:sz w:val="20"/>
                <w:szCs w:val="16"/>
              </w:rPr>
              <w:t xml:space="preserve">Outras Despesas (somatório de </w:t>
            </w:r>
            <w:r w:rsidR="0011650A" w:rsidRPr="004A43F1">
              <w:rPr>
                <w:rFonts w:ascii="Arial" w:eastAsia="Times New Roman" w:hAnsi="Arial" w:cs="Arial"/>
                <w:sz w:val="20"/>
                <w:szCs w:val="16"/>
              </w:rPr>
              <w:t>108</w:t>
            </w:r>
            <w:r w:rsidRPr="004A43F1">
              <w:rPr>
                <w:rFonts w:ascii="Arial" w:eastAsia="Times New Roman" w:hAnsi="Arial" w:cs="Arial"/>
                <w:sz w:val="20"/>
                <w:szCs w:val="16"/>
              </w:rPr>
              <w:t xml:space="preserve"> itens)</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11650A"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59.820.133,83</w:t>
            </w:r>
          </w:p>
        </w:tc>
        <w:tc>
          <w:tcPr>
            <w:tcW w:w="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F53353" w:rsidRPr="004A43F1" w:rsidRDefault="0011650A" w:rsidP="00F53353">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23,53%</w:t>
            </w:r>
          </w:p>
        </w:tc>
      </w:tr>
      <w:tr w:rsidR="00F53353" w:rsidRPr="004A43F1" w:rsidTr="00DD7D9A">
        <w:trPr>
          <w:trHeight w:val="340"/>
        </w:trPr>
        <w:tc>
          <w:tcPr>
            <w:tcW w:w="63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F53353" w:rsidRPr="004A43F1" w:rsidRDefault="00F53353" w:rsidP="00F53353">
            <w:pPr>
              <w:spacing w:after="0" w:line="240" w:lineRule="auto"/>
              <w:rPr>
                <w:rFonts w:ascii="Arial" w:eastAsia="Times New Roman" w:hAnsi="Arial" w:cs="Arial"/>
                <w:b/>
                <w:bCs/>
                <w:sz w:val="20"/>
                <w:szCs w:val="16"/>
              </w:rPr>
            </w:pPr>
            <w:r w:rsidRPr="004A43F1">
              <w:rPr>
                <w:rFonts w:ascii="Arial" w:eastAsia="Times New Roman" w:hAnsi="Arial" w:cs="Arial"/>
                <w:b/>
                <w:bCs/>
                <w:sz w:val="20"/>
                <w:szCs w:val="16"/>
              </w:rPr>
              <w:t>TOTAL</w:t>
            </w:r>
          </w:p>
        </w:tc>
        <w:tc>
          <w:tcPr>
            <w:tcW w:w="183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b/>
                <w:bCs/>
                <w:sz w:val="20"/>
                <w:szCs w:val="16"/>
              </w:rPr>
            </w:pPr>
            <w:r w:rsidRPr="004A43F1">
              <w:rPr>
                <w:rFonts w:ascii="Arial" w:eastAsia="Times New Roman" w:hAnsi="Arial" w:cs="Arial"/>
                <w:b/>
                <w:bCs/>
                <w:sz w:val="20"/>
                <w:szCs w:val="16"/>
              </w:rPr>
              <w:t>254.299.581,98</w:t>
            </w:r>
          </w:p>
        </w:tc>
        <w:tc>
          <w:tcPr>
            <w:tcW w:w="9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F53353" w:rsidRPr="004A43F1" w:rsidRDefault="00F53353" w:rsidP="00F53353">
            <w:pPr>
              <w:spacing w:after="0" w:line="240" w:lineRule="auto"/>
              <w:jc w:val="right"/>
              <w:rPr>
                <w:rFonts w:ascii="Arial" w:eastAsia="Times New Roman" w:hAnsi="Arial" w:cs="Arial"/>
                <w:b/>
                <w:bCs/>
                <w:sz w:val="20"/>
                <w:szCs w:val="16"/>
              </w:rPr>
            </w:pPr>
            <w:r w:rsidRPr="004A43F1">
              <w:rPr>
                <w:rFonts w:ascii="Arial" w:eastAsia="Times New Roman" w:hAnsi="Arial" w:cs="Arial"/>
                <w:b/>
                <w:bCs/>
                <w:sz w:val="20"/>
                <w:szCs w:val="16"/>
              </w:rPr>
              <w:t>100,00%</w:t>
            </w:r>
          </w:p>
        </w:tc>
      </w:tr>
    </w:tbl>
    <w:p w:rsidR="00F53353" w:rsidRPr="00A50CF7" w:rsidRDefault="00F53353" w:rsidP="00856F75">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CF2FA7" w:rsidRDefault="00CF2FA7" w:rsidP="00CF2FA7">
      <w:pPr>
        <w:spacing w:after="0"/>
        <w:rPr>
          <w:rFonts w:ascii="Arial" w:hAnsi="Arial" w:cs="Arial"/>
          <w:sz w:val="24"/>
          <w:szCs w:val="20"/>
        </w:rPr>
      </w:pPr>
    </w:p>
    <w:p w:rsidR="009209AC" w:rsidRDefault="0011650A" w:rsidP="0055746B">
      <w:pPr>
        <w:spacing w:after="0" w:line="360" w:lineRule="auto"/>
        <w:ind w:firstLine="708"/>
        <w:jc w:val="both"/>
        <w:rPr>
          <w:rFonts w:ascii="Arial" w:hAnsi="Arial" w:cs="Arial"/>
          <w:sz w:val="24"/>
          <w:szCs w:val="20"/>
        </w:rPr>
      </w:pPr>
      <w:r>
        <w:rPr>
          <w:rFonts w:ascii="Arial" w:hAnsi="Arial" w:cs="Arial"/>
          <w:sz w:val="24"/>
          <w:szCs w:val="20"/>
        </w:rPr>
        <w:t>A tabela 02 demonstra o desdobramento das despesas realizadas pela Polícia Civil</w:t>
      </w:r>
      <w:r w:rsidR="001D4A78">
        <w:rPr>
          <w:rFonts w:ascii="Arial" w:hAnsi="Arial" w:cs="Arial"/>
          <w:sz w:val="24"/>
          <w:szCs w:val="20"/>
        </w:rPr>
        <w:t>.</w:t>
      </w:r>
      <w:r w:rsidR="002E4F1D">
        <w:rPr>
          <w:rFonts w:ascii="Arial" w:hAnsi="Arial" w:cs="Arial"/>
          <w:sz w:val="24"/>
          <w:szCs w:val="20"/>
        </w:rPr>
        <w:t xml:space="preserve"> </w:t>
      </w:r>
      <w:r w:rsidR="001D4A78">
        <w:rPr>
          <w:rFonts w:ascii="Arial" w:hAnsi="Arial" w:cs="Arial"/>
          <w:sz w:val="24"/>
          <w:szCs w:val="20"/>
        </w:rPr>
        <w:t>O</w:t>
      </w:r>
      <w:r>
        <w:rPr>
          <w:rFonts w:ascii="Arial" w:hAnsi="Arial" w:cs="Arial"/>
          <w:sz w:val="24"/>
          <w:szCs w:val="20"/>
        </w:rPr>
        <w:t xml:space="preserve"> padrão de gasto é similar ao observado na Polícia Militar, </w:t>
      </w:r>
      <w:r w:rsidR="00FE7F63">
        <w:rPr>
          <w:rFonts w:ascii="Arial" w:hAnsi="Arial" w:cs="Arial"/>
          <w:sz w:val="24"/>
          <w:szCs w:val="20"/>
        </w:rPr>
        <w:t>onde</w:t>
      </w:r>
      <w:r>
        <w:rPr>
          <w:rFonts w:ascii="Arial" w:hAnsi="Arial" w:cs="Arial"/>
          <w:sz w:val="24"/>
          <w:szCs w:val="20"/>
        </w:rPr>
        <w:t xml:space="preserve"> as despesas com Combustível Automotivo é a mais representativa (41,56%), seguido de Serviço de Telefonia Fixa (9,56%), </w:t>
      </w:r>
      <w:r w:rsidRPr="009209AC">
        <w:rPr>
          <w:rFonts w:ascii="Arial" w:hAnsi="Arial" w:cs="Arial"/>
          <w:sz w:val="24"/>
          <w:szCs w:val="20"/>
        </w:rPr>
        <w:t>Serviços de Caráter Secreto e Reservado</w:t>
      </w:r>
      <w:r>
        <w:rPr>
          <w:rFonts w:ascii="Arial" w:hAnsi="Arial" w:cs="Arial"/>
          <w:sz w:val="24"/>
          <w:szCs w:val="20"/>
        </w:rPr>
        <w:t xml:space="preserve"> (8,69%) e </w:t>
      </w:r>
      <w:r w:rsidRPr="009209AC">
        <w:rPr>
          <w:rFonts w:ascii="Arial" w:hAnsi="Arial" w:cs="Arial"/>
          <w:sz w:val="24"/>
          <w:szCs w:val="20"/>
        </w:rPr>
        <w:t>Material para Manutenção, Reparos e Conservação de Veículos</w:t>
      </w:r>
      <w:r>
        <w:rPr>
          <w:rFonts w:ascii="Arial" w:hAnsi="Arial" w:cs="Arial"/>
          <w:sz w:val="24"/>
          <w:szCs w:val="20"/>
        </w:rPr>
        <w:t xml:space="preserve"> (6,92%). Somados, tais itens representam 66,73% do total de gastos da Polícia Civil dentro do Grupo 03 – Outras Despesas Correntes em 81 itens.</w:t>
      </w:r>
    </w:p>
    <w:p w:rsidR="003877B0" w:rsidRDefault="003877B0" w:rsidP="004828A1">
      <w:pPr>
        <w:spacing w:after="0" w:line="360" w:lineRule="auto"/>
        <w:jc w:val="both"/>
        <w:rPr>
          <w:rFonts w:ascii="Arial" w:hAnsi="Arial" w:cs="Arial"/>
          <w:sz w:val="24"/>
          <w:szCs w:val="20"/>
        </w:rPr>
      </w:pPr>
    </w:p>
    <w:p w:rsidR="003877B0" w:rsidRPr="00020AC9" w:rsidRDefault="003877B0" w:rsidP="003877B0">
      <w:pPr>
        <w:tabs>
          <w:tab w:val="left" w:pos="709"/>
        </w:tabs>
        <w:spacing w:line="240" w:lineRule="auto"/>
        <w:jc w:val="both"/>
        <w:rPr>
          <w:rFonts w:ascii="Arial" w:hAnsi="Arial" w:cs="Arial"/>
          <w:sz w:val="24"/>
          <w:szCs w:val="20"/>
        </w:rPr>
      </w:pPr>
      <w:r w:rsidRPr="00020AC9">
        <w:rPr>
          <w:rFonts w:ascii="Arial" w:hAnsi="Arial" w:cs="Arial"/>
          <w:sz w:val="24"/>
          <w:szCs w:val="20"/>
        </w:rPr>
        <w:t xml:space="preserve">Tabela 02 – Despesas realizadas </w:t>
      </w:r>
      <w:r w:rsidR="006B225F">
        <w:rPr>
          <w:rFonts w:ascii="Arial" w:hAnsi="Arial" w:cs="Arial"/>
          <w:sz w:val="24"/>
          <w:szCs w:val="20"/>
        </w:rPr>
        <w:t xml:space="preserve">no período 2004-2013, </w:t>
      </w:r>
      <w:r w:rsidRPr="00020AC9">
        <w:rPr>
          <w:rFonts w:ascii="Arial" w:hAnsi="Arial" w:cs="Arial"/>
          <w:sz w:val="24"/>
          <w:szCs w:val="20"/>
        </w:rPr>
        <w:t>Grupo 03 – Outras Despesas Correntes, por item –Polícia Civil</w:t>
      </w:r>
    </w:p>
    <w:tbl>
      <w:tblPr>
        <w:tblW w:w="9089" w:type="dxa"/>
        <w:tblInd w:w="53" w:type="dxa"/>
        <w:tblCellMar>
          <w:left w:w="70" w:type="dxa"/>
          <w:right w:w="70" w:type="dxa"/>
        </w:tblCellMar>
        <w:tblLook w:val="04A0"/>
      </w:tblPr>
      <w:tblGrid>
        <w:gridCol w:w="6396"/>
        <w:gridCol w:w="1712"/>
        <w:gridCol w:w="981"/>
      </w:tblGrid>
      <w:tr w:rsidR="009209AC" w:rsidRPr="005A6AA3" w:rsidTr="005A6AA3">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9209AC" w:rsidRPr="005A6AA3" w:rsidRDefault="009209AC" w:rsidP="005A6AA3">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9209AC" w:rsidRPr="005A6AA3" w:rsidRDefault="009209AC" w:rsidP="00020AC9">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Valor</w:t>
            </w:r>
            <w:r w:rsidR="00130226" w:rsidRPr="005A6AA3">
              <w:rPr>
                <w:rFonts w:ascii="Arial" w:eastAsia="Times New Roman" w:hAnsi="Arial" w:cs="Arial"/>
                <w:b/>
                <w:bCs/>
                <w:sz w:val="20"/>
                <w:szCs w:val="16"/>
              </w:rPr>
              <w:t xml:space="preserve"> (R$)</w:t>
            </w:r>
          </w:p>
        </w:tc>
        <w:tc>
          <w:tcPr>
            <w:tcW w:w="9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9209AC" w:rsidRPr="005A6AA3" w:rsidRDefault="009209AC" w:rsidP="00020AC9">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w:t>
            </w:r>
          </w:p>
        </w:tc>
      </w:tr>
      <w:tr w:rsidR="009209AC" w:rsidRPr="004A43F1" w:rsidTr="005A6AA3">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020AC9">
            <w:pPr>
              <w:spacing w:after="0" w:line="240" w:lineRule="auto"/>
              <w:rPr>
                <w:rFonts w:ascii="Arial" w:eastAsia="Times New Roman" w:hAnsi="Arial" w:cs="Arial"/>
                <w:sz w:val="20"/>
                <w:szCs w:val="16"/>
              </w:rPr>
            </w:pPr>
            <w:r w:rsidRPr="004A43F1">
              <w:rPr>
                <w:rFonts w:ascii="Arial" w:eastAsia="Times New Roman" w:hAnsi="Arial" w:cs="Arial"/>
                <w:sz w:val="20"/>
                <w:szCs w:val="16"/>
              </w:rPr>
              <w:t>Combustível Automotivo - Gasolina/</w:t>
            </w:r>
            <w:r w:rsidR="0069448C" w:rsidRPr="004A43F1">
              <w:rPr>
                <w:rFonts w:ascii="Arial" w:eastAsia="Times New Roman" w:hAnsi="Arial" w:cs="Arial"/>
                <w:sz w:val="20"/>
                <w:szCs w:val="16"/>
              </w:rPr>
              <w:t>Álcool</w:t>
            </w:r>
            <w:r w:rsidRPr="004A43F1">
              <w:rPr>
                <w:rFonts w:ascii="Arial" w:eastAsia="Times New Roman" w:hAnsi="Arial" w:cs="Arial"/>
                <w:sz w:val="20"/>
                <w:szCs w:val="16"/>
              </w:rPr>
              <w:t>/Diesel</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56.944.005,95</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41,56%</w:t>
            </w:r>
          </w:p>
        </w:tc>
      </w:tr>
      <w:tr w:rsidR="009209AC" w:rsidRPr="004A43F1" w:rsidTr="005A6AA3">
        <w:trPr>
          <w:trHeight w:val="368"/>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rPr>
                <w:rFonts w:ascii="Arial" w:eastAsia="Times New Roman" w:hAnsi="Arial" w:cs="Arial"/>
                <w:sz w:val="20"/>
                <w:szCs w:val="16"/>
              </w:rPr>
            </w:pPr>
            <w:r w:rsidRPr="004A43F1">
              <w:rPr>
                <w:rFonts w:ascii="Arial" w:eastAsia="Times New Roman" w:hAnsi="Arial" w:cs="Arial"/>
                <w:sz w:val="20"/>
                <w:szCs w:val="16"/>
              </w:rPr>
              <w:t>Serviço de Telefonia Fixa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13.103.797,63</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9,56%</w:t>
            </w:r>
          </w:p>
        </w:tc>
      </w:tr>
      <w:tr w:rsidR="00E06536" w:rsidRPr="004A43F1" w:rsidTr="00110E19">
        <w:trPr>
          <w:trHeight w:val="350"/>
        </w:trPr>
        <w:tc>
          <w:tcPr>
            <w:tcW w:w="6396" w:type="dxa"/>
            <w:tcBorders>
              <w:top w:val="single" w:sz="4" w:space="0" w:color="FFFFFF" w:themeColor="background1"/>
              <w:left w:val="single" w:sz="4" w:space="0" w:color="FFFFFF" w:themeColor="background1"/>
              <w:right w:val="single" w:sz="4" w:space="0" w:color="FFFFFF" w:themeColor="background1"/>
            </w:tcBorders>
            <w:shd w:val="clear" w:color="auto" w:fill="auto"/>
            <w:noWrap/>
            <w:vAlign w:val="center"/>
            <w:hideMark/>
          </w:tcPr>
          <w:p w:rsidR="00E06536" w:rsidRPr="004A43F1" w:rsidRDefault="00E06536" w:rsidP="009209AC">
            <w:pPr>
              <w:spacing w:after="0" w:line="240" w:lineRule="auto"/>
              <w:rPr>
                <w:rFonts w:ascii="Arial" w:eastAsia="Times New Roman" w:hAnsi="Arial" w:cs="Arial"/>
                <w:sz w:val="20"/>
                <w:szCs w:val="16"/>
              </w:rPr>
            </w:pPr>
            <w:r w:rsidRPr="004A43F1">
              <w:rPr>
                <w:rFonts w:ascii="Arial" w:eastAsia="Times New Roman" w:hAnsi="Arial" w:cs="Arial"/>
                <w:sz w:val="20"/>
                <w:szCs w:val="16"/>
              </w:rPr>
              <w:t>Serviços de Caráter Secreto e Reservado</w:t>
            </w:r>
          </w:p>
        </w:tc>
        <w:tc>
          <w:tcPr>
            <w:tcW w:w="1712" w:type="dxa"/>
            <w:tcBorders>
              <w:top w:val="single" w:sz="4" w:space="0" w:color="FFFFFF" w:themeColor="background1"/>
              <w:left w:val="single" w:sz="4" w:space="0" w:color="FFFFFF" w:themeColor="background1"/>
              <w:right w:val="single" w:sz="4" w:space="0" w:color="FFFFFF" w:themeColor="background1"/>
            </w:tcBorders>
            <w:shd w:val="clear" w:color="auto" w:fill="auto"/>
            <w:noWrap/>
            <w:vAlign w:val="center"/>
            <w:hideMark/>
          </w:tcPr>
          <w:p w:rsidR="00E06536" w:rsidRPr="004A43F1" w:rsidRDefault="00E06536"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11.898.835,41</w:t>
            </w:r>
          </w:p>
        </w:tc>
        <w:tc>
          <w:tcPr>
            <w:tcW w:w="981" w:type="dxa"/>
            <w:tcBorders>
              <w:top w:val="single" w:sz="4" w:space="0" w:color="FFFFFF" w:themeColor="background1"/>
              <w:left w:val="single" w:sz="4" w:space="0" w:color="FFFFFF" w:themeColor="background1"/>
              <w:right w:val="single" w:sz="4" w:space="0" w:color="FFFFFF" w:themeColor="background1"/>
            </w:tcBorders>
            <w:shd w:val="clear" w:color="auto" w:fill="auto"/>
            <w:noWrap/>
            <w:vAlign w:val="center"/>
            <w:hideMark/>
          </w:tcPr>
          <w:p w:rsidR="00E06536" w:rsidRPr="004A43F1" w:rsidRDefault="00E06536"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8,69%</w:t>
            </w:r>
          </w:p>
        </w:tc>
      </w:tr>
      <w:tr w:rsidR="009209AC"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rPr>
                <w:rFonts w:ascii="Arial" w:eastAsia="Times New Roman" w:hAnsi="Arial" w:cs="Arial"/>
                <w:sz w:val="20"/>
                <w:szCs w:val="16"/>
              </w:rPr>
            </w:pPr>
            <w:r w:rsidRPr="004A43F1">
              <w:rPr>
                <w:rFonts w:ascii="Arial" w:eastAsia="Times New Roman" w:hAnsi="Arial" w:cs="Arial"/>
                <w:sz w:val="20"/>
                <w:szCs w:val="16"/>
              </w:rPr>
              <w:t>Material para Manutenção, Reparos e Conservação de Veículos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9.487.221,17</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6,92%</w:t>
            </w:r>
          </w:p>
        </w:tc>
      </w:tr>
      <w:tr w:rsidR="009209AC"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9209AC" w:rsidP="00377E32">
            <w:pPr>
              <w:spacing w:after="0" w:line="240" w:lineRule="auto"/>
              <w:rPr>
                <w:rFonts w:ascii="Arial" w:eastAsia="Times New Roman" w:hAnsi="Arial" w:cs="Arial"/>
                <w:sz w:val="20"/>
                <w:szCs w:val="16"/>
              </w:rPr>
            </w:pPr>
            <w:r w:rsidRPr="004A43F1">
              <w:rPr>
                <w:rFonts w:ascii="Arial" w:eastAsia="Times New Roman" w:hAnsi="Arial" w:cs="Arial"/>
                <w:sz w:val="20"/>
                <w:szCs w:val="16"/>
              </w:rPr>
              <w:t>Outras Despesas</w:t>
            </w:r>
            <w:r w:rsidR="00377E32" w:rsidRPr="004A43F1">
              <w:rPr>
                <w:rFonts w:ascii="Arial" w:eastAsia="Times New Roman" w:hAnsi="Arial" w:cs="Arial"/>
                <w:sz w:val="20"/>
                <w:szCs w:val="16"/>
              </w:rPr>
              <w:t xml:space="preserve"> (somatório de 77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377E32"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45.569.336,02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209AC" w:rsidRPr="004A43F1" w:rsidRDefault="00377E32" w:rsidP="009209AC">
            <w:pPr>
              <w:spacing w:after="0" w:line="240" w:lineRule="auto"/>
              <w:jc w:val="right"/>
              <w:rPr>
                <w:rFonts w:ascii="Arial" w:eastAsia="Times New Roman" w:hAnsi="Arial" w:cs="Arial"/>
                <w:sz w:val="20"/>
                <w:szCs w:val="16"/>
              </w:rPr>
            </w:pPr>
            <w:r w:rsidRPr="004A43F1">
              <w:rPr>
                <w:rFonts w:ascii="Arial" w:eastAsia="Times New Roman" w:hAnsi="Arial" w:cs="Arial"/>
                <w:sz w:val="20"/>
                <w:szCs w:val="16"/>
              </w:rPr>
              <w:t>33,27%</w:t>
            </w:r>
          </w:p>
        </w:tc>
      </w:tr>
      <w:tr w:rsidR="009209AC" w:rsidRPr="004A43F1" w:rsidTr="005A6AA3">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209AC" w:rsidRPr="004A43F1" w:rsidRDefault="009209AC" w:rsidP="009209AC">
            <w:pPr>
              <w:spacing w:after="0" w:line="240" w:lineRule="auto"/>
              <w:rPr>
                <w:rFonts w:ascii="Arial" w:eastAsia="Times New Roman" w:hAnsi="Arial" w:cs="Arial"/>
                <w:b/>
                <w:sz w:val="20"/>
                <w:szCs w:val="16"/>
              </w:rPr>
            </w:pPr>
            <w:r w:rsidRPr="004A43F1">
              <w:rPr>
                <w:rFonts w:ascii="Arial" w:eastAsia="Times New Roman" w:hAnsi="Arial" w:cs="Arial"/>
                <w:b/>
                <w:sz w:val="20"/>
                <w:szCs w:val="16"/>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b/>
                <w:sz w:val="20"/>
                <w:szCs w:val="16"/>
              </w:rPr>
            </w:pPr>
            <w:r w:rsidRPr="004A43F1">
              <w:rPr>
                <w:rFonts w:ascii="Arial" w:eastAsia="Times New Roman" w:hAnsi="Arial" w:cs="Arial"/>
                <w:b/>
                <w:sz w:val="20"/>
                <w:szCs w:val="16"/>
              </w:rPr>
              <w:t>137.003.196,18</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209AC" w:rsidRPr="004A43F1" w:rsidRDefault="009209AC" w:rsidP="009209AC">
            <w:pPr>
              <w:spacing w:after="0" w:line="240" w:lineRule="auto"/>
              <w:jc w:val="right"/>
              <w:rPr>
                <w:rFonts w:ascii="Arial" w:eastAsia="Times New Roman" w:hAnsi="Arial" w:cs="Arial"/>
                <w:b/>
                <w:sz w:val="20"/>
                <w:szCs w:val="16"/>
              </w:rPr>
            </w:pPr>
            <w:r w:rsidRPr="004A43F1">
              <w:rPr>
                <w:rFonts w:ascii="Arial" w:eastAsia="Times New Roman" w:hAnsi="Arial" w:cs="Arial"/>
                <w:b/>
                <w:sz w:val="20"/>
                <w:szCs w:val="16"/>
              </w:rPr>
              <w:t>100,00%</w:t>
            </w:r>
          </w:p>
        </w:tc>
      </w:tr>
    </w:tbl>
    <w:p w:rsidR="009209AC" w:rsidRPr="00A50CF7" w:rsidRDefault="009209AC" w:rsidP="009209AC">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8E77BA" w:rsidRDefault="008E77BA" w:rsidP="00CF2FA7">
      <w:pPr>
        <w:spacing w:after="0"/>
        <w:rPr>
          <w:rFonts w:ascii="Arial" w:hAnsi="Arial" w:cs="Arial"/>
          <w:sz w:val="24"/>
          <w:szCs w:val="20"/>
        </w:rPr>
      </w:pPr>
    </w:p>
    <w:p w:rsidR="002F1E8F" w:rsidRDefault="008E77BA" w:rsidP="008E77BA">
      <w:pPr>
        <w:spacing w:after="0" w:line="360" w:lineRule="auto"/>
        <w:jc w:val="both"/>
        <w:rPr>
          <w:rFonts w:ascii="Arial" w:hAnsi="Arial" w:cs="Arial"/>
          <w:sz w:val="24"/>
          <w:szCs w:val="20"/>
        </w:rPr>
      </w:pPr>
      <w:r>
        <w:rPr>
          <w:rFonts w:ascii="Arial" w:hAnsi="Arial" w:cs="Arial"/>
          <w:sz w:val="24"/>
          <w:szCs w:val="20"/>
        </w:rPr>
        <w:tab/>
      </w:r>
      <w:r w:rsidR="004A43F1">
        <w:rPr>
          <w:rFonts w:ascii="Arial" w:hAnsi="Arial" w:cs="Arial"/>
          <w:sz w:val="24"/>
          <w:szCs w:val="20"/>
        </w:rPr>
        <w:t>A tabela 03 apresenta os dados relativos aos gastos da Secretaria de Administração Penitenciária e Justiça. Assim como as analisadas anteriormente, o órgão concentrou suas despesas em 04 itens, que somados representam 81,26% do valor relativo ao Grupo 03 – Outras Despesas Correntes, sendo</w:t>
      </w:r>
      <w:r w:rsidR="004A43F1" w:rsidRPr="004A43F1">
        <w:rPr>
          <w:rFonts w:ascii="Arial" w:hAnsi="Arial" w:cs="Arial"/>
          <w:sz w:val="24"/>
          <w:szCs w:val="20"/>
        </w:rPr>
        <w:t>: Fornecimento de Alimentação (39,26%), Gêneros Alimentícios (18,94), Outras Transferências a Municípios (R$15,09) e Salários de Internos (7,97%).</w:t>
      </w:r>
      <w:r w:rsidR="004A43F1">
        <w:rPr>
          <w:rFonts w:ascii="Arial" w:hAnsi="Arial" w:cs="Arial"/>
          <w:sz w:val="24"/>
          <w:szCs w:val="20"/>
        </w:rPr>
        <w:t xml:space="preserve"> Outros 13</w:t>
      </w:r>
      <w:r w:rsidR="00E979A3">
        <w:rPr>
          <w:rFonts w:ascii="Arial" w:hAnsi="Arial" w:cs="Arial"/>
          <w:sz w:val="24"/>
          <w:szCs w:val="20"/>
        </w:rPr>
        <w:t>3</w:t>
      </w:r>
      <w:r w:rsidR="004A43F1">
        <w:rPr>
          <w:rFonts w:ascii="Arial" w:hAnsi="Arial" w:cs="Arial"/>
          <w:sz w:val="24"/>
          <w:szCs w:val="20"/>
        </w:rPr>
        <w:t xml:space="preserve"> itens de despesa somaram apenas 18,74% do montante total de R$148.088.096,93.</w:t>
      </w:r>
    </w:p>
    <w:p w:rsidR="003877B0" w:rsidRPr="003877B0" w:rsidRDefault="003877B0" w:rsidP="003877B0">
      <w:pPr>
        <w:tabs>
          <w:tab w:val="left" w:pos="709"/>
        </w:tabs>
        <w:spacing w:line="240" w:lineRule="auto"/>
        <w:jc w:val="both"/>
        <w:rPr>
          <w:rFonts w:ascii="Arial" w:hAnsi="Arial" w:cs="Arial"/>
          <w:sz w:val="24"/>
          <w:szCs w:val="20"/>
        </w:rPr>
      </w:pPr>
      <w:r w:rsidRPr="003877B0">
        <w:rPr>
          <w:rFonts w:ascii="Arial" w:hAnsi="Arial" w:cs="Arial"/>
          <w:sz w:val="24"/>
          <w:szCs w:val="20"/>
        </w:rPr>
        <w:lastRenderedPageBreak/>
        <w:t>Tabela 03 – Despesas realizadas</w:t>
      </w:r>
      <w:r w:rsidR="006B225F">
        <w:rPr>
          <w:rFonts w:ascii="Arial" w:hAnsi="Arial" w:cs="Arial"/>
          <w:sz w:val="24"/>
          <w:szCs w:val="20"/>
        </w:rPr>
        <w:t xml:space="preserve"> no período 2004-2013,</w:t>
      </w:r>
      <w:r w:rsidRPr="003877B0">
        <w:rPr>
          <w:rFonts w:ascii="Arial" w:hAnsi="Arial" w:cs="Arial"/>
          <w:sz w:val="24"/>
          <w:szCs w:val="20"/>
        </w:rPr>
        <w:t xml:space="preserve"> Grupo 03 – Outras Despesas Correntes, por item –</w:t>
      </w:r>
      <w:r>
        <w:rPr>
          <w:rFonts w:ascii="Arial" w:hAnsi="Arial" w:cs="Arial"/>
          <w:sz w:val="24"/>
          <w:szCs w:val="20"/>
        </w:rPr>
        <w:t xml:space="preserve"> Secretaria de </w:t>
      </w:r>
      <w:r w:rsidRPr="003877B0">
        <w:rPr>
          <w:rFonts w:ascii="Arial" w:hAnsi="Arial" w:cs="Arial"/>
          <w:sz w:val="24"/>
          <w:szCs w:val="20"/>
        </w:rPr>
        <w:t>Adm</w:t>
      </w:r>
      <w:r>
        <w:rPr>
          <w:rFonts w:ascii="Arial" w:hAnsi="Arial" w:cs="Arial"/>
          <w:sz w:val="24"/>
          <w:szCs w:val="20"/>
        </w:rPr>
        <w:t xml:space="preserve">inistração </w:t>
      </w:r>
      <w:r w:rsidRPr="003877B0">
        <w:rPr>
          <w:rFonts w:ascii="Arial" w:hAnsi="Arial" w:cs="Arial"/>
          <w:sz w:val="24"/>
          <w:szCs w:val="20"/>
        </w:rPr>
        <w:t>Penit</w:t>
      </w:r>
      <w:r>
        <w:rPr>
          <w:rFonts w:ascii="Arial" w:hAnsi="Arial" w:cs="Arial"/>
          <w:sz w:val="24"/>
          <w:szCs w:val="20"/>
        </w:rPr>
        <w:t>enciária e Justiça</w:t>
      </w:r>
    </w:p>
    <w:tbl>
      <w:tblPr>
        <w:tblW w:w="9089" w:type="dxa"/>
        <w:tblInd w:w="53" w:type="dxa"/>
        <w:tblCellMar>
          <w:left w:w="70" w:type="dxa"/>
          <w:right w:w="70" w:type="dxa"/>
        </w:tblCellMar>
        <w:tblLook w:val="04A0"/>
      </w:tblPr>
      <w:tblGrid>
        <w:gridCol w:w="6396"/>
        <w:gridCol w:w="1712"/>
        <w:gridCol w:w="981"/>
      </w:tblGrid>
      <w:tr w:rsidR="002F1E8F" w:rsidRPr="005A6AA3" w:rsidTr="005A6AA3">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2F1E8F" w:rsidRPr="005A6AA3" w:rsidRDefault="002F1E8F" w:rsidP="005A6AA3">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2F1E8F" w:rsidRPr="005A6AA3" w:rsidRDefault="002F1E8F" w:rsidP="00020AC9">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Valor (R$)</w:t>
            </w:r>
          </w:p>
        </w:tc>
        <w:tc>
          <w:tcPr>
            <w:tcW w:w="9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2F1E8F" w:rsidRPr="005A6AA3" w:rsidRDefault="002F1E8F" w:rsidP="00020AC9">
            <w:pPr>
              <w:spacing w:after="0" w:line="240" w:lineRule="auto"/>
              <w:jc w:val="center"/>
              <w:rPr>
                <w:rFonts w:ascii="Arial" w:eastAsia="Times New Roman" w:hAnsi="Arial" w:cs="Arial"/>
                <w:b/>
                <w:bCs/>
                <w:sz w:val="20"/>
                <w:szCs w:val="16"/>
              </w:rPr>
            </w:pPr>
            <w:r w:rsidRPr="005A6AA3">
              <w:rPr>
                <w:rFonts w:ascii="Arial" w:eastAsia="Times New Roman" w:hAnsi="Arial" w:cs="Arial"/>
                <w:b/>
                <w:bCs/>
                <w:sz w:val="20"/>
                <w:szCs w:val="16"/>
              </w:rPr>
              <w:t>%</w:t>
            </w:r>
          </w:p>
        </w:tc>
      </w:tr>
      <w:tr w:rsidR="002F1E8F" w:rsidRPr="004A43F1" w:rsidTr="005A6AA3">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020AC9">
            <w:pPr>
              <w:spacing w:after="0"/>
              <w:rPr>
                <w:rFonts w:ascii="Arial" w:hAnsi="Arial" w:cs="Arial"/>
                <w:sz w:val="20"/>
                <w:szCs w:val="20"/>
              </w:rPr>
            </w:pPr>
            <w:r w:rsidRPr="004A43F1">
              <w:rPr>
                <w:rFonts w:ascii="Arial" w:hAnsi="Arial" w:cs="Arial"/>
                <w:sz w:val="20"/>
                <w:szCs w:val="20"/>
              </w:rPr>
              <w:t>Fornecimento de Alimentação</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58.143.692,27</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39,26%</w:t>
            </w:r>
          </w:p>
        </w:tc>
      </w:tr>
      <w:tr w:rsidR="002F1E8F"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rPr>
                <w:rFonts w:ascii="Arial" w:hAnsi="Arial" w:cs="Arial"/>
                <w:sz w:val="20"/>
                <w:szCs w:val="20"/>
              </w:rPr>
            </w:pPr>
            <w:r w:rsidRPr="004A43F1">
              <w:rPr>
                <w:rFonts w:ascii="Arial" w:hAnsi="Arial" w:cs="Arial"/>
                <w:sz w:val="20"/>
                <w:szCs w:val="20"/>
              </w:rPr>
              <w:t>Gêneros Alimentícios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28.048.708,62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18,94%</w:t>
            </w:r>
          </w:p>
        </w:tc>
      </w:tr>
      <w:tr w:rsidR="002F1E8F"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rPr>
                <w:rFonts w:ascii="Arial" w:hAnsi="Arial" w:cs="Arial"/>
                <w:sz w:val="20"/>
                <w:szCs w:val="20"/>
              </w:rPr>
            </w:pPr>
            <w:r w:rsidRPr="004A43F1">
              <w:rPr>
                <w:rFonts w:ascii="Arial" w:hAnsi="Arial" w:cs="Arial"/>
                <w:sz w:val="20"/>
                <w:szCs w:val="20"/>
              </w:rPr>
              <w:t>Outras Transferências a Municípios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22.344.401,21</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15,09%</w:t>
            </w:r>
          </w:p>
        </w:tc>
      </w:tr>
      <w:tr w:rsidR="002F1E8F"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rPr>
                <w:rFonts w:ascii="Arial" w:hAnsi="Arial" w:cs="Arial"/>
                <w:sz w:val="20"/>
                <w:szCs w:val="20"/>
              </w:rPr>
            </w:pPr>
            <w:r w:rsidRPr="004A43F1">
              <w:rPr>
                <w:rFonts w:ascii="Arial" w:hAnsi="Arial" w:cs="Arial"/>
                <w:sz w:val="20"/>
                <w:szCs w:val="20"/>
              </w:rPr>
              <w:t>Salários de Internos em Penitenciárias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11.797.503,08</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jc w:val="right"/>
              <w:rPr>
                <w:rFonts w:ascii="Arial" w:hAnsi="Arial" w:cs="Arial"/>
                <w:sz w:val="20"/>
                <w:szCs w:val="20"/>
              </w:rPr>
            </w:pPr>
            <w:r w:rsidRPr="004A43F1">
              <w:rPr>
                <w:rFonts w:ascii="Arial" w:hAnsi="Arial" w:cs="Arial"/>
                <w:sz w:val="20"/>
                <w:szCs w:val="20"/>
              </w:rPr>
              <w:t>7,97%</w:t>
            </w:r>
          </w:p>
        </w:tc>
      </w:tr>
      <w:tr w:rsidR="002F1E8F" w:rsidRPr="004A43F1" w:rsidTr="005A6AA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4A43F1">
            <w:pPr>
              <w:spacing w:after="0" w:line="240" w:lineRule="auto"/>
              <w:rPr>
                <w:rFonts w:ascii="Arial" w:eastAsia="Times New Roman" w:hAnsi="Arial" w:cs="Arial"/>
                <w:sz w:val="20"/>
                <w:szCs w:val="20"/>
              </w:rPr>
            </w:pPr>
            <w:r w:rsidRPr="004A43F1">
              <w:rPr>
                <w:rFonts w:ascii="Arial" w:eastAsia="Times New Roman" w:hAnsi="Arial" w:cs="Arial"/>
                <w:sz w:val="20"/>
                <w:szCs w:val="20"/>
              </w:rPr>
              <w:t>Outras Despesas (somatório de 13</w:t>
            </w:r>
            <w:r w:rsidR="004A43F1">
              <w:rPr>
                <w:rFonts w:ascii="Arial" w:eastAsia="Times New Roman" w:hAnsi="Arial" w:cs="Arial"/>
                <w:sz w:val="20"/>
                <w:szCs w:val="20"/>
              </w:rPr>
              <w:t>3</w:t>
            </w:r>
            <w:r w:rsidRPr="004A43F1">
              <w:rPr>
                <w:rFonts w:ascii="Arial" w:eastAsia="Times New Roman" w:hAnsi="Arial" w:cs="Arial"/>
                <w:sz w:val="20"/>
                <w:szCs w:val="20"/>
              </w:rPr>
              <w:t xml:space="preserve">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line="240" w:lineRule="auto"/>
              <w:jc w:val="right"/>
              <w:rPr>
                <w:rFonts w:ascii="Arial" w:eastAsia="Times New Roman" w:hAnsi="Arial" w:cs="Arial"/>
                <w:sz w:val="20"/>
                <w:szCs w:val="20"/>
              </w:rPr>
            </w:pPr>
            <w:r w:rsidRPr="004A43F1">
              <w:rPr>
                <w:rFonts w:ascii="Arial" w:eastAsia="Times New Roman" w:hAnsi="Arial" w:cs="Arial"/>
                <w:sz w:val="20"/>
                <w:szCs w:val="20"/>
              </w:rPr>
              <w:t>27.753.791,75</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2F1E8F" w:rsidRPr="004A43F1" w:rsidRDefault="002F1E8F" w:rsidP="002F1E8F">
            <w:pPr>
              <w:spacing w:after="0" w:line="240" w:lineRule="auto"/>
              <w:jc w:val="right"/>
              <w:rPr>
                <w:rFonts w:ascii="Arial" w:eastAsia="Times New Roman" w:hAnsi="Arial" w:cs="Arial"/>
                <w:sz w:val="20"/>
                <w:szCs w:val="20"/>
              </w:rPr>
            </w:pPr>
            <w:r w:rsidRPr="004A43F1">
              <w:rPr>
                <w:rFonts w:ascii="Arial" w:eastAsia="Times New Roman" w:hAnsi="Arial" w:cs="Arial"/>
                <w:sz w:val="20"/>
                <w:szCs w:val="20"/>
              </w:rPr>
              <w:t>18,74%</w:t>
            </w:r>
          </w:p>
        </w:tc>
      </w:tr>
      <w:tr w:rsidR="002F1E8F" w:rsidRPr="004A43F1" w:rsidTr="005A6AA3">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2F1E8F" w:rsidRPr="004A43F1" w:rsidRDefault="002F1E8F" w:rsidP="002F1E8F">
            <w:pPr>
              <w:spacing w:after="0" w:line="240" w:lineRule="auto"/>
              <w:rPr>
                <w:rFonts w:ascii="Arial" w:eastAsia="Times New Roman" w:hAnsi="Arial" w:cs="Arial"/>
                <w:b/>
                <w:sz w:val="20"/>
                <w:szCs w:val="20"/>
              </w:rPr>
            </w:pPr>
            <w:r w:rsidRPr="004A43F1">
              <w:rPr>
                <w:rFonts w:ascii="Arial" w:eastAsia="Times New Roman" w:hAnsi="Arial" w:cs="Arial"/>
                <w:b/>
                <w:sz w:val="20"/>
                <w:szCs w:val="20"/>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2F1E8F" w:rsidRPr="004A43F1" w:rsidRDefault="002F1E8F" w:rsidP="002F1E8F">
            <w:pPr>
              <w:spacing w:after="0" w:line="240" w:lineRule="auto"/>
              <w:jc w:val="right"/>
              <w:rPr>
                <w:rFonts w:ascii="Arial" w:eastAsia="Times New Roman" w:hAnsi="Arial" w:cs="Arial"/>
                <w:b/>
                <w:sz w:val="20"/>
                <w:szCs w:val="20"/>
              </w:rPr>
            </w:pPr>
            <w:r w:rsidRPr="004A43F1">
              <w:rPr>
                <w:rFonts w:ascii="Arial" w:eastAsia="Times New Roman" w:hAnsi="Arial" w:cs="Arial"/>
                <w:b/>
                <w:sz w:val="20"/>
                <w:szCs w:val="20"/>
              </w:rPr>
              <w:t>148.088.096,93</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2F1E8F" w:rsidRPr="004A43F1" w:rsidRDefault="002F1E8F" w:rsidP="002F1E8F">
            <w:pPr>
              <w:spacing w:after="0" w:line="240" w:lineRule="auto"/>
              <w:jc w:val="right"/>
              <w:rPr>
                <w:rFonts w:ascii="Arial" w:eastAsia="Times New Roman" w:hAnsi="Arial" w:cs="Arial"/>
                <w:b/>
                <w:sz w:val="20"/>
                <w:szCs w:val="20"/>
              </w:rPr>
            </w:pPr>
            <w:r w:rsidRPr="004A43F1">
              <w:rPr>
                <w:rFonts w:ascii="Arial" w:eastAsia="Times New Roman" w:hAnsi="Arial" w:cs="Arial"/>
                <w:b/>
                <w:sz w:val="20"/>
                <w:szCs w:val="20"/>
              </w:rPr>
              <w:t>100,00%</w:t>
            </w:r>
          </w:p>
        </w:tc>
      </w:tr>
    </w:tbl>
    <w:p w:rsidR="002F1E8F" w:rsidRPr="00A50CF7" w:rsidRDefault="002F1E8F" w:rsidP="002F1E8F">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2F1E8F" w:rsidRDefault="002F1E8F" w:rsidP="008E77BA">
      <w:pPr>
        <w:spacing w:after="0" w:line="360" w:lineRule="auto"/>
        <w:jc w:val="both"/>
        <w:rPr>
          <w:rFonts w:ascii="Arial" w:hAnsi="Arial" w:cs="Arial"/>
          <w:sz w:val="24"/>
          <w:szCs w:val="20"/>
        </w:rPr>
      </w:pPr>
    </w:p>
    <w:p w:rsidR="008E77BA" w:rsidRDefault="008E77BA" w:rsidP="002F1E8F">
      <w:pPr>
        <w:spacing w:after="0" w:line="360" w:lineRule="auto"/>
        <w:ind w:firstLine="708"/>
        <w:jc w:val="both"/>
        <w:rPr>
          <w:rFonts w:ascii="Arial" w:hAnsi="Arial" w:cs="Arial"/>
          <w:sz w:val="24"/>
          <w:szCs w:val="20"/>
        </w:rPr>
      </w:pPr>
      <w:r>
        <w:rPr>
          <w:rFonts w:ascii="Arial" w:hAnsi="Arial" w:cs="Arial"/>
          <w:sz w:val="24"/>
          <w:szCs w:val="20"/>
        </w:rPr>
        <w:t>Ainda em relação ao desdobramento das despesas do Grupo 03 – Outras Despesas Correntes, a entidade que mais chamou a atenção foi o Fundo Estadual de Segurança Pública – FUNESP (tabela 0</w:t>
      </w:r>
      <w:r w:rsidR="002F1E8F">
        <w:rPr>
          <w:rFonts w:ascii="Arial" w:hAnsi="Arial" w:cs="Arial"/>
          <w:sz w:val="24"/>
          <w:szCs w:val="20"/>
        </w:rPr>
        <w:t>4</w:t>
      </w:r>
      <w:r>
        <w:rPr>
          <w:rFonts w:ascii="Arial" w:hAnsi="Arial" w:cs="Arial"/>
          <w:sz w:val="24"/>
          <w:szCs w:val="20"/>
        </w:rPr>
        <w:t>). Um único item de despesa represent</w:t>
      </w:r>
      <w:r w:rsidR="00B50C20">
        <w:rPr>
          <w:rFonts w:ascii="Arial" w:hAnsi="Arial" w:cs="Arial"/>
          <w:sz w:val="24"/>
          <w:szCs w:val="20"/>
        </w:rPr>
        <w:t>ou</w:t>
      </w:r>
      <w:r>
        <w:rPr>
          <w:rFonts w:ascii="Arial" w:hAnsi="Arial" w:cs="Arial"/>
          <w:sz w:val="24"/>
          <w:szCs w:val="20"/>
        </w:rPr>
        <w:t xml:space="preserve"> 74,63% de todos os gastos do período. Trata-se das despesas relativas à “</w:t>
      </w:r>
      <w:r w:rsidRPr="008E77BA">
        <w:rPr>
          <w:rFonts w:ascii="Arial" w:hAnsi="Arial" w:cs="Arial"/>
          <w:sz w:val="24"/>
          <w:szCs w:val="20"/>
        </w:rPr>
        <w:t>Locação de Meios de Transporte para Deslocamento de Pessoal em Serviço</w:t>
      </w:r>
      <w:r>
        <w:rPr>
          <w:rFonts w:ascii="Arial" w:hAnsi="Arial" w:cs="Arial"/>
          <w:sz w:val="24"/>
          <w:szCs w:val="20"/>
        </w:rPr>
        <w:t>”, cuja finalidade é a locação das viaturas</w:t>
      </w:r>
      <w:r w:rsidR="009541CC">
        <w:rPr>
          <w:rFonts w:ascii="Arial" w:hAnsi="Arial" w:cs="Arial"/>
          <w:sz w:val="24"/>
          <w:szCs w:val="20"/>
        </w:rPr>
        <w:t xml:space="preserve"> operacionais</w:t>
      </w:r>
      <w:r>
        <w:rPr>
          <w:rFonts w:ascii="Arial" w:hAnsi="Arial" w:cs="Arial"/>
          <w:sz w:val="24"/>
          <w:szCs w:val="20"/>
        </w:rPr>
        <w:t xml:space="preserve"> utilizadas pelas polícias civil e militar. As demais despesas, com</w:t>
      </w:r>
      <w:r w:rsidR="005B703B">
        <w:rPr>
          <w:rFonts w:ascii="Arial" w:hAnsi="Arial" w:cs="Arial"/>
          <w:sz w:val="24"/>
          <w:szCs w:val="20"/>
        </w:rPr>
        <w:t>postas por 118 itens, totaliza</w:t>
      </w:r>
      <w:r w:rsidR="008461DC">
        <w:rPr>
          <w:rFonts w:ascii="Arial" w:hAnsi="Arial" w:cs="Arial"/>
          <w:sz w:val="24"/>
          <w:szCs w:val="20"/>
        </w:rPr>
        <w:t>ra</w:t>
      </w:r>
      <w:r w:rsidR="005B703B">
        <w:rPr>
          <w:rFonts w:ascii="Arial" w:hAnsi="Arial" w:cs="Arial"/>
          <w:sz w:val="24"/>
          <w:szCs w:val="20"/>
        </w:rPr>
        <w:t xml:space="preserve">m </w:t>
      </w:r>
      <w:r w:rsidR="009541CC">
        <w:rPr>
          <w:rFonts w:ascii="Arial" w:hAnsi="Arial" w:cs="Arial"/>
          <w:sz w:val="24"/>
          <w:szCs w:val="20"/>
        </w:rPr>
        <w:t xml:space="preserve">os </w:t>
      </w:r>
      <w:r w:rsidR="005B703B">
        <w:rPr>
          <w:rFonts w:ascii="Arial" w:hAnsi="Arial" w:cs="Arial"/>
          <w:sz w:val="24"/>
          <w:szCs w:val="20"/>
        </w:rPr>
        <w:t>25,37% restantes.</w:t>
      </w:r>
    </w:p>
    <w:p w:rsidR="00020AC9" w:rsidRDefault="00020AC9" w:rsidP="00020AC9">
      <w:pPr>
        <w:spacing w:after="0" w:line="360" w:lineRule="auto"/>
        <w:jc w:val="both"/>
        <w:rPr>
          <w:rFonts w:ascii="Arial" w:hAnsi="Arial" w:cs="Arial"/>
          <w:sz w:val="24"/>
          <w:szCs w:val="20"/>
        </w:rPr>
      </w:pPr>
    </w:p>
    <w:p w:rsidR="008E77BA" w:rsidRDefault="00020AC9" w:rsidP="00020AC9">
      <w:pPr>
        <w:tabs>
          <w:tab w:val="left" w:pos="709"/>
        </w:tabs>
        <w:spacing w:line="240" w:lineRule="auto"/>
        <w:jc w:val="both"/>
        <w:rPr>
          <w:rFonts w:ascii="Arial" w:hAnsi="Arial" w:cs="Arial"/>
          <w:sz w:val="24"/>
          <w:szCs w:val="20"/>
        </w:rPr>
      </w:pPr>
      <w:r w:rsidRPr="00020AC9">
        <w:rPr>
          <w:rFonts w:ascii="Arial" w:hAnsi="Arial" w:cs="Arial"/>
          <w:sz w:val="24"/>
          <w:szCs w:val="20"/>
        </w:rPr>
        <w:t xml:space="preserve">Tabela 04 – Despesas realizadas </w:t>
      </w:r>
      <w:r w:rsidR="006B225F">
        <w:rPr>
          <w:rFonts w:ascii="Arial" w:hAnsi="Arial" w:cs="Arial"/>
          <w:sz w:val="24"/>
          <w:szCs w:val="20"/>
        </w:rPr>
        <w:t>no período 2004-2013,</w:t>
      </w:r>
      <w:r w:rsidRPr="00020AC9">
        <w:rPr>
          <w:rFonts w:ascii="Arial" w:hAnsi="Arial" w:cs="Arial"/>
          <w:sz w:val="24"/>
          <w:szCs w:val="20"/>
        </w:rPr>
        <w:t xml:space="preserve"> Grupo 03 – Outras Despesas Correntes, por item –FUNESP</w:t>
      </w:r>
    </w:p>
    <w:tbl>
      <w:tblPr>
        <w:tblW w:w="9149" w:type="dxa"/>
        <w:tblInd w:w="53" w:type="dxa"/>
        <w:tblCellMar>
          <w:left w:w="70" w:type="dxa"/>
          <w:right w:w="70" w:type="dxa"/>
        </w:tblCellMar>
        <w:tblLook w:val="04A0"/>
      </w:tblPr>
      <w:tblGrid>
        <w:gridCol w:w="6396"/>
        <w:gridCol w:w="1712"/>
        <w:gridCol w:w="1041"/>
      </w:tblGrid>
      <w:tr w:rsidR="008E77BA" w:rsidRPr="00652822" w:rsidTr="00570AB8">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8E77BA" w:rsidRPr="00652822" w:rsidRDefault="008E77BA" w:rsidP="00652822">
            <w:pPr>
              <w:spacing w:after="0" w:line="240" w:lineRule="auto"/>
              <w:jc w:val="center"/>
              <w:rPr>
                <w:rFonts w:ascii="Arial" w:eastAsia="Times New Roman" w:hAnsi="Arial" w:cs="Arial"/>
                <w:b/>
                <w:bCs/>
                <w:sz w:val="20"/>
                <w:szCs w:val="20"/>
              </w:rPr>
            </w:pPr>
            <w:r w:rsidRPr="00652822">
              <w:rPr>
                <w:rFonts w:ascii="Arial" w:eastAsia="Times New Roman" w:hAnsi="Arial" w:cs="Arial"/>
                <w:b/>
                <w:bCs/>
                <w:sz w:val="20"/>
                <w:szCs w:val="20"/>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8E77BA" w:rsidRPr="00652822" w:rsidRDefault="008E77BA" w:rsidP="00020AC9">
            <w:pPr>
              <w:spacing w:after="0" w:line="240" w:lineRule="auto"/>
              <w:jc w:val="center"/>
              <w:rPr>
                <w:rFonts w:ascii="Arial" w:eastAsia="Times New Roman" w:hAnsi="Arial" w:cs="Arial"/>
                <w:b/>
                <w:bCs/>
                <w:sz w:val="20"/>
                <w:szCs w:val="20"/>
              </w:rPr>
            </w:pPr>
            <w:r w:rsidRPr="00652822">
              <w:rPr>
                <w:rFonts w:ascii="Arial" w:eastAsia="Times New Roman" w:hAnsi="Arial" w:cs="Arial"/>
                <w:b/>
                <w:bCs/>
                <w:sz w:val="20"/>
                <w:szCs w:val="20"/>
              </w:rPr>
              <w:t>Valor (R$)</w:t>
            </w:r>
          </w:p>
        </w:tc>
        <w:tc>
          <w:tcPr>
            <w:tcW w:w="10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8E77BA" w:rsidRPr="00652822" w:rsidRDefault="008E77BA" w:rsidP="00020AC9">
            <w:pPr>
              <w:spacing w:after="0" w:line="240" w:lineRule="auto"/>
              <w:jc w:val="center"/>
              <w:rPr>
                <w:rFonts w:ascii="Arial" w:eastAsia="Times New Roman" w:hAnsi="Arial" w:cs="Arial"/>
                <w:b/>
                <w:bCs/>
                <w:sz w:val="20"/>
                <w:szCs w:val="20"/>
              </w:rPr>
            </w:pPr>
            <w:r w:rsidRPr="00652822">
              <w:rPr>
                <w:rFonts w:ascii="Arial" w:eastAsia="Times New Roman" w:hAnsi="Arial" w:cs="Arial"/>
                <w:b/>
                <w:bCs/>
                <w:sz w:val="20"/>
                <w:szCs w:val="20"/>
              </w:rPr>
              <w:t>%</w:t>
            </w:r>
          </w:p>
        </w:tc>
      </w:tr>
      <w:tr w:rsidR="008E77BA" w:rsidRPr="00B50C20" w:rsidTr="00652822">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5B703B" w:rsidP="00020AC9">
            <w:pPr>
              <w:spacing w:after="0" w:line="240" w:lineRule="auto"/>
              <w:rPr>
                <w:rFonts w:ascii="Arial" w:eastAsia="Times New Roman" w:hAnsi="Arial" w:cs="Arial"/>
                <w:sz w:val="20"/>
                <w:szCs w:val="20"/>
              </w:rPr>
            </w:pPr>
            <w:r w:rsidRPr="00B50C20">
              <w:rPr>
                <w:rFonts w:ascii="Arial" w:hAnsi="Arial" w:cs="Arial"/>
                <w:sz w:val="20"/>
                <w:szCs w:val="20"/>
              </w:rPr>
              <w:t>Locação de Meios de Transporte para Deslocamento de Pessoal em Serviço</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5B703B" w:rsidP="00110E19">
            <w:pPr>
              <w:spacing w:after="0" w:line="240" w:lineRule="auto"/>
              <w:jc w:val="right"/>
              <w:rPr>
                <w:rFonts w:ascii="Arial" w:eastAsia="Times New Roman" w:hAnsi="Arial" w:cs="Arial"/>
                <w:sz w:val="20"/>
                <w:szCs w:val="20"/>
              </w:rPr>
            </w:pPr>
            <w:r w:rsidRPr="00B50C20">
              <w:rPr>
                <w:rFonts w:ascii="Arial" w:eastAsia="Times New Roman" w:hAnsi="Arial" w:cs="Arial"/>
                <w:sz w:val="20"/>
                <w:szCs w:val="20"/>
              </w:rPr>
              <w:t>236.403.580,71</w:t>
            </w:r>
          </w:p>
        </w:tc>
        <w:tc>
          <w:tcPr>
            <w:tcW w:w="104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8E77BA" w:rsidP="00110E19">
            <w:pPr>
              <w:spacing w:after="0" w:line="240" w:lineRule="auto"/>
              <w:jc w:val="right"/>
              <w:rPr>
                <w:rFonts w:ascii="Arial" w:eastAsia="Times New Roman" w:hAnsi="Arial" w:cs="Arial"/>
                <w:sz w:val="20"/>
                <w:szCs w:val="20"/>
              </w:rPr>
            </w:pPr>
            <w:r w:rsidRPr="00B50C20">
              <w:rPr>
                <w:rFonts w:ascii="Arial" w:eastAsia="Times New Roman" w:hAnsi="Arial" w:cs="Arial"/>
                <w:sz w:val="20"/>
                <w:szCs w:val="20"/>
              </w:rPr>
              <w:t>74,63%</w:t>
            </w:r>
          </w:p>
        </w:tc>
      </w:tr>
      <w:tr w:rsidR="008E77BA" w:rsidRPr="00B50C20" w:rsidTr="00652822">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5B703B" w:rsidP="005B703B">
            <w:pPr>
              <w:spacing w:after="0" w:line="240" w:lineRule="auto"/>
              <w:rPr>
                <w:rFonts w:ascii="Arial" w:eastAsia="Times New Roman" w:hAnsi="Arial" w:cs="Arial"/>
                <w:sz w:val="20"/>
                <w:szCs w:val="20"/>
              </w:rPr>
            </w:pPr>
            <w:r w:rsidRPr="00B50C20">
              <w:rPr>
                <w:rFonts w:ascii="Arial" w:eastAsia="Times New Roman" w:hAnsi="Arial" w:cs="Arial"/>
                <w:sz w:val="20"/>
                <w:szCs w:val="16"/>
              </w:rPr>
              <w:t>Outras Despesas (somatório de 117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5B703B" w:rsidP="00110E19">
            <w:pPr>
              <w:spacing w:after="0" w:line="240" w:lineRule="auto"/>
              <w:jc w:val="right"/>
              <w:rPr>
                <w:rFonts w:ascii="Arial" w:eastAsia="Times New Roman" w:hAnsi="Arial" w:cs="Arial"/>
                <w:sz w:val="20"/>
                <w:szCs w:val="20"/>
              </w:rPr>
            </w:pPr>
            <w:r w:rsidRPr="00B50C20">
              <w:rPr>
                <w:rFonts w:ascii="Arial" w:eastAsia="Times New Roman" w:hAnsi="Arial" w:cs="Arial"/>
                <w:sz w:val="20"/>
                <w:szCs w:val="20"/>
              </w:rPr>
              <w:t>80.363.930,79</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8E77BA" w:rsidRPr="00B50C20" w:rsidRDefault="008E77BA" w:rsidP="00110E19">
            <w:pPr>
              <w:spacing w:after="0" w:line="240" w:lineRule="auto"/>
              <w:jc w:val="right"/>
              <w:rPr>
                <w:rFonts w:ascii="Arial" w:eastAsia="Times New Roman" w:hAnsi="Arial" w:cs="Arial"/>
                <w:sz w:val="20"/>
                <w:szCs w:val="20"/>
              </w:rPr>
            </w:pPr>
            <w:r w:rsidRPr="00B50C20">
              <w:rPr>
                <w:rFonts w:ascii="Arial" w:eastAsia="Times New Roman" w:hAnsi="Arial" w:cs="Arial"/>
                <w:sz w:val="20"/>
                <w:szCs w:val="20"/>
              </w:rPr>
              <w:t>25,37%</w:t>
            </w:r>
          </w:p>
        </w:tc>
      </w:tr>
      <w:tr w:rsidR="008E77BA" w:rsidRPr="00B50C20" w:rsidTr="00652822">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8E77BA" w:rsidRPr="00B50C20" w:rsidRDefault="008E77BA" w:rsidP="00110E19">
            <w:pPr>
              <w:spacing w:after="0" w:line="240" w:lineRule="auto"/>
              <w:rPr>
                <w:rFonts w:ascii="Arial" w:eastAsia="Times New Roman" w:hAnsi="Arial" w:cs="Arial"/>
                <w:b/>
                <w:sz w:val="20"/>
                <w:szCs w:val="20"/>
              </w:rPr>
            </w:pPr>
            <w:r w:rsidRPr="00B50C20">
              <w:rPr>
                <w:rFonts w:ascii="Arial" w:eastAsia="Times New Roman" w:hAnsi="Arial" w:cs="Arial"/>
                <w:b/>
                <w:sz w:val="20"/>
                <w:szCs w:val="20"/>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8E77BA" w:rsidRPr="00B50C20" w:rsidRDefault="005B703B" w:rsidP="00110E19">
            <w:pPr>
              <w:spacing w:after="0" w:line="240" w:lineRule="auto"/>
              <w:jc w:val="right"/>
              <w:rPr>
                <w:rFonts w:ascii="Arial" w:eastAsia="Times New Roman" w:hAnsi="Arial" w:cs="Arial"/>
                <w:b/>
                <w:sz w:val="20"/>
                <w:szCs w:val="20"/>
              </w:rPr>
            </w:pPr>
            <w:r w:rsidRPr="00B50C20">
              <w:rPr>
                <w:rFonts w:ascii="Arial" w:eastAsia="Times New Roman" w:hAnsi="Arial" w:cs="Arial"/>
                <w:b/>
                <w:sz w:val="20"/>
                <w:szCs w:val="20"/>
              </w:rPr>
              <w:t>316.767.511,50</w:t>
            </w:r>
          </w:p>
        </w:tc>
        <w:tc>
          <w:tcPr>
            <w:tcW w:w="104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8E77BA" w:rsidRPr="00B50C20" w:rsidRDefault="008E77BA" w:rsidP="00110E19">
            <w:pPr>
              <w:spacing w:after="0" w:line="240" w:lineRule="auto"/>
              <w:jc w:val="right"/>
              <w:rPr>
                <w:rFonts w:ascii="Arial" w:eastAsia="Times New Roman" w:hAnsi="Arial" w:cs="Arial"/>
                <w:b/>
                <w:sz w:val="20"/>
                <w:szCs w:val="20"/>
              </w:rPr>
            </w:pPr>
            <w:r w:rsidRPr="00B50C20">
              <w:rPr>
                <w:rFonts w:ascii="Arial" w:eastAsia="Times New Roman" w:hAnsi="Arial" w:cs="Arial"/>
                <w:b/>
                <w:sz w:val="20"/>
                <w:szCs w:val="20"/>
              </w:rPr>
              <w:t>100,00%</w:t>
            </w:r>
          </w:p>
        </w:tc>
      </w:tr>
    </w:tbl>
    <w:p w:rsidR="005B703B" w:rsidRPr="00A50CF7" w:rsidRDefault="005B703B" w:rsidP="005B703B">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D86FC8" w:rsidRDefault="00D86FC8" w:rsidP="00D86FC8">
      <w:pPr>
        <w:tabs>
          <w:tab w:val="left" w:pos="709"/>
        </w:tabs>
        <w:spacing w:after="0" w:line="360" w:lineRule="auto"/>
        <w:jc w:val="both"/>
        <w:rPr>
          <w:rFonts w:ascii="Arial" w:hAnsi="Arial" w:cs="Arial"/>
          <w:sz w:val="24"/>
          <w:szCs w:val="20"/>
        </w:rPr>
      </w:pPr>
    </w:p>
    <w:p w:rsidR="00D86FC8" w:rsidRDefault="00D86FC8" w:rsidP="003954D7">
      <w:pPr>
        <w:spacing w:after="0" w:line="360" w:lineRule="auto"/>
        <w:jc w:val="both"/>
        <w:rPr>
          <w:rFonts w:ascii="Arial" w:hAnsi="Arial" w:cs="Arial"/>
          <w:sz w:val="24"/>
          <w:szCs w:val="20"/>
        </w:rPr>
      </w:pPr>
      <w:r>
        <w:rPr>
          <w:rFonts w:ascii="Arial" w:hAnsi="Arial" w:cs="Arial"/>
          <w:sz w:val="24"/>
          <w:szCs w:val="20"/>
        </w:rPr>
        <w:tab/>
        <w:t xml:space="preserve">Da análise dos dados relativos às despesas do Grupo 04 – Investimentos (Gráfico 04), </w:t>
      </w:r>
      <w:r w:rsidR="00D22CC1">
        <w:rPr>
          <w:rFonts w:ascii="Arial" w:hAnsi="Arial" w:cs="Arial"/>
          <w:sz w:val="24"/>
          <w:szCs w:val="20"/>
        </w:rPr>
        <w:t xml:space="preserve">à exceção do Fundo Estadual de Segurança Pública que apresentou gasto atípico no ano de 2009, atingindo cerca de R$45 milhões em investimentos, </w:t>
      </w:r>
      <w:r w:rsidR="00216AB5">
        <w:rPr>
          <w:rFonts w:ascii="Arial" w:hAnsi="Arial" w:cs="Arial"/>
          <w:sz w:val="24"/>
          <w:szCs w:val="20"/>
        </w:rPr>
        <w:t xml:space="preserve">todos os órgãos e entidades avaliados não demonstraram queda ou </w:t>
      </w:r>
      <w:r w:rsidR="006F70C2">
        <w:rPr>
          <w:rFonts w:ascii="Arial" w:hAnsi="Arial" w:cs="Arial"/>
          <w:sz w:val="24"/>
          <w:szCs w:val="20"/>
        </w:rPr>
        <w:t>aumento significativo nas despesas no decorrer do período.</w:t>
      </w:r>
    </w:p>
    <w:p w:rsidR="0055746B" w:rsidRDefault="0055746B" w:rsidP="00020AC9">
      <w:pPr>
        <w:tabs>
          <w:tab w:val="left" w:pos="709"/>
        </w:tabs>
        <w:spacing w:line="240" w:lineRule="auto"/>
        <w:jc w:val="both"/>
        <w:rPr>
          <w:rFonts w:ascii="Arial" w:hAnsi="Arial" w:cs="Arial"/>
          <w:sz w:val="24"/>
          <w:szCs w:val="20"/>
        </w:rPr>
      </w:pPr>
    </w:p>
    <w:p w:rsidR="0055746B" w:rsidRDefault="0055746B" w:rsidP="00020AC9">
      <w:pPr>
        <w:tabs>
          <w:tab w:val="left" w:pos="709"/>
        </w:tabs>
        <w:spacing w:line="240" w:lineRule="auto"/>
        <w:jc w:val="both"/>
        <w:rPr>
          <w:rFonts w:ascii="Arial" w:hAnsi="Arial" w:cs="Arial"/>
          <w:sz w:val="24"/>
          <w:szCs w:val="20"/>
        </w:rPr>
      </w:pPr>
    </w:p>
    <w:p w:rsidR="00020AC9" w:rsidRPr="00020AC9" w:rsidRDefault="00020AC9" w:rsidP="00020AC9">
      <w:pPr>
        <w:tabs>
          <w:tab w:val="left" w:pos="709"/>
        </w:tabs>
        <w:spacing w:line="240" w:lineRule="auto"/>
        <w:jc w:val="both"/>
        <w:rPr>
          <w:rFonts w:ascii="Arial" w:hAnsi="Arial" w:cs="Arial"/>
          <w:sz w:val="24"/>
          <w:szCs w:val="20"/>
        </w:rPr>
      </w:pPr>
      <w:r w:rsidRPr="00020AC9">
        <w:rPr>
          <w:rFonts w:ascii="Arial" w:hAnsi="Arial" w:cs="Arial"/>
          <w:sz w:val="24"/>
          <w:szCs w:val="20"/>
        </w:rPr>
        <w:lastRenderedPageBreak/>
        <w:t>Gráfico 04 – Investimentos (Grupo 04)</w:t>
      </w:r>
    </w:p>
    <w:p w:rsidR="00D86FC8" w:rsidRPr="008A1450" w:rsidRDefault="008A1450" w:rsidP="005B703B">
      <w:pPr>
        <w:tabs>
          <w:tab w:val="left" w:pos="709"/>
        </w:tabs>
        <w:spacing w:line="240" w:lineRule="auto"/>
        <w:jc w:val="both"/>
        <w:rPr>
          <w:rFonts w:ascii="Arial" w:hAnsi="Arial" w:cs="Arial"/>
          <w:sz w:val="24"/>
          <w:szCs w:val="20"/>
        </w:rPr>
      </w:pPr>
      <w:r w:rsidRPr="008A1450">
        <w:rPr>
          <w:rFonts w:ascii="Arial" w:hAnsi="Arial" w:cs="Arial"/>
          <w:noProof/>
          <w:sz w:val="24"/>
          <w:szCs w:val="20"/>
        </w:rPr>
        <w:drawing>
          <wp:inline distT="0" distB="0" distL="0" distR="0">
            <wp:extent cx="5685229" cy="3053759"/>
            <wp:effectExtent l="57150" t="19050" r="29771" b="0"/>
            <wp:docPr id="13"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7D5C" w:rsidRPr="00A50CF7" w:rsidRDefault="00A87D5C" w:rsidP="00A87D5C">
      <w:pPr>
        <w:tabs>
          <w:tab w:val="left" w:pos="709"/>
        </w:tabs>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8E77BA" w:rsidRDefault="008E77BA" w:rsidP="008E77BA">
      <w:pPr>
        <w:spacing w:after="0" w:line="360" w:lineRule="auto"/>
        <w:jc w:val="both"/>
        <w:rPr>
          <w:rFonts w:ascii="Arial" w:hAnsi="Arial" w:cs="Arial"/>
          <w:sz w:val="24"/>
          <w:szCs w:val="20"/>
        </w:rPr>
      </w:pPr>
    </w:p>
    <w:p w:rsidR="003954D7" w:rsidRDefault="003954D7" w:rsidP="003954D7">
      <w:pPr>
        <w:spacing w:after="0" w:line="360" w:lineRule="auto"/>
        <w:ind w:firstLine="708"/>
        <w:jc w:val="both"/>
        <w:rPr>
          <w:rFonts w:ascii="Arial" w:hAnsi="Arial" w:cs="Arial"/>
          <w:sz w:val="24"/>
          <w:szCs w:val="20"/>
        </w:rPr>
      </w:pPr>
      <w:r>
        <w:rPr>
          <w:rFonts w:ascii="Arial" w:hAnsi="Arial" w:cs="Arial"/>
          <w:sz w:val="24"/>
          <w:szCs w:val="20"/>
        </w:rPr>
        <w:t>No entanto, devido à importância dos investimentos para a área de Segurança Pública, optou-se por desdobrar as despesas considerando a somatória dos 10 exercícios analisados, onde, nos moldes das despesas do Grupo 03, se constatou grande concentração dos gastos em itens específicos de despesa.</w:t>
      </w:r>
    </w:p>
    <w:p w:rsidR="0099717A" w:rsidRDefault="0099717A" w:rsidP="003954D7">
      <w:pPr>
        <w:spacing w:after="0" w:line="360" w:lineRule="auto"/>
        <w:ind w:firstLine="708"/>
        <w:jc w:val="both"/>
        <w:rPr>
          <w:rFonts w:ascii="Arial" w:hAnsi="Arial" w:cs="Arial"/>
          <w:sz w:val="24"/>
          <w:szCs w:val="20"/>
        </w:rPr>
      </w:pPr>
      <w:r>
        <w:rPr>
          <w:rFonts w:ascii="Arial" w:hAnsi="Arial" w:cs="Arial"/>
          <w:sz w:val="24"/>
          <w:szCs w:val="20"/>
        </w:rPr>
        <w:t>Da análise das despesas realizadas pela Polícia Militar (tabela 05), 04 itens de despesa concentra</w:t>
      </w:r>
      <w:r w:rsidR="002E4F1D">
        <w:rPr>
          <w:rFonts w:ascii="Arial" w:hAnsi="Arial" w:cs="Arial"/>
          <w:sz w:val="24"/>
          <w:szCs w:val="20"/>
        </w:rPr>
        <w:t>ra</w:t>
      </w:r>
      <w:r>
        <w:rPr>
          <w:rFonts w:ascii="Arial" w:hAnsi="Arial" w:cs="Arial"/>
          <w:sz w:val="24"/>
          <w:szCs w:val="20"/>
        </w:rPr>
        <w:t>m 84,86% do total de gastos no período. São elas: Armamentos (26,11%), Automóveis (21,89%), Mobiliário (20,95%) e Equipamentos de Tecnologia da Informação (15,90%).</w:t>
      </w:r>
    </w:p>
    <w:p w:rsidR="003D26FA" w:rsidRDefault="003D26FA" w:rsidP="003D26FA">
      <w:pPr>
        <w:spacing w:after="0" w:line="360" w:lineRule="auto"/>
        <w:jc w:val="both"/>
        <w:rPr>
          <w:rFonts w:ascii="Arial" w:hAnsi="Arial" w:cs="Arial"/>
          <w:sz w:val="24"/>
          <w:szCs w:val="20"/>
        </w:rPr>
      </w:pPr>
    </w:p>
    <w:p w:rsidR="00020AC9" w:rsidRPr="00020AC9" w:rsidRDefault="00020AC9" w:rsidP="00020AC9">
      <w:pPr>
        <w:spacing w:line="240" w:lineRule="auto"/>
        <w:jc w:val="both"/>
        <w:rPr>
          <w:rFonts w:ascii="Arial" w:hAnsi="Arial" w:cs="Arial"/>
          <w:sz w:val="24"/>
          <w:szCs w:val="20"/>
        </w:rPr>
      </w:pPr>
      <w:r w:rsidRPr="00020AC9">
        <w:rPr>
          <w:rFonts w:ascii="Arial" w:hAnsi="Arial" w:cs="Arial"/>
          <w:sz w:val="24"/>
          <w:szCs w:val="20"/>
        </w:rPr>
        <w:t xml:space="preserve">Tabela 05 – Despesas realizadas </w:t>
      </w:r>
      <w:r w:rsidR="006B225F">
        <w:rPr>
          <w:rFonts w:ascii="Arial" w:hAnsi="Arial" w:cs="Arial"/>
          <w:sz w:val="24"/>
          <w:szCs w:val="20"/>
        </w:rPr>
        <w:t xml:space="preserve">no período 2004-2013, </w:t>
      </w:r>
      <w:r w:rsidRPr="00020AC9">
        <w:rPr>
          <w:rFonts w:ascii="Arial" w:hAnsi="Arial" w:cs="Arial"/>
          <w:sz w:val="24"/>
          <w:szCs w:val="20"/>
        </w:rPr>
        <w:t>Grupo 04 – Investimentos, por item – Polícia Militar</w:t>
      </w:r>
    </w:p>
    <w:tbl>
      <w:tblPr>
        <w:tblW w:w="9089" w:type="dxa"/>
        <w:tblInd w:w="53" w:type="dxa"/>
        <w:tblCellMar>
          <w:left w:w="70" w:type="dxa"/>
          <w:right w:w="70" w:type="dxa"/>
        </w:tblCellMar>
        <w:tblLook w:val="04A0"/>
      </w:tblPr>
      <w:tblGrid>
        <w:gridCol w:w="6396"/>
        <w:gridCol w:w="1712"/>
        <w:gridCol w:w="981"/>
      </w:tblGrid>
      <w:tr w:rsidR="0099717A" w:rsidRPr="00570AB8" w:rsidTr="00570AB8">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99717A" w:rsidRPr="00570AB8" w:rsidRDefault="0099717A" w:rsidP="00570AB8">
            <w:pPr>
              <w:spacing w:after="0" w:line="240" w:lineRule="auto"/>
              <w:jc w:val="center"/>
              <w:rPr>
                <w:rFonts w:ascii="Arial" w:eastAsia="Times New Roman" w:hAnsi="Arial" w:cs="Arial"/>
                <w:b/>
                <w:bCs/>
                <w:sz w:val="20"/>
                <w:szCs w:val="16"/>
              </w:rPr>
            </w:pPr>
            <w:r w:rsidRPr="00570AB8">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99717A" w:rsidRPr="00570AB8" w:rsidRDefault="0099717A" w:rsidP="00110E19">
            <w:pPr>
              <w:spacing w:after="0" w:line="240" w:lineRule="auto"/>
              <w:jc w:val="center"/>
              <w:rPr>
                <w:rFonts w:ascii="Arial" w:eastAsia="Times New Roman" w:hAnsi="Arial" w:cs="Arial"/>
                <w:b/>
                <w:bCs/>
                <w:sz w:val="20"/>
                <w:szCs w:val="16"/>
              </w:rPr>
            </w:pPr>
            <w:r w:rsidRPr="00570AB8">
              <w:rPr>
                <w:rFonts w:ascii="Arial" w:eastAsia="Times New Roman" w:hAnsi="Arial" w:cs="Arial"/>
                <w:b/>
                <w:bCs/>
                <w:sz w:val="20"/>
                <w:szCs w:val="16"/>
              </w:rPr>
              <w:t>Valor (R$)</w:t>
            </w:r>
          </w:p>
        </w:tc>
        <w:tc>
          <w:tcPr>
            <w:tcW w:w="981" w:type="dxa"/>
            <w:tcBorders>
              <w:top w:val="single" w:sz="4" w:space="0" w:color="auto"/>
              <w:left w:val="single" w:sz="4" w:space="0" w:color="FFFFFF" w:themeColor="background1"/>
              <w:bottom w:val="single" w:sz="4" w:space="0" w:color="auto"/>
              <w:right w:val="single" w:sz="4" w:space="0" w:color="auto"/>
            </w:tcBorders>
            <w:shd w:val="clear" w:color="auto" w:fill="auto"/>
            <w:vAlign w:val="center"/>
            <w:hideMark/>
          </w:tcPr>
          <w:p w:rsidR="0099717A" w:rsidRPr="00570AB8" w:rsidRDefault="0099717A" w:rsidP="00110E19">
            <w:pPr>
              <w:spacing w:after="0" w:line="240" w:lineRule="auto"/>
              <w:jc w:val="center"/>
              <w:rPr>
                <w:rFonts w:ascii="Arial" w:eastAsia="Times New Roman" w:hAnsi="Arial" w:cs="Arial"/>
                <w:b/>
                <w:bCs/>
                <w:sz w:val="20"/>
                <w:szCs w:val="16"/>
              </w:rPr>
            </w:pPr>
            <w:r w:rsidRPr="00570AB8">
              <w:rPr>
                <w:rFonts w:ascii="Arial" w:eastAsia="Times New Roman" w:hAnsi="Arial" w:cs="Arial"/>
                <w:b/>
                <w:bCs/>
                <w:sz w:val="20"/>
                <w:szCs w:val="16"/>
              </w:rPr>
              <w:t>%</w:t>
            </w:r>
          </w:p>
        </w:tc>
      </w:tr>
      <w:tr w:rsidR="0099717A" w:rsidRPr="004A43F1" w:rsidTr="00570AB8">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rPr>
                <w:rFonts w:ascii="Arial" w:hAnsi="Arial" w:cs="Arial"/>
                <w:sz w:val="20"/>
                <w:szCs w:val="20"/>
              </w:rPr>
            </w:pPr>
            <w:r>
              <w:rPr>
                <w:rFonts w:ascii="Arial" w:hAnsi="Arial" w:cs="Arial"/>
                <w:sz w:val="20"/>
                <w:szCs w:val="20"/>
              </w:rPr>
              <w:t>Armamentos</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1.832.929,89</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26,11%</w:t>
            </w:r>
          </w:p>
        </w:tc>
      </w:tr>
      <w:tr w:rsidR="0099717A" w:rsidRPr="004A43F1" w:rsidTr="00570AB8">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rPr>
                <w:rFonts w:ascii="Arial" w:hAnsi="Arial" w:cs="Arial"/>
                <w:sz w:val="20"/>
                <w:szCs w:val="20"/>
              </w:rPr>
            </w:pPr>
            <w:r>
              <w:rPr>
                <w:rFonts w:ascii="Arial" w:hAnsi="Arial" w:cs="Arial"/>
                <w:sz w:val="20"/>
                <w:szCs w:val="20"/>
              </w:rPr>
              <w:t>Automóveis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1.536.665,42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21,89%</w:t>
            </w:r>
          </w:p>
        </w:tc>
      </w:tr>
      <w:tr w:rsidR="0099717A" w:rsidRPr="004A43F1" w:rsidTr="00570AB8">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rPr>
                <w:rFonts w:ascii="Arial" w:hAnsi="Arial" w:cs="Arial"/>
                <w:sz w:val="20"/>
                <w:szCs w:val="20"/>
              </w:rPr>
            </w:pPr>
            <w:r>
              <w:rPr>
                <w:rFonts w:ascii="Arial" w:hAnsi="Arial" w:cs="Arial"/>
                <w:sz w:val="20"/>
                <w:szCs w:val="20"/>
              </w:rPr>
              <w:t>Mobiliário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1.470.963,90</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20,95%</w:t>
            </w:r>
          </w:p>
        </w:tc>
      </w:tr>
      <w:tr w:rsidR="0099717A" w:rsidRPr="004A43F1" w:rsidTr="00570AB8">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rPr>
                <w:rFonts w:ascii="Arial" w:hAnsi="Arial" w:cs="Arial"/>
                <w:sz w:val="20"/>
                <w:szCs w:val="20"/>
              </w:rPr>
            </w:pPr>
            <w:r>
              <w:rPr>
                <w:rFonts w:ascii="Arial" w:hAnsi="Arial" w:cs="Arial"/>
                <w:sz w:val="20"/>
                <w:szCs w:val="20"/>
              </w:rPr>
              <w:t>Equipamentos de Tecnologia da Informação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1.116.434,47</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99717A" w:rsidP="00110E19">
            <w:pPr>
              <w:spacing w:after="0"/>
              <w:jc w:val="right"/>
              <w:rPr>
                <w:rFonts w:ascii="Arial" w:hAnsi="Arial" w:cs="Arial"/>
                <w:sz w:val="20"/>
                <w:szCs w:val="20"/>
              </w:rPr>
            </w:pPr>
            <w:r>
              <w:rPr>
                <w:rFonts w:ascii="Arial" w:hAnsi="Arial" w:cs="Arial"/>
                <w:sz w:val="20"/>
                <w:szCs w:val="20"/>
              </w:rPr>
              <w:t>15,90%</w:t>
            </w:r>
          </w:p>
        </w:tc>
      </w:tr>
      <w:tr w:rsidR="0099717A" w:rsidRPr="004A43F1" w:rsidTr="00570AB8">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1956C1" w:rsidP="00DE34A4">
            <w:pPr>
              <w:spacing w:after="0" w:line="240" w:lineRule="auto"/>
              <w:rPr>
                <w:rFonts w:ascii="Arial" w:eastAsia="Times New Roman" w:hAnsi="Arial" w:cs="Arial"/>
                <w:sz w:val="20"/>
                <w:szCs w:val="20"/>
              </w:rPr>
            </w:pPr>
            <w:r w:rsidRPr="00B50C20">
              <w:rPr>
                <w:rFonts w:ascii="Arial" w:eastAsia="Times New Roman" w:hAnsi="Arial" w:cs="Arial"/>
                <w:sz w:val="20"/>
                <w:szCs w:val="16"/>
              </w:rPr>
              <w:t>Outras Despesas (somatório de</w:t>
            </w:r>
            <w:r>
              <w:rPr>
                <w:rFonts w:ascii="Arial" w:eastAsia="Times New Roman" w:hAnsi="Arial" w:cs="Arial"/>
                <w:sz w:val="20"/>
                <w:szCs w:val="16"/>
              </w:rPr>
              <w:t xml:space="preserve"> 17</w:t>
            </w:r>
            <w:r w:rsidRPr="00B50C20">
              <w:rPr>
                <w:rFonts w:ascii="Arial" w:eastAsia="Times New Roman" w:hAnsi="Arial" w:cs="Arial"/>
                <w:sz w:val="20"/>
                <w:szCs w:val="16"/>
              </w:rPr>
              <w:t xml:space="preserve">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1956C1"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1.062.683,28</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99717A" w:rsidRPr="004A43F1" w:rsidRDefault="001956C1" w:rsidP="001956C1">
            <w:pPr>
              <w:spacing w:after="0" w:line="240" w:lineRule="auto"/>
              <w:jc w:val="right"/>
              <w:rPr>
                <w:rFonts w:ascii="Arial" w:eastAsia="Times New Roman" w:hAnsi="Arial" w:cs="Arial"/>
                <w:sz w:val="20"/>
                <w:szCs w:val="20"/>
              </w:rPr>
            </w:pPr>
            <w:r>
              <w:rPr>
                <w:rFonts w:ascii="Arial" w:eastAsia="Times New Roman" w:hAnsi="Arial" w:cs="Arial"/>
                <w:sz w:val="20"/>
                <w:szCs w:val="20"/>
              </w:rPr>
              <w:t>15,15%</w:t>
            </w:r>
          </w:p>
        </w:tc>
      </w:tr>
      <w:tr w:rsidR="0099717A" w:rsidRPr="004A43F1" w:rsidTr="00570AB8">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9717A" w:rsidRPr="00B50C20" w:rsidRDefault="0099717A" w:rsidP="00110E19">
            <w:pPr>
              <w:spacing w:after="0" w:line="240" w:lineRule="auto"/>
              <w:rPr>
                <w:rFonts w:ascii="Arial" w:eastAsia="Times New Roman" w:hAnsi="Arial" w:cs="Arial"/>
                <w:b/>
                <w:sz w:val="20"/>
                <w:szCs w:val="20"/>
              </w:rPr>
            </w:pPr>
            <w:r w:rsidRPr="00B50C20">
              <w:rPr>
                <w:rFonts w:ascii="Arial" w:eastAsia="Times New Roman" w:hAnsi="Arial" w:cs="Arial"/>
                <w:b/>
                <w:sz w:val="20"/>
                <w:szCs w:val="20"/>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9717A" w:rsidRPr="00B50C20" w:rsidRDefault="001956C1"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7.019.676,96</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99717A" w:rsidRPr="00B50C20" w:rsidRDefault="001956C1"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100%</w:t>
            </w:r>
          </w:p>
        </w:tc>
      </w:tr>
    </w:tbl>
    <w:p w:rsidR="00F20D63" w:rsidRPr="00A50CF7" w:rsidRDefault="00F20D63" w:rsidP="00F20D63">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F20D63" w:rsidRDefault="00F20D63" w:rsidP="00F20D63">
      <w:pPr>
        <w:spacing w:after="0" w:line="360" w:lineRule="auto"/>
        <w:jc w:val="both"/>
        <w:rPr>
          <w:rFonts w:ascii="Arial" w:hAnsi="Arial" w:cs="Arial"/>
          <w:sz w:val="24"/>
          <w:szCs w:val="24"/>
        </w:rPr>
      </w:pPr>
    </w:p>
    <w:p w:rsidR="00F20D63" w:rsidRDefault="00F20D63" w:rsidP="00F20D63">
      <w:pPr>
        <w:spacing w:after="0" w:line="360" w:lineRule="auto"/>
        <w:jc w:val="both"/>
        <w:rPr>
          <w:rFonts w:ascii="Arial" w:hAnsi="Arial" w:cs="Arial"/>
          <w:sz w:val="24"/>
          <w:szCs w:val="24"/>
        </w:rPr>
      </w:pPr>
      <w:r>
        <w:rPr>
          <w:rFonts w:ascii="Arial" w:hAnsi="Arial" w:cs="Arial"/>
          <w:sz w:val="24"/>
          <w:szCs w:val="24"/>
        </w:rPr>
        <w:lastRenderedPageBreak/>
        <w:tab/>
        <w:t>A tabela 06 apresenta os dados relativos aos investimentos da Polícia Civil.</w:t>
      </w:r>
      <w:r w:rsidR="003C6220">
        <w:rPr>
          <w:rFonts w:ascii="Arial" w:hAnsi="Arial" w:cs="Arial"/>
          <w:sz w:val="24"/>
          <w:szCs w:val="24"/>
        </w:rPr>
        <w:t xml:space="preserve"> Assim como </w:t>
      </w:r>
      <w:r>
        <w:rPr>
          <w:rFonts w:ascii="Arial" w:hAnsi="Arial" w:cs="Arial"/>
          <w:sz w:val="24"/>
          <w:szCs w:val="24"/>
        </w:rPr>
        <w:t>a Polícia Militar, 81,45% dos gastos concentraram-se em 04 itens</w:t>
      </w:r>
      <w:r w:rsidR="00744985">
        <w:rPr>
          <w:rFonts w:ascii="Arial" w:hAnsi="Arial" w:cs="Arial"/>
          <w:sz w:val="24"/>
          <w:szCs w:val="24"/>
        </w:rPr>
        <w:t xml:space="preserve"> de despesa</w:t>
      </w:r>
      <w:r>
        <w:rPr>
          <w:rFonts w:ascii="Arial" w:hAnsi="Arial" w:cs="Arial"/>
          <w:sz w:val="24"/>
          <w:szCs w:val="24"/>
        </w:rPr>
        <w:t>, sendo: Mobiliário (29,81%), Equipamento Hospitalar, Médico e Odontológico (23,52%), Armamentos (21,25%) e Máquinas e Equipamentos (6,87%). O restante das despesas fo</w:t>
      </w:r>
      <w:r w:rsidR="00DE34A4">
        <w:rPr>
          <w:rFonts w:ascii="Arial" w:hAnsi="Arial" w:cs="Arial"/>
          <w:sz w:val="24"/>
          <w:szCs w:val="24"/>
        </w:rPr>
        <w:t>i</w:t>
      </w:r>
      <w:r>
        <w:rPr>
          <w:rFonts w:ascii="Arial" w:hAnsi="Arial" w:cs="Arial"/>
          <w:sz w:val="24"/>
          <w:szCs w:val="24"/>
        </w:rPr>
        <w:t xml:space="preserve"> distribuíd</w:t>
      </w:r>
      <w:r w:rsidR="00DE34A4">
        <w:rPr>
          <w:rFonts w:ascii="Arial" w:hAnsi="Arial" w:cs="Arial"/>
          <w:sz w:val="24"/>
          <w:szCs w:val="24"/>
        </w:rPr>
        <w:t>o</w:t>
      </w:r>
      <w:r>
        <w:rPr>
          <w:rFonts w:ascii="Arial" w:hAnsi="Arial" w:cs="Arial"/>
          <w:sz w:val="24"/>
          <w:szCs w:val="24"/>
        </w:rPr>
        <w:t xml:space="preserve"> em outros 15 itens.</w:t>
      </w:r>
    </w:p>
    <w:p w:rsidR="00020AC9" w:rsidRDefault="00020AC9" w:rsidP="00F20D63">
      <w:pPr>
        <w:spacing w:after="0" w:line="360" w:lineRule="auto"/>
        <w:jc w:val="both"/>
        <w:rPr>
          <w:rFonts w:ascii="Arial" w:hAnsi="Arial" w:cs="Arial"/>
          <w:sz w:val="24"/>
          <w:szCs w:val="24"/>
        </w:rPr>
      </w:pPr>
    </w:p>
    <w:p w:rsidR="00020AC9" w:rsidRPr="00020AC9" w:rsidRDefault="00020AC9" w:rsidP="00020AC9">
      <w:pPr>
        <w:spacing w:line="240" w:lineRule="auto"/>
        <w:jc w:val="both"/>
        <w:rPr>
          <w:rFonts w:ascii="Arial" w:hAnsi="Arial" w:cs="Arial"/>
          <w:sz w:val="24"/>
          <w:szCs w:val="20"/>
        </w:rPr>
      </w:pPr>
      <w:r w:rsidRPr="00020AC9">
        <w:rPr>
          <w:rFonts w:ascii="Arial" w:hAnsi="Arial" w:cs="Arial"/>
          <w:sz w:val="24"/>
          <w:szCs w:val="20"/>
        </w:rPr>
        <w:t xml:space="preserve">Tabela 06 – Despesas realizadas </w:t>
      </w:r>
      <w:r w:rsidR="006B225F">
        <w:rPr>
          <w:rFonts w:ascii="Arial" w:hAnsi="Arial" w:cs="Arial"/>
          <w:sz w:val="24"/>
          <w:szCs w:val="20"/>
        </w:rPr>
        <w:t>no período 2004-2013,</w:t>
      </w:r>
      <w:r w:rsidRPr="00020AC9">
        <w:rPr>
          <w:rFonts w:ascii="Arial" w:hAnsi="Arial" w:cs="Arial"/>
          <w:sz w:val="24"/>
          <w:szCs w:val="20"/>
        </w:rPr>
        <w:t xml:space="preserve"> Grupo 04 – Investimentos, por item – Polícia Civil</w:t>
      </w:r>
    </w:p>
    <w:tbl>
      <w:tblPr>
        <w:tblW w:w="9089" w:type="dxa"/>
        <w:tblInd w:w="53" w:type="dxa"/>
        <w:tblCellMar>
          <w:left w:w="70" w:type="dxa"/>
          <w:right w:w="70" w:type="dxa"/>
        </w:tblCellMar>
        <w:tblLook w:val="04A0"/>
      </w:tblPr>
      <w:tblGrid>
        <w:gridCol w:w="6396"/>
        <w:gridCol w:w="1712"/>
        <w:gridCol w:w="981"/>
      </w:tblGrid>
      <w:tr w:rsidR="00DE34A4" w:rsidRPr="00245B8A" w:rsidTr="00245B8A">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DE34A4" w:rsidRPr="00245B8A" w:rsidRDefault="00DE34A4" w:rsidP="00245B8A">
            <w:pPr>
              <w:spacing w:after="0" w:line="240" w:lineRule="auto"/>
              <w:jc w:val="center"/>
              <w:rPr>
                <w:rFonts w:ascii="Arial" w:eastAsia="Times New Roman" w:hAnsi="Arial" w:cs="Arial"/>
                <w:b/>
                <w:bCs/>
                <w:sz w:val="20"/>
                <w:szCs w:val="16"/>
              </w:rPr>
            </w:pPr>
            <w:r w:rsidRPr="00245B8A">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DE34A4" w:rsidRPr="00245B8A" w:rsidRDefault="00DE34A4" w:rsidP="00110E19">
            <w:pPr>
              <w:spacing w:after="0" w:line="240" w:lineRule="auto"/>
              <w:jc w:val="center"/>
              <w:rPr>
                <w:rFonts w:ascii="Arial" w:eastAsia="Times New Roman" w:hAnsi="Arial" w:cs="Arial"/>
                <w:b/>
                <w:bCs/>
                <w:sz w:val="20"/>
                <w:szCs w:val="16"/>
              </w:rPr>
            </w:pPr>
            <w:r w:rsidRPr="00245B8A">
              <w:rPr>
                <w:rFonts w:ascii="Arial" w:eastAsia="Times New Roman" w:hAnsi="Arial" w:cs="Arial"/>
                <w:b/>
                <w:bCs/>
                <w:sz w:val="20"/>
                <w:szCs w:val="16"/>
              </w:rPr>
              <w:t>Valor (R$)</w:t>
            </w:r>
          </w:p>
        </w:tc>
        <w:tc>
          <w:tcPr>
            <w:tcW w:w="9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DE34A4" w:rsidRPr="00245B8A" w:rsidRDefault="00DE34A4" w:rsidP="00110E19">
            <w:pPr>
              <w:spacing w:after="0" w:line="240" w:lineRule="auto"/>
              <w:jc w:val="center"/>
              <w:rPr>
                <w:rFonts w:ascii="Arial" w:eastAsia="Times New Roman" w:hAnsi="Arial" w:cs="Arial"/>
                <w:b/>
                <w:bCs/>
                <w:sz w:val="20"/>
                <w:szCs w:val="16"/>
              </w:rPr>
            </w:pPr>
            <w:r w:rsidRPr="00245B8A">
              <w:rPr>
                <w:rFonts w:ascii="Arial" w:eastAsia="Times New Roman" w:hAnsi="Arial" w:cs="Arial"/>
                <w:b/>
                <w:bCs/>
                <w:sz w:val="20"/>
                <w:szCs w:val="16"/>
              </w:rPr>
              <w:t>%</w:t>
            </w:r>
          </w:p>
        </w:tc>
      </w:tr>
      <w:tr w:rsidR="00DE34A4" w:rsidRPr="004A43F1" w:rsidTr="00245B8A">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rPr>
                <w:rFonts w:ascii="Arial" w:hAnsi="Arial" w:cs="Arial"/>
                <w:sz w:val="20"/>
                <w:szCs w:val="20"/>
              </w:rPr>
            </w:pPr>
            <w:r>
              <w:rPr>
                <w:rFonts w:ascii="Arial" w:hAnsi="Arial" w:cs="Arial"/>
                <w:sz w:val="20"/>
                <w:szCs w:val="20"/>
              </w:rPr>
              <w:t>Mobiliário</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1.344.262,43</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29,81%</w:t>
            </w:r>
          </w:p>
        </w:tc>
      </w:tr>
      <w:tr w:rsidR="00DE34A4" w:rsidRPr="004A43F1" w:rsidTr="00245B8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rPr>
                <w:rFonts w:ascii="Arial" w:hAnsi="Arial" w:cs="Arial"/>
                <w:sz w:val="20"/>
                <w:szCs w:val="20"/>
              </w:rPr>
            </w:pPr>
            <w:r>
              <w:rPr>
                <w:rFonts w:ascii="Arial" w:hAnsi="Arial" w:cs="Arial"/>
                <w:sz w:val="20"/>
                <w:szCs w:val="20"/>
              </w:rPr>
              <w:t>Equipamentos Hospitalar, Médico e Odontológico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1.060.322,42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23,52%</w:t>
            </w:r>
          </w:p>
        </w:tc>
      </w:tr>
      <w:tr w:rsidR="00DE34A4" w:rsidRPr="004A43F1" w:rsidTr="00245B8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rPr>
                <w:rFonts w:ascii="Arial" w:hAnsi="Arial" w:cs="Arial"/>
                <w:sz w:val="20"/>
                <w:szCs w:val="20"/>
              </w:rPr>
            </w:pPr>
            <w:r>
              <w:rPr>
                <w:rFonts w:ascii="Arial" w:hAnsi="Arial" w:cs="Arial"/>
                <w:sz w:val="20"/>
                <w:szCs w:val="20"/>
              </w:rPr>
              <w:t>Armamentos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958.320,00</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21,25%</w:t>
            </w:r>
          </w:p>
        </w:tc>
      </w:tr>
      <w:tr w:rsidR="00DE34A4" w:rsidRPr="004A43F1" w:rsidTr="00245B8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rPr>
                <w:rFonts w:ascii="Arial" w:hAnsi="Arial" w:cs="Arial"/>
                <w:sz w:val="20"/>
                <w:szCs w:val="20"/>
              </w:rPr>
            </w:pPr>
            <w:r>
              <w:rPr>
                <w:rFonts w:ascii="Arial" w:hAnsi="Arial" w:cs="Arial"/>
                <w:sz w:val="20"/>
                <w:szCs w:val="20"/>
              </w:rPr>
              <w:t>Máquinas e Equipamentos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jc w:val="right"/>
              <w:rPr>
                <w:rFonts w:ascii="Arial" w:hAnsi="Arial" w:cs="Arial"/>
                <w:sz w:val="20"/>
                <w:szCs w:val="20"/>
              </w:rPr>
            </w:pPr>
            <w:r>
              <w:rPr>
                <w:rFonts w:ascii="Arial" w:hAnsi="Arial" w:cs="Arial"/>
                <w:sz w:val="20"/>
                <w:szCs w:val="20"/>
              </w:rPr>
              <w:t>309.852,00</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DE34A4">
            <w:pPr>
              <w:spacing w:after="0"/>
              <w:jc w:val="right"/>
              <w:rPr>
                <w:rFonts w:ascii="Arial" w:hAnsi="Arial" w:cs="Arial"/>
                <w:sz w:val="20"/>
                <w:szCs w:val="20"/>
              </w:rPr>
            </w:pPr>
            <w:r>
              <w:rPr>
                <w:rFonts w:ascii="Arial" w:hAnsi="Arial" w:cs="Arial"/>
                <w:sz w:val="20"/>
                <w:szCs w:val="20"/>
              </w:rPr>
              <w:t>6,87%</w:t>
            </w:r>
          </w:p>
        </w:tc>
      </w:tr>
      <w:tr w:rsidR="00DE34A4" w:rsidRPr="004A43F1" w:rsidTr="00245B8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line="240" w:lineRule="auto"/>
              <w:rPr>
                <w:rFonts w:ascii="Arial" w:eastAsia="Times New Roman" w:hAnsi="Arial" w:cs="Arial"/>
                <w:sz w:val="20"/>
                <w:szCs w:val="20"/>
              </w:rPr>
            </w:pPr>
            <w:r>
              <w:rPr>
                <w:rFonts w:ascii="Arial" w:eastAsia="Times New Roman" w:hAnsi="Arial" w:cs="Arial"/>
                <w:sz w:val="20"/>
                <w:szCs w:val="20"/>
              </w:rPr>
              <w:t>Outras Despesas (somatório de 15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836.303,98</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DE34A4" w:rsidRPr="004A43F1" w:rsidRDefault="00DE34A4"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18,55%</w:t>
            </w:r>
          </w:p>
        </w:tc>
      </w:tr>
      <w:tr w:rsidR="00DE34A4" w:rsidRPr="004A43F1" w:rsidTr="00245B8A">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DE34A4" w:rsidRPr="00B50C20" w:rsidRDefault="00DE34A4" w:rsidP="00110E19">
            <w:pPr>
              <w:spacing w:after="0" w:line="240" w:lineRule="auto"/>
              <w:rPr>
                <w:rFonts w:ascii="Arial" w:eastAsia="Times New Roman" w:hAnsi="Arial" w:cs="Arial"/>
                <w:b/>
                <w:sz w:val="20"/>
                <w:szCs w:val="20"/>
              </w:rPr>
            </w:pPr>
            <w:r>
              <w:rPr>
                <w:rFonts w:ascii="Arial" w:eastAsia="Times New Roman" w:hAnsi="Arial" w:cs="Arial"/>
                <w:b/>
                <w:sz w:val="20"/>
                <w:szCs w:val="20"/>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DE34A4" w:rsidRPr="00B50C20" w:rsidRDefault="00DE34A4"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4.509.060,83</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DE34A4" w:rsidRPr="00B50C20" w:rsidRDefault="00DE34A4"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100%</w:t>
            </w:r>
          </w:p>
        </w:tc>
      </w:tr>
    </w:tbl>
    <w:p w:rsidR="00DE34A4" w:rsidRPr="00A50CF7" w:rsidRDefault="00DE34A4" w:rsidP="00DE34A4">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DE34A4" w:rsidRPr="00F20D63" w:rsidRDefault="00DE34A4" w:rsidP="00F20D63">
      <w:pPr>
        <w:spacing w:after="0" w:line="360" w:lineRule="auto"/>
        <w:jc w:val="both"/>
        <w:rPr>
          <w:rFonts w:ascii="Arial" w:hAnsi="Arial" w:cs="Arial"/>
          <w:sz w:val="24"/>
          <w:szCs w:val="24"/>
        </w:rPr>
      </w:pPr>
    </w:p>
    <w:p w:rsidR="002E4F1D" w:rsidRDefault="00155D35" w:rsidP="00155D35">
      <w:pPr>
        <w:tabs>
          <w:tab w:val="left" w:pos="709"/>
        </w:tabs>
        <w:spacing w:after="0" w:line="360" w:lineRule="auto"/>
        <w:jc w:val="both"/>
        <w:rPr>
          <w:rFonts w:ascii="Arial" w:hAnsi="Arial" w:cs="Arial"/>
          <w:sz w:val="24"/>
          <w:szCs w:val="20"/>
        </w:rPr>
      </w:pPr>
      <w:r>
        <w:rPr>
          <w:rFonts w:ascii="Arial" w:hAnsi="Arial" w:cs="Arial"/>
          <w:sz w:val="24"/>
          <w:szCs w:val="20"/>
        </w:rPr>
        <w:tab/>
        <w:t>No levantamento das despesas realizadas pela Secretaria de Administração Penitenciária e Justiça</w:t>
      </w:r>
      <w:r w:rsidR="000C4A36">
        <w:rPr>
          <w:rFonts w:ascii="Arial" w:hAnsi="Arial" w:cs="Arial"/>
          <w:sz w:val="24"/>
          <w:szCs w:val="20"/>
        </w:rPr>
        <w:t xml:space="preserve"> (tabela 07)</w:t>
      </w:r>
      <w:r>
        <w:rPr>
          <w:rFonts w:ascii="Arial" w:hAnsi="Arial" w:cs="Arial"/>
          <w:sz w:val="24"/>
          <w:szCs w:val="20"/>
        </w:rPr>
        <w:t>, foi encontrada uma distorção no item de maior relevância da análise. O Item de Despesa denominado “Restituições”, no valor de R$</w:t>
      </w:r>
      <w:r w:rsidRPr="00155D35">
        <w:rPr>
          <w:rFonts w:ascii="Arial" w:hAnsi="Arial" w:cs="Arial"/>
          <w:sz w:val="24"/>
          <w:szCs w:val="20"/>
        </w:rPr>
        <w:t>7</w:t>
      </w:r>
      <w:r>
        <w:rPr>
          <w:rFonts w:ascii="Arial" w:hAnsi="Arial" w:cs="Arial"/>
          <w:sz w:val="24"/>
          <w:szCs w:val="20"/>
        </w:rPr>
        <w:t>.</w:t>
      </w:r>
      <w:r w:rsidRPr="00155D35">
        <w:rPr>
          <w:rFonts w:ascii="Arial" w:hAnsi="Arial" w:cs="Arial"/>
          <w:sz w:val="24"/>
          <w:szCs w:val="20"/>
        </w:rPr>
        <w:t>560</w:t>
      </w:r>
      <w:r>
        <w:rPr>
          <w:rFonts w:ascii="Arial" w:hAnsi="Arial" w:cs="Arial"/>
          <w:sz w:val="24"/>
          <w:szCs w:val="20"/>
        </w:rPr>
        <w:t>.</w:t>
      </w:r>
      <w:r w:rsidRPr="00155D35">
        <w:rPr>
          <w:rFonts w:ascii="Arial" w:hAnsi="Arial" w:cs="Arial"/>
          <w:sz w:val="24"/>
          <w:szCs w:val="20"/>
        </w:rPr>
        <w:t>691,74</w:t>
      </w:r>
      <w:r>
        <w:rPr>
          <w:rFonts w:ascii="Arial" w:hAnsi="Arial" w:cs="Arial"/>
          <w:sz w:val="24"/>
          <w:szCs w:val="20"/>
        </w:rPr>
        <w:t xml:space="preserve">, o que corresponde a 43,66% do total de gastos no Grupo 04 – Investimentos, embora tratado no sistema </w:t>
      </w:r>
      <w:r w:rsidRPr="00155D35">
        <w:rPr>
          <w:rFonts w:ascii="Arial" w:hAnsi="Arial" w:cs="Arial"/>
          <w:sz w:val="24"/>
          <w:szCs w:val="20"/>
        </w:rPr>
        <w:t>de Programação e Execução Orçamentária e Financeira – SiofiNet como uma despesa</w:t>
      </w:r>
      <w:r>
        <w:rPr>
          <w:rFonts w:ascii="Arial" w:hAnsi="Arial" w:cs="Arial"/>
          <w:sz w:val="24"/>
          <w:szCs w:val="20"/>
        </w:rPr>
        <w:t>, é utilizado para realizar a devolução de valores não utilizados de convênios firmados com o Governo Federal.</w:t>
      </w:r>
    </w:p>
    <w:p w:rsidR="003954D7" w:rsidRDefault="002E4F1D" w:rsidP="00155D35">
      <w:pPr>
        <w:tabs>
          <w:tab w:val="left" w:pos="709"/>
        </w:tabs>
        <w:spacing w:after="0" w:line="360" w:lineRule="auto"/>
        <w:jc w:val="both"/>
        <w:rPr>
          <w:rFonts w:ascii="Arial" w:hAnsi="Arial" w:cs="Arial"/>
          <w:sz w:val="24"/>
          <w:szCs w:val="20"/>
        </w:rPr>
      </w:pPr>
      <w:r>
        <w:rPr>
          <w:rFonts w:ascii="Arial" w:hAnsi="Arial" w:cs="Arial"/>
          <w:sz w:val="24"/>
          <w:szCs w:val="20"/>
        </w:rPr>
        <w:tab/>
      </w:r>
      <w:r w:rsidR="000C4A36">
        <w:rPr>
          <w:rFonts w:ascii="Arial" w:hAnsi="Arial" w:cs="Arial"/>
          <w:sz w:val="24"/>
          <w:szCs w:val="20"/>
        </w:rPr>
        <w:t>Na seqüência, os gastos de maior expressão foram: Obras Civis (35,78%) e Equipamentos de Tecnologia da Informação (5,68%). Somados, os três itens retromencionados representam 85,12% do montante de gastos em investimentos.</w:t>
      </w:r>
    </w:p>
    <w:p w:rsidR="00020AC9" w:rsidRDefault="00020AC9" w:rsidP="00155D35">
      <w:pPr>
        <w:tabs>
          <w:tab w:val="left" w:pos="709"/>
        </w:tabs>
        <w:spacing w:after="0" w:line="360" w:lineRule="auto"/>
        <w:jc w:val="both"/>
        <w:rPr>
          <w:rFonts w:ascii="Arial" w:hAnsi="Arial" w:cs="Arial"/>
          <w:sz w:val="24"/>
          <w:szCs w:val="20"/>
        </w:rPr>
      </w:pPr>
    </w:p>
    <w:p w:rsidR="00020AC9" w:rsidRPr="00020AC9" w:rsidRDefault="00020AC9" w:rsidP="00020AC9">
      <w:pPr>
        <w:tabs>
          <w:tab w:val="left" w:pos="709"/>
        </w:tabs>
        <w:spacing w:line="240" w:lineRule="auto"/>
        <w:jc w:val="both"/>
        <w:rPr>
          <w:rFonts w:ascii="Arial" w:hAnsi="Arial" w:cs="Arial"/>
          <w:sz w:val="24"/>
          <w:szCs w:val="20"/>
        </w:rPr>
      </w:pPr>
      <w:r w:rsidRPr="00020AC9">
        <w:rPr>
          <w:rFonts w:ascii="Arial" w:hAnsi="Arial" w:cs="Arial"/>
          <w:sz w:val="24"/>
          <w:szCs w:val="20"/>
        </w:rPr>
        <w:t xml:space="preserve">Tabela 07 – Despesas realizadas </w:t>
      </w:r>
      <w:r w:rsidR="006B225F">
        <w:rPr>
          <w:rFonts w:ascii="Arial" w:hAnsi="Arial" w:cs="Arial"/>
          <w:sz w:val="24"/>
          <w:szCs w:val="20"/>
        </w:rPr>
        <w:t xml:space="preserve">no período 2004-2013, </w:t>
      </w:r>
      <w:r w:rsidRPr="00020AC9">
        <w:rPr>
          <w:rFonts w:ascii="Arial" w:hAnsi="Arial" w:cs="Arial"/>
          <w:sz w:val="24"/>
          <w:szCs w:val="20"/>
        </w:rPr>
        <w:t xml:space="preserve">Grupo 03 – Outras Despesas Correntes, por item – </w:t>
      </w:r>
      <w:r>
        <w:rPr>
          <w:rFonts w:ascii="Arial" w:hAnsi="Arial" w:cs="Arial"/>
          <w:sz w:val="24"/>
          <w:szCs w:val="20"/>
        </w:rPr>
        <w:t xml:space="preserve">Secretaria de </w:t>
      </w:r>
      <w:r w:rsidRPr="003877B0">
        <w:rPr>
          <w:rFonts w:ascii="Arial" w:hAnsi="Arial" w:cs="Arial"/>
          <w:sz w:val="24"/>
          <w:szCs w:val="20"/>
        </w:rPr>
        <w:t>Adm</w:t>
      </w:r>
      <w:r>
        <w:rPr>
          <w:rFonts w:ascii="Arial" w:hAnsi="Arial" w:cs="Arial"/>
          <w:sz w:val="24"/>
          <w:szCs w:val="20"/>
        </w:rPr>
        <w:t xml:space="preserve">inistração </w:t>
      </w:r>
      <w:r w:rsidRPr="003877B0">
        <w:rPr>
          <w:rFonts w:ascii="Arial" w:hAnsi="Arial" w:cs="Arial"/>
          <w:sz w:val="24"/>
          <w:szCs w:val="20"/>
        </w:rPr>
        <w:t>Penit</w:t>
      </w:r>
      <w:r>
        <w:rPr>
          <w:rFonts w:ascii="Arial" w:hAnsi="Arial" w:cs="Arial"/>
          <w:sz w:val="24"/>
          <w:szCs w:val="20"/>
        </w:rPr>
        <w:t>enciária e Justiça</w:t>
      </w:r>
    </w:p>
    <w:tbl>
      <w:tblPr>
        <w:tblW w:w="9089" w:type="dxa"/>
        <w:tblInd w:w="53" w:type="dxa"/>
        <w:tblCellMar>
          <w:left w:w="70" w:type="dxa"/>
          <w:right w:w="70" w:type="dxa"/>
        </w:tblCellMar>
        <w:tblLook w:val="04A0"/>
      </w:tblPr>
      <w:tblGrid>
        <w:gridCol w:w="6396"/>
        <w:gridCol w:w="1712"/>
        <w:gridCol w:w="981"/>
      </w:tblGrid>
      <w:tr w:rsidR="000C4A36" w:rsidRPr="00196933" w:rsidTr="00196933">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0C4A36" w:rsidRPr="00196933" w:rsidRDefault="000C4A36" w:rsidP="000511AA">
            <w:pPr>
              <w:spacing w:after="0" w:line="240" w:lineRule="auto"/>
              <w:jc w:val="center"/>
              <w:rPr>
                <w:rFonts w:ascii="Arial" w:eastAsia="Times New Roman" w:hAnsi="Arial" w:cs="Arial"/>
                <w:b/>
                <w:bCs/>
                <w:sz w:val="20"/>
                <w:szCs w:val="16"/>
              </w:rPr>
            </w:pPr>
            <w:r w:rsidRPr="00196933">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0C4A36" w:rsidRPr="00196933" w:rsidRDefault="000C4A36" w:rsidP="00020AC9">
            <w:pPr>
              <w:spacing w:after="0" w:line="240" w:lineRule="auto"/>
              <w:jc w:val="center"/>
              <w:rPr>
                <w:rFonts w:ascii="Arial" w:eastAsia="Times New Roman" w:hAnsi="Arial" w:cs="Arial"/>
                <w:b/>
                <w:bCs/>
                <w:sz w:val="20"/>
                <w:szCs w:val="16"/>
              </w:rPr>
            </w:pPr>
            <w:r w:rsidRPr="00196933">
              <w:rPr>
                <w:rFonts w:ascii="Arial" w:eastAsia="Times New Roman" w:hAnsi="Arial" w:cs="Arial"/>
                <w:b/>
                <w:bCs/>
                <w:sz w:val="20"/>
                <w:szCs w:val="16"/>
              </w:rPr>
              <w:t>Valor (R$)</w:t>
            </w:r>
          </w:p>
        </w:tc>
        <w:tc>
          <w:tcPr>
            <w:tcW w:w="9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0C4A36" w:rsidRPr="00196933" w:rsidRDefault="000C4A36" w:rsidP="00020AC9">
            <w:pPr>
              <w:spacing w:after="0" w:line="240" w:lineRule="auto"/>
              <w:jc w:val="center"/>
              <w:rPr>
                <w:rFonts w:ascii="Arial" w:eastAsia="Times New Roman" w:hAnsi="Arial" w:cs="Arial"/>
                <w:b/>
                <w:bCs/>
                <w:sz w:val="20"/>
                <w:szCs w:val="16"/>
              </w:rPr>
            </w:pPr>
            <w:r w:rsidRPr="00196933">
              <w:rPr>
                <w:rFonts w:ascii="Arial" w:eastAsia="Times New Roman" w:hAnsi="Arial" w:cs="Arial"/>
                <w:b/>
                <w:bCs/>
                <w:sz w:val="20"/>
                <w:szCs w:val="16"/>
              </w:rPr>
              <w:t>%</w:t>
            </w:r>
          </w:p>
        </w:tc>
      </w:tr>
      <w:tr w:rsidR="000C4A36" w:rsidRPr="004A43F1" w:rsidTr="00196933">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020AC9">
            <w:pPr>
              <w:spacing w:after="0"/>
              <w:rPr>
                <w:rFonts w:ascii="Arial" w:hAnsi="Arial" w:cs="Arial"/>
                <w:sz w:val="20"/>
                <w:szCs w:val="20"/>
              </w:rPr>
            </w:pPr>
            <w:r>
              <w:rPr>
                <w:rFonts w:ascii="Arial" w:hAnsi="Arial" w:cs="Arial"/>
                <w:sz w:val="20"/>
                <w:szCs w:val="20"/>
              </w:rPr>
              <w:t>Restituições</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jc w:val="right"/>
              <w:rPr>
                <w:rFonts w:ascii="Arial" w:hAnsi="Arial" w:cs="Arial"/>
                <w:sz w:val="20"/>
                <w:szCs w:val="20"/>
              </w:rPr>
            </w:pPr>
            <w:r>
              <w:rPr>
                <w:rFonts w:ascii="Arial" w:hAnsi="Arial" w:cs="Arial"/>
                <w:sz w:val="20"/>
                <w:szCs w:val="20"/>
              </w:rPr>
              <w:t>7.560.691,74</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jc w:val="right"/>
              <w:rPr>
                <w:rFonts w:ascii="Arial" w:hAnsi="Arial" w:cs="Arial"/>
                <w:sz w:val="20"/>
                <w:szCs w:val="20"/>
              </w:rPr>
            </w:pPr>
            <w:r>
              <w:rPr>
                <w:rFonts w:ascii="Arial" w:hAnsi="Arial" w:cs="Arial"/>
                <w:sz w:val="20"/>
                <w:szCs w:val="20"/>
              </w:rPr>
              <w:t>43,66%</w:t>
            </w:r>
          </w:p>
        </w:tc>
      </w:tr>
      <w:tr w:rsidR="000C4A36" w:rsidRPr="004A43F1" w:rsidTr="0019693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rPr>
                <w:rFonts w:ascii="Arial" w:hAnsi="Arial" w:cs="Arial"/>
                <w:sz w:val="20"/>
                <w:szCs w:val="20"/>
              </w:rPr>
            </w:pPr>
            <w:r>
              <w:rPr>
                <w:rFonts w:ascii="Arial" w:hAnsi="Arial" w:cs="Arial"/>
                <w:sz w:val="20"/>
                <w:szCs w:val="20"/>
              </w:rPr>
              <w:t>Obras Civis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jc w:val="right"/>
              <w:rPr>
                <w:rFonts w:ascii="Arial" w:hAnsi="Arial" w:cs="Arial"/>
                <w:sz w:val="20"/>
                <w:szCs w:val="20"/>
              </w:rPr>
            </w:pPr>
            <w:r>
              <w:rPr>
                <w:rFonts w:ascii="Arial" w:hAnsi="Arial" w:cs="Arial"/>
                <w:sz w:val="20"/>
                <w:szCs w:val="20"/>
              </w:rPr>
              <w:t>6.195.594,69</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0C4A36">
            <w:pPr>
              <w:spacing w:after="0"/>
              <w:jc w:val="right"/>
              <w:rPr>
                <w:rFonts w:ascii="Arial" w:hAnsi="Arial" w:cs="Arial"/>
                <w:sz w:val="20"/>
                <w:szCs w:val="20"/>
              </w:rPr>
            </w:pPr>
            <w:r>
              <w:rPr>
                <w:rFonts w:ascii="Arial" w:hAnsi="Arial" w:cs="Arial"/>
                <w:sz w:val="20"/>
                <w:szCs w:val="20"/>
              </w:rPr>
              <w:t>35,78%</w:t>
            </w:r>
          </w:p>
        </w:tc>
      </w:tr>
      <w:tr w:rsidR="000C4A36" w:rsidRPr="004A43F1" w:rsidTr="0019693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rPr>
                <w:rFonts w:ascii="Arial" w:hAnsi="Arial" w:cs="Arial"/>
                <w:sz w:val="20"/>
                <w:szCs w:val="20"/>
              </w:rPr>
            </w:pPr>
            <w:r>
              <w:rPr>
                <w:rFonts w:ascii="Arial" w:hAnsi="Arial" w:cs="Arial"/>
                <w:sz w:val="20"/>
                <w:szCs w:val="20"/>
              </w:rPr>
              <w:t>Equipamentos de Tecnologia da Informação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jc w:val="right"/>
              <w:rPr>
                <w:rFonts w:ascii="Arial" w:hAnsi="Arial" w:cs="Arial"/>
                <w:sz w:val="20"/>
                <w:szCs w:val="20"/>
              </w:rPr>
            </w:pPr>
            <w:r>
              <w:rPr>
                <w:rFonts w:ascii="Arial" w:hAnsi="Arial" w:cs="Arial"/>
                <w:sz w:val="20"/>
                <w:szCs w:val="20"/>
              </w:rPr>
              <w:t>983.345,87</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0C4A36">
            <w:pPr>
              <w:spacing w:after="0"/>
              <w:jc w:val="right"/>
              <w:rPr>
                <w:rFonts w:ascii="Arial" w:hAnsi="Arial" w:cs="Arial"/>
                <w:sz w:val="20"/>
                <w:szCs w:val="20"/>
              </w:rPr>
            </w:pPr>
            <w:r>
              <w:rPr>
                <w:rFonts w:ascii="Arial" w:hAnsi="Arial" w:cs="Arial"/>
                <w:sz w:val="20"/>
                <w:szCs w:val="20"/>
              </w:rPr>
              <w:t>5,68%</w:t>
            </w:r>
          </w:p>
        </w:tc>
      </w:tr>
      <w:tr w:rsidR="000C4A36" w:rsidRPr="004A43F1" w:rsidTr="00196933">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0C4A36">
            <w:pPr>
              <w:spacing w:after="0" w:line="240" w:lineRule="auto"/>
              <w:rPr>
                <w:rFonts w:ascii="Arial" w:eastAsia="Times New Roman" w:hAnsi="Arial" w:cs="Arial"/>
                <w:sz w:val="20"/>
                <w:szCs w:val="20"/>
              </w:rPr>
            </w:pPr>
            <w:r>
              <w:rPr>
                <w:rFonts w:ascii="Arial" w:eastAsia="Times New Roman" w:hAnsi="Arial" w:cs="Arial"/>
                <w:sz w:val="20"/>
                <w:szCs w:val="20"/>
              </w:rPr>
              <w:t>Outras Despesas (somatório de 24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2.576.625,24</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0C4A36" w:rsidRPr="004A43F1" w:rsidRDefault="000C4A36"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14,88%</w:t>
            </w:r>
          </w:p>
        </w:tc>
      </w:tr>
      <w:tr w:rsidR="000C4A36" w:rsidRPr="004A43F1" w:rsidTr="00196933">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0C4A36" w:rsidRPr="00B50C20" w:rsidRDefault="000C4A36" w:rsidP="00110E19">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0C4A36" w:rsidRPr="00B50C20" w:rsidRDefault="000C4A36"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4.509.060,83</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0C4A36" w:rsidRPr="00B50C20" w:rsidRDefault="000C4A36"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100%</w:t>
            </w:r>
          </w:p>
        </w:tc>
      </w:tr>
    </w:tbl>
    <w:p w:rsidR="00087CE8" w:rsidRPr="00A50CF7" w:rsidRDefault="00087CE8" w:rsidP="00087CE8">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087CE8" w:rsidRDefault="00087CE8" w:rsidP="00087CE8">
      <w:pPr>
        <w:spacing w:after="0" w:line="360" w:lineRule="auto"/>
        <w:jc w:val="both"/>
        <w:rPr>
          <w:rFonts w:ascii="Arial" w:hAnsi="Arial" w:cs="Arial"/>
          <w:sz w:val="24"/>
          <w:szCs w:val="20"/>
        </w:rPr>
      </w:pPr>
    </w:p>
    <w:p w:rsidR="008F2A04" w:rsidRPr="002E4F1D" w:rsidRDefault="00087CE8" w:rsidP="008E77BA">
      <w:pPr>
        <w:spacing w:after="0" w:line="360" w:lineRule="auto"/>
        <w:jc w:val="both"/>
        <w:rPr>
          <w:rFonts w:ascii="Arial" w:hAnsi="Arial" w:cs="Arial"/>
          <w:sz w:val="24"/>
          <w:szCs w:val="24"/>
        </w:rPr>
      </w:pPr>
      <w:r>
        <w:rPr>
          <w:rFonts w:ascii="Arial" w:hAnsi="Arial" w:cs="Arial"/>
          <w:sz w:val="24"/>
          <w:szCs w:val="20"/>
        </w:rPr>
        <w:tab/>
      </w:r>
      <w:r w:rsidR="00EC08F3">
        <w:rPr>
          <w:rFonts w:ascii="Arial" w:hAnsi="Arial" w:cs="Arial"/>
          <w:sz w:val="24"/>
          <w:szCs w:val="20"/>
        </w:rPr>
        <w:t>A</w:t>
      </w:r>
      <w:r w:rsidR="00E16184">
        <w:rPr>
          <w:rFonts w:ascii="Arial" w:hAnsi="Arial" w:cs="Arial"/>
          <w:sz w:val="24"/>
          <w:szCs w:val="20"/>
        </w:rPr>
        <w:t>inda em relação ao Grupo 04 – Investimentos, foram analisadas as despesas do Fundo Estadual de Segurança Pública – FUNESP (tabela 08)</w:t>
      </w:r>
      <w:r w:rsidR="005D5D83">
        <w:rPr>
          <w:rFonts w:ascii="Arial" w:hAnsi="Arial" w:cs="Arial"/>
          <w:sz w:val="24"/>
          <w:szCs w:val="20"/>
        </w:rPr>
        <w:t>.</w:t>
      </w:r>
      <w:r w:rsidR="00EC08F3">
        <w:rPr>
          <w:rFonts w:ascii="Arial" w:hAnsi="Arial" w:cs="Arial"/>
          <w:sz w:val="24"/>
          <w:szCs w:val="20"/>
        </w:rPr>
        <w:t xml:space="preserve"> </w:t>
      </w:r>
      <w:r w:rsidR="005D5D83">
        <w:rPr>
          <w:rFonts w:ascii="Arial" w:hAnsi="Arial" w:cs="Arial"/>
          <w:sz w:val="24"/>
          <w:szCs w:val="20"/>
        </w:rPr>
        <w:t xml:space="preserve">Aos </w:t>
      </w:r>
      <w:r w:rsidR="00E16184">
        <w:rPr>
          <w:rFonts w:ascii="Arial" w:hAnsi="Arial" w:cs="Arial"/>
          <w:sz w:val="24"/>
          <w:szCs w:val="20"/>
        </w:rPr>
        <w:t xml:space="preserve">moldes dos demais órgãos avaliados, foi constatada grande concentração de gastos. </w:t>
      </w:r>
      <w:r w:rsidR="0098689D">
        <w:rPr>
          <w:rFonts w:ascii="Arial" w:hAnsi="Arial" w:cs="Arial"/>
          <w:sz w:val="24"/>
          <w:szCs w:val="20"/>
        </w:rPr>
        <w:t>As despesas com aquisição de automóveis foi a mais representativa (35,74%), seguida de obras civis (13,73%), Armamentos (13,41</w:t>
      </w:r>
      <w:r w:rsidR="0098689D" w:rsidRPr="002E4F1D">
        <w:rPr>
          <w:rFonts w:ascii="Arial" w:hAnsi="Arial" w:cs="Arial"/>
          <w:sz w:val="24"/>
          <w:szCs w:val="24"/>
        </w:rPr>
        <w:t>%) e Equipamentos de Te</w:t>
      </w:r>
      <w:r w:rsidR="002E4F1D">
        <w:rPr>
          <w:rFonts w:ascii="Arial" w:hAnsi="Arial" w:cs="Arial"/>
          <w:sz w:val="24"/>
          <w:szCs w:val="24"/>
        </w:rPr>
        <w:t>cnologia da Informação (7,62%).</w:t>
      </w:r>
    </w:p>
    <w:p w:rsidR="00C731CE" w:rsidRDefault="00C731CE" w:rsidP="008E77BA">
      <w:pPr>
        <w:spacing w:after="0" w:line="360" w:lineRule="auto"/>
        <w:jc w:val="both"/>
        <w:rPr>
          <w:rFonts w:ascii="Arial" w:hAnsi="Arial" w:cs="Arial"/>
          <w:sz w:val="24"/>
          <w:szCs w:val="20"/>
        </w:rPr>
      </w:pPr>
    </w:p>
    <w:p w:rsidR="00C731CE" w:rsidRPr="00C731CE" w:rsidRDefault="00C731CE" w:rsidP="007250F4">
      <w:pPr>
        <w:spacing w:line="240" w:lineRule="auto"/>
        <w:jc w:val="both"/>
        <w:rPr>
          <w:rFonts w:ascii="Arial" w:hAnsi="Arial" w:cs="Arial"/>
          <w:sz w:val="24"/>
          <w:szCs w:val="20"/>
        </w:rPr>
      </w:pPr>
      <w:r w:rsidRPr="00C731CE">
        <w:rPr>
          <w:rFonts w:ascii="Arial" w:hAnsi="Arial" w:cs="Arial"/>
          <w:sz w:val="24"/>
          <w:szCs w:val="20"/>
        </w:rPr>
        <w:t xml:space="preserve">Tabela 08 – Despesas realizadas </w:t>
      </w:r>
      <w:r w:rsidR="006B225F">
        <w:rPr>
          <w:rFonts w:ascii="Arial" w:hAnsi="Arial" w:cs="Arial"/>
          <w:sz w:val="24"/>
          <w:szCs w:val="20"/>
        </w:rPr>
        <w:t xml:space="preserve">no período 2004-2013, </w:t>
      </w:r>
      <w:r w:rsidRPr="00C731CE">
        <w:rPr>
          <w:rFonts w:ascii="Arial" w:hAnsi="Arial" w:cs="Arial"/>
          <w:sz w:val="24"/>
          <w:szCs w:val="20"/>
        </w:rPr>
        <w:t>Grupo 04 – Investimentos, por item – FUNESP</w:t>
      </w:r>
    </w:p>
    <w:tbl>
      <w:tblPr>
        <w:tblW w:w="9089" w:type="dxa"/>
        <w:tblInd w:w="53" w:type="dxa"/>
        <w:tblCellMar>
          <w:left w:w="70" w:type="dxa"/>
          <w:right w:w="70" w:type="dxa"/>
        </w:tblCellMar>
        <w:tblLook w:val="04A0"/>
      </w:tblPr>
      <w:tblGrid>
        <w:gridCol w:w="6396"/>
        <w:gridCol w:w="1712"/>
        <w:gridCol w:w="981"/>
      </w:tblGrid>
      <w:tr w:rsidR="00E16184" w:rsidRPr="000511AA" w:rsidTr="000511AA">
        <w:trPr>
          <w:trHeight w:val="480"/>
        </w:trPr>
        <w:tc>
          <w:tcPr>
            <w:tcW w:w="6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E16184" w:rsidRPr="000511AA" w:rsidRDefault="00E16184" w:rsidP="00EC08F3">
            <w:pPr>
              <w:spacing w:after="0" w:line="240" w:lineRule="auto"/>
              <w:jc w:val="center"/>
              <w:rPr>
                <w:rFonts w:ascii="Arial" w:eastAsia="Times New Roman" w:hAnsi="Arial" w:cs="Arial"/>
                <w:b/>
                <w:bCs/>
                <w:sz w:val="20"/>
                <w:szCs w:val="16"/>
              </w:rPr>
            </w:pPr>
            <w:r w:rsidRPr="000511AA">
              <w:rPr>
                <w:rFonts w:ascii="Arial" w:eastAsia="Times New Roman" w:hAnsi="Arial" w:cs="Arial"/>
                <w:b/>
                <w:bCs/>
                <w:sz w:val="20"/>
                <w:szCs w:val="16"/>
              </w:rPr>
              <w:t>Item de Despesa</w:t>
            </w:r>
          </w:p>
        </w:tc>
        <w:tc>
          <w:tcPr>
            <w:tcW w:w="17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E16184" w:rsidRPr="000511AA" w:rsidRDefault="00E16184" w:rsidP="00110E19">
            <w:pPr>
              <w:spacing w:after="0" w:line="240" w:lineRule="auto"/>
              <w:jc w:val="center"/>
              <w:rPr>
                <w:rFonts w:ascii="Arial" w:eastAsia="Times New Roman" w:hAnsi="Arial" w:cs="Arial"/>
                <w:b/>
                <w:bCs/>
                <w:sz w:val="20"/>
                <w:szCs w:val="16"/>
              </w:rPr>
            </w:pPr>
            <w:r w:rsidRPr="000511AA">
              <w:rPr>
                <w:rFonts w:ascii="Arial" w:eastAsia="Times New Roman" w:hAnsi="Arial" w:cs="Arial"/>
                <w:b/>
                <w:bCs/>
                <w:sz w:val="20"/>
                <w:szCs w:val="16"/>
              </w:rPr>
              <w:t>Valor (R$)</w:t>
            </w:r>
          </w:p>
        </w:tc>
        <w:tc>
          <w:tcPr>
            <w:tcW w:w="9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E16184" w:rsidRPr="000511AA" w:rsidRDefault="00E16184" w:rsidP="00110E19">
            <w:pPr>
              <w:spacing w:after="0" w:line="240" w:lineRule="auto"/>
              <w:jc w:val="center"/>
              <w:rPr>
                <w:rFonts w:ascii="Arial" w:eastAsia="Times New Roman" w:hAnsi="Arial" w:cs="Arial"/>
                <w:b/>
                <w:bCs/>
                <w:sz w:val="20"/>
                <w:szCs w:val="16"/>
              </w:rPr>
            </w:pPr>
            <w:r w:rsidRPr="000511AA">
              <w:rPr>
                <w:rFonts w:ascii="Arial" w:eastAsia="Times New Roman" w:hAnsi="Arial" w:cs="Arial"/>
                <w:b/>
                <w:bCs/>
                <w:sz w:val="20"/>
                <w:szCs w:val="16"/>
              </w:rPr>
              <w:t>%</w:t>
            </w:r>
          </w:p>
        </w:tc>
      </w:tr>
      <w:tr w:rsidR="00E16184" w:rsidRPr="004A43F1" w:rsidTr="000511AA">
        <w:trPr>
          <w:trHeight w:val="340"/>
        </w:trPr>
        <w:tc>
          <w:tcPr>
            <w:tcW w:w="63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rPr>
                <w:rFonts w:ascii="Arial" w:hAnsi="Arial" w:cs="Arial"/>
                <w:sz w:val="20"/>
                <w:szCs w:val="20"/>
              </w:rPr>
            </w:pPr>
            <w:r>
              <w:rPr>
                <w:rFonts w:ascii="Arial" w:hAnsi="Arial" w:cs="Arial"/>
                <w:sz w:val="20"/>
                <w:szCs w:val="20"/>
              </w:rPr>
              <w:t>Automóveis</w:t>
            </w:r>
          </w:p>
        </w:tc>
        <w:tc>
          <w:tcPr>
            <w:tcW w:w="17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jc w:val="right"/>
              <w:rPr>
                <w:rFonts w:ascii="Arial" w:hAnsi="Arial" w:cs="Arial"/>
                <w:sz w:val="20"/>
                <w:szCs w:val="20"/>
              </w:rPr>
            </w:pPr>
            <w:r>
              <w:rPr>
                <w:rFonts w:ascii="Arial" w:hAnsi="Arial" w:cs="Arial"/>
                <w:sz w:val="20"/>
                <w:szCs w:val="20"/>
              </w:rPr>
              <w:t>53.176.897,00</w:t>
            </w:r>
          </w:p>
        </w:tc>
        <w:tc>
          <w:tcPr>
            <w:tcW w:w="98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jc w:val="right"/>
              <w:rPr>
                <w:rFonts w:ascii="Arial" w:hAnsi="Arial" w:cs="Arial"/>
                <w:sz w:val="20"/>
                <w:szCs w:val="20"/>
              </w:rPr>
            </w:pPr>
            <w:r>
              <w:rPr>
                <w:rFonts w:ascii="Arial" w:hAnsi="Arial" w:cs="Arial"/>
                <w:sz w:val="20"/>
                <w:szCs w:val="20"/>
              </w:rPr>
              <w:t>35,74%</w:t>
            </w:r>
          </w:p>
        </w:tc>
      </w:tr>
      <w:tr w:rsidR="00E16184" w:rsidRPr="004A43F1" w:rsidTr="000511A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rPr>
                <w:rFonts w:ascii="Arial" w:hAnsi="Arial" w:cs="Arial"/>
                <w:sz w:val="20"/>
                <w:szCs w:val="20"/>
              </w:rPr>
            </w:pPr>
            <w:r>
              <w:rPr>
                <w:rFonts w:ascii="Arial" w:hAnsi="Arial" w:cs="Arial"/>
                <w:sz w:val="20"/>
                <w:szCs w:val="20"/>
              </w:rPr>
              <w:t>Obras Civis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jc w:val="right"/>
              <w:rPr>
                <w:rFonts w:ascii="Arial" w:hAnsi="Arial" w:cs="Arial"/>
                <w:sz w:val="20"/>
                <w:szCs w:val="20"/>
              </w:rPr>
            </w:pPr>
            <w:r>
              <w:rPr>
                <w:rFonts w:ascii="Arial" w:hAnsi="Arial" w:cs="Arial"/>
                <w:sz w:val="20"/>
                <w:szCs w:val="20"/>
              </w:rPr>
              <w:t>20.423.790,50</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E16184" w:rsidP="00110E19">
            <w:pPr>
              <w:spacing w:after="0"/>
              <w:jc w:val="right"/>
              <w:rPr>
                <w:rFonts w:ascii="Arial" w:hAnsi="Arial" w:cs="Arial"/>
                <w:sz w:val="20"/>
                <w:szCs w:val="20"/>
              </w:rPr>
            </w:pPr>
            <w:r>
              <w:rPr>
                <w:rFonts w:ascii="Arial" w:hAnsi="Arial" w:cs="Arial"/>
                <w:sz w:val="20"/>
                <w:szCs w:val="20"/>
              </w:rPr>
              <w:t>13,73</w:t>
            </w:r>
            <w:r w:rsidR="00A4243A">
              <w:rPr>
                <w:rFonts w:ascii="Arial" w:hAnsi="Arial" w:cs="Arial"/>
                <w:sz w:val="20"/>
                <w:szCs w:val="20"/>
              </w:rPr>
              <w:t>%</w:t>
            </w:r>
          </w:p>
        </w:tc>
      </w:tr>
      <w:tr w:rsidR="00E16184" w:rsidRPr="004A43F1" w:rsidTr="000511A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rPr>
                <w:rFonts w:ascii="Arial" w:hAnsi="Arial" w:cs="Arial"/>
                <w:sz w:val="20"/>
                <w:szCs w:val="20"/>
              </w:rPr>
            </w:pPr>
            <w:r>
              <w:rPr>
                <w:rFonts w:ascii="Arial" w:hAnsi="Arial" w:cs="Arial"/>
                <w:sz w:val="20"/>
                <w:szCs w:val="20"/>
              </w:rPr>
              <w:t>Armamentos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A4243A">
            <w:pPr>
              <w:spacing w:after="0"/>
              <w:jc w:val="right"/>
              <w:rPr>
                <w:rFonts w:ascii="Arial" w:hAnsi="Arial" w:cs="Arial"/>
                <w:sz w:val="20"/>
                <w:szCs w:val="20"/>
              </w:rPr>
            </w:pPr>
            <w:r>
              <w:rPr>
                <w:rFonts w:ascii="Arial" w:hAnsi="Arial" w:cs="Arial"/>
                <w:sz w:val="20"/>
                <w:szCs w:val="20"/>
              </w:rPr>
              <w:t>19.955.099,72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jc w:val="right"/>
              <w:rPr>
                <w:rFonts w:ascii="Arial" w:hAnsi="Arial" w:cs="Arial"/>
                <w:sz w:val="20"/>
                <w:szCs w:val="20"/>
              </w:rPr>
            </w:pPr>
            <w:r>
              <w:rPr>
                <w:rFonts w:ascii="Arial" w:hAnsi="Arial" w:cs="Arial"/>
                <w:sz w:val="20"/>
                <w:szCs w:val="20"/>
              </w:rPr>
              <w:t>13,41%</w:t>
            </w:r>
          </w:p>
        </w:tc>
      </w:tr>
      <w:tr w:rsidR="00E16184" w:rsidRPr="004A43F1" w:rsidTr="000511A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rPr>
                <w:rFonts w:ascii="Arial" w:hAnsi="Arial" w:cs="Arial"/>
                <w:sz w:val="20"/>
                <w:szCs w:val="20"/>
              </w:rPr>
            </w:pPr>
            <w:r>
              <w:rPr>
                <w:rFonts w:ascii="Arial" w:hAnsi="Arial" w:cs="Arial"/>
                <w:sz w:val="20"/>
                <w:szCs w:val="20"/>
              </w:rPr>
              <w:t>Equipamentos de Tecnologia da Informação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jc w:val="right"/>
              <w:rPr>
                <w:rFonts w:ascii="Arial" w:hAnsi="Arial" w:cs="Arial"/>
                <w:sz w:val="20"/>
                <w:szCs w:val="20"/>
              </w:rPr>
            </w:pPr>
            <w:r>
              <w:rPr>
                <w:rFonts w:ascii="Arial" w:hAnsi="Arial" w:cs="Arial"/>
                <w:sz w:val="20"/>
                <w:szCs w:val="20"/>
              </w:rPr>
              <w:t>11.345.261,39</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jc w:val="right"/>
              <w:rPr>
                <w:rFonts w:ascii="Arial" w:hAnsi="Arial" w:cs="Arial"/>
                <w:sz w:val="20"/>
                <w:szCs w:val="20"/>
              </w:rPr>
            </w:pPr>
            <w:r>
              <w:rPr>
                <w:rFonts w:ascii="Arial" w:hAnsi="Arial" w:cs="Arial"/>
                <w:sz w:val="20"/>
                <w:szCs w:val="20"/>
              </w:rPr>
              <w:t>7,62%</w:t>
            </w:r>
          </w:p>
        </w:tc>
      </w:tr>
      <w:tr w:rsidR="00E16184" w:rsidRPr="004A43F1" w:rsidTr="000511AA">
        <w:trPr>
          <w:trHeight w:val="340"/>
        </w:trPr>
        <w:tc>
          <w:tcPr>
            <w:tcW w:w="6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A4243A">
            <w:pPr>
              <w:spacing w:after="0" w:line="240" w:lineRule="auto"/>
              <w:rPr>
                <w:rFonts w:ascii="Arial" w:eastAsia="Times New Roman" w:hAnsi="Arial" w:cs="Arial"/>
                <w:sz w:val="20"/>
                <w:szCs w:val="20"/>
              </w:rPr>
            </w:pPr>
            <w:r>
              <w:rPr>
                <w:rFonts w:ascii="Arial" w:eastAsia="Times New Roman" w:hAnsi="Arial" w:cs="Arial"/>
                <w:sz w:val="20"/>
                <w:szCs w:val="20"/>
              </w:rPr>
              <w:t>Outras Despesas (somatório de 30 itens)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43.902.481,22</w:t>
            </w:r>
          </w:p>
        </w:tc>
        <w:tc>
          <w:tcPr>
            <w:tcW w:w="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E16184" w:rsidRPr="004A43F1" w:rsidRDefault="00A4243A" w:rsidP="00110E19">
            <w:pPr>
              <w:spacing w:after="0" w:line="240" w:lineRule="auto"/>
              <w:jc w:val="right"/>
              <w:rPr>
                <w:rFonts w:ascii="Arial" w:eastAsia="Times New Roman" w:hAnsi="Arial" w:cs="Arial"/>
                <w:sz w:val="20"/>
                <w:szCs w:val="20"/>
              </w:rPr>
            </w:pPr>
            <w:r>
              <w:rPr>
                <w:rFonts w:ascii="Arial" w:eastAsia="Times New Roman" w:hAnsi="Arial" w:cs="Arial"/>
                <w:sz w:val="20"/>
                <w:szCs w:val="20"/>
              </w:rPr>
              <w:t>29,50%</w:t>
            </w:r>
          </w:p>
        </w:tc>
      </w:tr>
      <w:tr w:rsidR="00E16184" w:rsidRPr="004A43F1" w:rsidTr="000511AA">
        <w:trPr>
          <w:trHeight w:val="340"/>
        </w:trPr>
        <w:tc>
          <w:tcPr>
            <w:tcW w:w="639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E16184" w:rsidRPr="00B50C20" w:rsidRDefault="00E16184" w:rsidP="00110E19">
            <w:pPr>
              <w:spacing w:after="0" w:line="240" w:lineRule="auto"/>
              <w:rPr>
                <w:rFonts w:ascii="Arial" w:eastAsia="Times New Roman" w:hAnsi="Arial" w:cs="Arial"/>
                <w:b/>
                <w:sz w:val="20"/>
                <w:szCs w:val="20"/>
              </w:rPr>
            </w:pPr>
            <w:r>
              <w:rPr>
                <w:rFonts w:ascii="Arial" w:eastAsia="Times New Roman" w:hAnsi="Arial" w:cs="Arial"/>
                <w:b/>
                <w:sz w:val="20"/>
                <w:szCs w:val="20"/>
              </w:rPr>
              <w:t>TOTAL</w:t>
            </w:r>
          </w:p>
        </w:tc>
        <w:tc>
          <w:tcPr>
            <w:tcW w:w="17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E16184" w:rsidRPr="00B50C20" w:rsidRDefault="00A4243A"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148.803.529,92</w:t>
            </w:r>
          </w:p>
        </w:tc>
        <w:tc>
          <w:tcPr>
            <w:tcW w:w="98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E16184" w:rsidRPr="00B50C20" w:rsidRDefault="00E16184" w:rsidP="00110E19">
            <w:pPr>
              <w:spacing w:after="0" w:line="240" w:lineRule="auto"/>
              <w:jc w:val="right"/>
              <w:rPr>
                <w:rFonts w:ascii="Arial" w:eastAsia="Times New Roman" w:hAnsi="Arial" w:cs="Arial"/>
                <w:b/>
                <w:sz w:val="20"/>
                <w:szCs w:val="20"/>
              </w:rPr>
            </w:pPr>
            <w:r>
              <w:rPr>
                <w:rFonts w:ascii="Arial" w:eastAsia="Times New Roman" w:hAnsi="Arial" w:cs="Arial"/>
                <w:b/>
                <w:sz w:val="20"/>
                <w:szCs w:val="20"/>
              </w:rPr>
              <w:t>100%</w:t>
            </w:r>
          </w:p>
        </w:tc>
      </w:tr>
    </w:tbl>
    <w:p w:rsidR="00E16184" w:rsidRPr="00A50CF7" w:rsidRDefault="00E16184" w:rsidP="00E16184">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E16184" w:rsidRDefault="00E16184" w:rsidP="008E77BA">
      <w:pPr>
        <w:spacing w:after="0" w:line="360" w:lineRule="auto"/>
        <w:jc w:val="both"/>
        <w:rPr>
          <w:rFonts w:ascii="Arial" w:hAnsi="Arial" w:cs="Arial"/>
          <w:sz w:val="24"/>
          <w:szCs w:val="20"/>
        </w:rPr>
      </w:pPr>
    </w:p>
    <w:p w:rsidR="00EC08F3" w:rsidRDefault="00EC08F3" w:rsidP="00EC08F3">
      <w:pPr>
        <w:spacing w:after="0" w:line="360" w:lineRule="auto"/>
        <w:ind w:firstLine="708"/>
        <w:jc w:val="both"/>
        <w:rPr>
          <w:rFonts w:ascii="Arial" w:hAnsi="Arial" w:cs="Arial"/>
          <w:sz w:val="24"/>
          <w:szCs w:val="20"/>
        </w:rPr>
      </w:pPr>
      <w:r>
        <w:rPr>
          <w:rFonts w:ascii="Arial" w:hAnsi="Arial" w:cs="Arial"/>
          <w:sz w:val="24"/>
          <w:szCs w:val="20"/>
        </w:rPr>
        <w:t>Por fim, em relação aos dados financeiros dos órgãos de segurança pública em Goiás, foram levantados os valores inicialmente previstos (orçados) nas Leis Orçamentárias Anuais e os valores efetivamente realizados no período de 2004 a 2013.</w:t>
      </w:r>
      <w:r w:rsidR="006E50A6">
        <w:rPr>
          <w:rFonts w:ascii="Arial" w:hAnsi="Arial" w:cs="Arial"/>
          <w:sz w:val="24"/>
          <w:szCs w:val="20"/>
        </w:rPr>
        <w:t xml:space="preserve"> O resultado é a constatação de um contingenciamento de </w:t>
      </w:r>
      <w:r w:rsidR="00F3119A">
        <w:rPr>
          <w:rFonts w:ascii="Arial" w:hAnsi="Arial" w:cs="Arial"/>
          <w:sz w:val="24"/>
          <w:szCs w:val="20"/>
        </w:rPr>
        <w:t xml:space="preserve">mais de </w:t>
      </w:r>
      <w:r w:rsidR="006E50A6">
        <w:rPr>
          <w:rFonts w:ascii="Arial" w:hAnsi="Arial" w:cs="Arial"/>
          <w:sz w:val="24"/>
          <w:szCs w:val="20"/>
        </w:rPr>
        <w:t>500 milhões de reais ao longo do período avaliado.</w:t>
      </w:r>
    </w:p>
    <w:p w:rsidR="00EC08F3" w:rsidRDefault="00EC08F3" w:rsidP="00EC08F3">
      <w:pPr>
        <w:spacing w:after="0" w:line="360" w:lineRule="auto"/>
        <w:jc w:val="both"/>
        <w:rPr>
          <w:rFonts w:ascii="Arial" w:hAnsi="Arial" w:cs="Arial"/>
          <w:sz w:val="24"/>
          <w:szCs w:val="20"/>
        </w:rPr>
      </w:pPr>
    </w:p>
    <w:p w:rsidR="00EC08F3" w:rsidRPr="00C731CE" w:rsidRDefault="00EC08F3" w:rsidP="00EC08F3">
      <w:pPr>
        <w:spacing w:line="240" w:lineRule="auto"/>
        <w:jc w:val="both"/>
        <w:rPr>
          <w:rFonts w:ascii="Arial" w:hAnsi="Arial" w:cs="Arial"/>
          <w:sz w:val="24"/>
          <w:szCs w:val="20"/>
        </w:rPr>
      </w:pPr>
      <w:r w:rsidRPr="00C731CE">
        <w:rPr>
          <w:rFonts w:ascii="Arial" w:hAnsi="Arial" w:cs="Arial"/>
          <w:sz w:val="24"/>
          <w:szCs w:val="20"/>
        </w:rPr>
        <w:t>Tabela 0</w:t>
      </w:r>
      <w:r>
        <w:rPr>
          <w:rFonts w:ascii="Arial" w:hAnsi="Arial" w:cs="Arial"/>
          <w:sz w:val="24"/>
          <w:szCs w:val="20"/>
        </w:rPr>
        <w:t>9</w:t>
      </w:r>
      <w:r w:rsidRPr="00C731CE">
        <w:rPr>
          <w:rFonts w:ascii="Arial" w:hAnsi="Arial" w:cs="Arial"/>
          <w:sz w:val="24"/>
          <w:szCs w:val="20"/>
        </w:rPr>
        <w:t xml:space="preserve"> – </w:t>
      </w:r>
      <w:r>
        <w:rPr>
          <w:rFonts w:ascii="Arial" w:hAnsi="Arial" w:cs="Arial"/>
          <w:sz w:val="24"/>
          <w:szCs w:val="20"/>
        </w:rPr>
        <w:t>Valores Orçados e Realizados no período de 2004-2013</w:t>
      </w:r>
      <w:r w:rsidR="00CE6B5D">
        <w:rPr>
          <w:rFonts w:ascii="Arial" w:hAnsi="Arial" w:cs="Arial"/>
          <w:sz w:val="24"/>
          <w:szCs w:val="20"/>
        </w:rPr>
        <w:t xml:space="preserve">, exceto Grupo 01 – Despesas com Pessoal e Encargos Sociais. </w:t>
      </w:r>
    </w:p>
    <w:tbl>
      <w:tblPr>
        <w:tblW w:w="8919" w:type="dxa"/>
        <w:tblInd w:w="53" w:type="dxa"/>
        <w:tblCellMar>
          <w:left w:w="70" w:type="dxa"/>
          <w:right w:w="70" w:type="dxa"/>
        </w:tblCellMar>
        <w:tblLook w:val="04A0"/>
      </w:tblPr>
      <w:tblGrid>
        <w:gridCol w:w="3845"/>
        <w:gridCol w:w="1842"/>
        <w:gridCol w:w="1701"/>
        <w:gridCol w:w="1531"/>
      </w:tblGrid>
      <w:tr w:rsidR="004F18B9" w:rsidRPr="000511AA" w:rsidTr="00756F21">
        <w:trPr>
          <w:trHeight w:val="480"/>
        </w:trPr>
        <w:tc>
          <w:tcPr>
            <w:tcW w:w="384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4F18B9" w:rsidRPr="000511AA" w:rsidRDefault="004F18B9" w:rsidP="00110E19">
            <w:pPr>
              <w:spacing w:after="0" w:line="240" w:lineRule="auto"/>
              <w:jc w:val="center"/>
              <w:rPr>
                <w:rFonts w:ascii="Arial" w:eastAsia="Times New Roman" w:hAnsi="Arial" w:cs="Arial"/>
                <w:b/>
                <w:bCs/>
                <w:sz w:val="20"/>
                <w:szCs w:val="16"/>
              </w:rPr>
            </w:pPr>
            <w:r>
              <w:rPr>
                <w:rFonts w:ascii="Arial" w:eastAsia="Times New Roman" w:hAnsi="Arial" w:cs="Arial"/>
                <w:b/>
                <w:bCs/>
                <w:sz w:val="20"/>
                <w:szCs w:val="16"/>
              </w:rPr>
              <w:t>Órgão</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4F18B9" w:rsidRDefault="004F18B9" w:rsidP="00EC08F3">
            <w:pPr>
              <w:spacing w:after="0" w:line="240" w:lineRule="auto"/>
              <w:jc w:val="center"/>
              <w:rPr>
                <w:rFonts w:ascii="Arial" w:eastAsia="Times New Roman" w:hAnsi="Arial" w:cs="Arial"/>
                <w:b/>
                <w:bCs/>
                <w:sz w:val="20"/>
                <w:szCs w:val="16"/>
              </w:rPr>
            </w:pPr>
            <w:r>
              <w:rPr>
                <w:rFonts w:ascii="Arial" w:eastAsia="Times New Roman" w:hAnsi="Arial" w:cs="Arial"/>
                <w:b/>
                <w:bCs/>
                <w:sz w:val="20"/>
                <w:szCs w:val="16"/>
              </w:rPr>
              <w:t xml:space="preserve">Valor Orçado </w:t>
            </w:r>
          </w:p>
          <w:p w:rsidR="004F18B9" w:rsidRPr="000511AA" w:rsidRDefault="004F18B9" w:rsidP="00EC08F3">
            <w:pPr>
              <w:spacing w:after="0" w:line="240" w:lineRule="auto"/>
              <w:jc w:val="center"/>
              <w:rPr>
                <w:rFonts w:ascii="Arial" w:eastAsia="Times New Roman" w:hAnsi="Arial" w:cs="Arial"/>
                <w:b/>
                <w:bCs/>
                <w:sz w:val="20"/>
                <w:szCs w:val="16"/>
              </w:rPr>
            </w:pPr>
            <w:r>
              <w:rPr>
                <w:rFonts w:ascii="Arial" w:eastAsia="Times New Roman" w:hAnsi="Arial" w:cs="Arial"/>
                <w:b/>
                <w:bCs/>
                <w:sz w:val="20"/>
                <w:szCs w:val="16"/>
              </w:rPr>
              <w:t>(R$)</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4F18B9" w:rsidRPr="000511AA" w:rsidRDefault="004F18B9" w:rsidP="00110E19">
            <w:pPr>
              <w:spacing w:after="0" w:line="240" w:lineRule="auto"/>
              <w:jc w:val="center"/>
              <w:rPr>
                <w:rFonts w:ascii="Arial" w:eastAsia="Times New Roman" w:hAnsi="Arial" w:cs="Arial"/>
                <w:b/>
                <w:bCs/>
                <w:sz w:val="20"/>
                <w:szCs w:val="16"/>
              </w:rPr>
            </w:pPr>
            <w:r w:rsidRPr="000511AA">
              <w:rPr>
                <w:rFonts w:ascii="Arial" w:eastAsia="Times New Roman" w:hAnsi="Arial" w:cs="Arial"/>
                <w:b/>
                <w:bCs/>
                <w:sz w:val="20"/>
                <w:szCs w:val="16"/>
              </w:rPr>
              <w:t>Valor</w:t>
            </w:r>
            <w:r>
              <w:rPr>
                <w:rFonts w:ascii="Arial" w:eastAsia="Times New Roman" w:hAnsi="Arial" w:cs="Arial"/>
                <w:b/>
                <w:bCs/>
                <w:sz w:val="20"/>
                <w:szCs w:val="16"/>
              </w:rPr>
              <w:t xml:space="preserve"> Realizado</w:t>
            </w:r>
            <w:r w:rsidRPr="000511AA">
              <w:rPr>
                <w:rFonts w:ascii="Arial" w:eastAsia="Times New Roman" w:hAnsi="Arial" w:cs="Arial"/>
                <w:b/>
                <w:bCs/>
                <w:sz w:val="20"/>
                <w:szCs w:val="16"/>
              </w:rPr>
              <w:t xml:space="preserve"> (R$)</w:t>
            </w:r>
          </w:p>
        </w:tc>
        <w:tc>
          <w:tcPr>
            <w:tcW w:w="153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hideMark/>
          </w:tcPr>
          <w:p w:rsidR="004F18B9" w:rsidRPr="000511AA" w:rsidRDefault="004F18B9" w:rsidP="00110E19">
            <w:pPr>
              <w:spacing w:after="0" w:line="240" w:lineRule="auto"/>
              <w:jc w:val="center"/>
              <w:rPr>
                <w:rFonts w:ascii="Arial" w:eastAsia="Times New Roman" w:hAnsi="Arial" w:cs="Arial"/>
                <w:b/>
                <w:bCs/>
                <w:sz w:val="20"/>
                <w:szCs w:val="16"/>
              </w:rPr>
            </w:pPr>
            <w:r>
              <w:rPr>
                <w:rFonts w:ascii="Arial" w:eastAsia="Times New Roman" w:hAnsi="Arial" w:cs="Arial"/>
                <w:b/>
                <w:bCs/>
                <w:sz w:val="20"/>
                <w:szCs w:val="16"/>
              </w:rPr>
              <w:t>Diferença</w:t>
            </w:r>
          </w:p>
        </w:tc>
      </w:tr>
      <w:tr w:rsidR="004F18B9" w:rsidRPr="004A43F1" w:rsidTr="00756F21">
        <w:trPr>
          <w:trHeight w:val="340"/>
        </w:trPr>
        <w:tc>
          <w:tcPr>
            <w:tcW w:w="384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110E19">
            <w:pPr>
              <w:spacing w:after="0"/>
              <w:rPr>
                <w:rFonts w:ascii="Arial" w:hAnsi="Arial" w:cs="Arial"/>
                <w:sz w:val="20"/>
                <w:szCs w:val="20"/>
              </w:rPr>
            </w:pPr>
            <w:r>
              <w:rPr>
                <w:rFonts w:ascii="Arial" w:hAnsi="Arial" w:cs="Arial"/>
                <w:sz w:val="20"/>
                <w:szCs w:val="20"/>
              </w:rPr>
              <w:t>Secretaria de Segurança Pública</w:t>
            </w:r>
          </w:p>
        </w:tc>
        <w:tc>
          <w:tcPr>
            <w:tcW w:w="184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F18B9" w:rsidRPr="004A43F1" w:rsidRDefault="004F18B9" w:rsidP="004F18B9">
            <w:pPr>
              <w:spacing w:after="0"/>
              <w:jc w:val="right"/>
              <w:rPr>
                <w:rFonts w:ascii="Arial" w:hAnsi="Arial" w:cs="Arial"/>
                <w:sz w:val="20"/>
                <w:szCs w:val="20"/>
              </w:rPr>
            </w:pPr>
            <w:r>
              <w:rPr>
                <w:rFonts w:ascii="Arial" w:hAnsi="Arial" w:cs="Arial"/>
                <w:sz w:val="20"/>
                <w:szCs w:val="20"/>
              </w:rPr>
              <w:t>343.975.000</w:t>
            </w:r>
          </w:p>
        </w:tc>
        <w:tc>
          <w:tcPr>
            <w:tcW w:w="170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244.168.795</w:t>
            </w:r>
          </w:p>
        </w:tc>
        <w:tc>
          <w:tcPr>
            <w:tcW w:w="153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99.806.205</w:t>
            </w:r>
          </w:p>
        </w:tc>
      </w:tr>
      <w:tr w:rsidR="004F18B9" w:rsidRPr="004A43F1" w:rsidTr="00756F21">
        <w:trPr>
          <w:trHeight w:val="340"/>
        </w:trPr>
        <w:tc>
          <w:tcPr>
            <w:tcW w:w="38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110E19">
            <w:pPr>
              <w:spacing w:after="0"/>
              <w:rPr>
                <w:rFonts w:ascii="Arial" w:hAnsi="Arial" w:cs="Arial"/>
                <w:sz w:val="20"/>
                <w:szCs w:val="20"/>
              </w:rPr>
            </w:pPr>
            <w:r>
              <w:rPr>
                <w:rFonts w:ascii="Arial" w:hAnsi="Arial" w:cs="Arial"/>
                <w:sz w:val="20"/>
                <w:szCs w:val="20"/>
              </w:rPr>
              <w:t>Polícia Militar</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F18B9" w:rsidRPr="004A43F1" w:rsidRDefault="004F18B9" w:rsidP="004F18B9">
            <w:pPr>
              <w:spacing w:after="0"/>
              <w:jc w:val="right"/>
              <w:rPr>
                <w:rFonts w:ascii="Arial" w:hAnsi="Arial" w:cs="Arial"/>
                <w:sz w:val="20"/>
                <w:szCs w:val="20"/>
              </w:rPr>
            </w:pPr>
            <w:r>
              <w:rPr>
                <w:rFonts w:ascii="Arial" w:hAnsi="Arial" w:cs="Arial"/>
                <w:sz w:val="20"/>
                <w:szCs w:val="20"/>
              </w:rPr>
              <w:t>318.409.000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261.319.258</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57.089.742</w:t>
            </w:r>
          </w:p>
        </w:tc>
      </w:tr>
      <w:tr w:rsidR="004F18B9" w:rsidRPr="004A43F1" w:rsidTr="00756F21">
        <w:trPr>
          <w:trHeight w:val="340"/>
        </w:trPr>
        <w:tc>
          <w:tcPr>
            <w:tcW w:w="38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110E19">
            <w:pPr>
              <w:spacing w:after="0"/>
              <w:rPr>
                <w:rFonts w:ascii="Arial" w:hAnsi="Arial" w:cs="Arial"/>
                <w:sz w:val="20"/>
                <w:szCs w:val="20"/>
              </w:rPr>
            </w:pPr>
            <w:r>
              <w:rPr>
                <w:rFonts w:ascii="Arial" w:hAnsi="Arial" w:cs="Arial"/>
                <w:sz w:val="20"/>
                <w:szCs w:val="20"/>
              </w:rPr>
              <w:t>Polícia Civil</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F18B9" w:rsidRPr="004A43F1" w:rsidRDefault="004F18B9" w:rsidP="004F18B9">
            <w:pPr>
              <w:spacing w:after="0"/>
              <w:jc w:val="right"/>
              <w:rPr>
                <w:rFonts w:ascii="Arial" w:hAnsi="Arial" w:cs="Arial"/>
                <w:sz w:val="20"/>
                <w:szCs w:val="20"/>
              </w:rPr>
            </w:pPr>
            <w:r>
              <w:rPr>
                <w:rFonts w:ascii="Arial" w:hAnsi="Arial" w:cs="Arial"/>
                <w:sz w:val="20"/>
                <w:szCs w:val="20"/>
              </w:rPr>
              <w:t>143.358.000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141.512.257</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1.845.742</w:t>
            </w:r>
          </w:p>
        </w:tc>
      </w:tr>
      <w:tr w:rsidR="004F18B9" w:rsidRPr="004A43F1" w:rsidTr="00756F21">
        <w:trPr>
          <w:trHeight w:val="340"/>
        </w:trPr>
        <w:tc>
          <w:tcPr>
            <w:tcW w:w="38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EC08F3">
            <w:pPr>
              <w:spacing w:after="0"/>
              <w:rPr>
                <w:rFonts w:ascii="Arial" w:hAnsi="Arial" w:cs="Arial"/>
                <w:sz w:val="20"/>
                <w:szCs w:val="20"/>
              </w:rPr>
            </w:pPr>
            <w:r>
              <w:rPr>
                <w:rFonts w:ascii="Arial" w:hAnsi="Arial" w:cs="Arial"/>
                <w:sz w:val="20"/>
                <w:szCs w:val="20"/>
              </w:rPr>
              <w:t>Fundo Estadual de Segurança - FUNESP</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F18B9" w:rsidRPr="004A43F1" w:rsidRDefault="004F18B9" w:rsidP="004F18B9">
            <w:pPr>
              <w:spacing w:after="0"/>
              <w:jc w:val="right"/>
              <w:rPr>
                <w:rFonts w:ascii="Arial" w:hAnsi="Arial" w:cs="Arial"/>
                <w:sz w:val="20"/>
                <w:szCs w:val="20"/>
              </w:rPr>
            </w:pPr>
            <w:r>
              <w:rPr>
                <w:rFonts w:ascii="Arial" w:hAnsi="Arial" w:cs="Arial"/>
                <w:sz w:val="20"/>
                <w:szCs w:val="20"/>
              </w:rPr>
              <w:t>765.005.000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466.605.385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jc w:val="right"/>
              <w:rPr>
                <w:rFonts w:ascii="Arial" w:hAnsi="Arial" w:cs="Arial"/>
                <w:sz w:val="20"/>
                <w:szCs w:val="20"/>
              </w:rPr>
            </w:pPr>
            <w:r>
              <w:rPr>
                <w:rFonts w:ascii="Arial" w:hAnsi="Arial" w:cs="Arial"/>
                <w:sz w:val="20"/>
                <w:szCs w:val="20"/>
              </w:rPr>
              <w:t>298.399.615</w:t>
            </w:r>
          </w:p>
        </w:tc>
      </w:tr>
      <w:tr w:rsidR="004F18B9" w:rsidRPr="004A43F1" w:rsidTr="00756F21">
        <w:trPr>
          <w:trHeight w:val="340"/>
        </w:trPr>
        <w:tc>
          <w:tcPr>
            <w:tcW w:w="38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110E19">
            <w:pPr>
              <w:spacing w:after="0" w:line="240" w:lineRule="auto"/>
              <w:rPr>
                <w:rFonts w:ascii="Arial" w:eastAsia="Times New Roman" w:hAnsi="Arial" w:cs="Arial"/>
                <w:sz w:val="20"/>
                <w:szCs w:val="20"/>
              </w:rPr>
            </w:pPr>
            <w:r>
              <w:rPr>
                <w:rFonts w:ascii="Arial" w:eastAsia="Times New Roman" w:hAnsi="Arial" w:cs="Arial"/>
                <w:sz w:val="20"/>
                <w:szCs w:val="20"/>
              </w:rPr>
              <w:t>Secretaria de Adm. Penitenciária e Just.</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F18B9" w:rsidRPr="004A43F1" w:rsidRDefault="004F18B9" w:rsidP="004F18B9">
            <w:pPr>
              <w:spacing w:after="0" w:line="240" w:lineRule="auto"/>
              <w:jc w:val="right"/>
              <w:rPr>
                <w:rFonts w:ascii="Arial" w:eastAsia="Times New Roman" w:hAnsi="Arial" w:cs="Arial"/>
                <w:sz w:val="20"/>
                <w:szCs w:val="20"/>
              </w:rPr>
            </w:pPr>
            <w:r>
              <w:rPr>
                <w:rFonts w:ascii="Arial" w:eastAsia="Times New Roman" w:hAnsi="Arial" w:cs="Arial"/>
                <w:sz w:val="20"/>
                <w:szCs w:val="20"/>
              </w:rPr>
              <w:t>131.661.000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line="240" w:lineRule="auto"/>
              <w:jc w:val="right"/>
              <w:rPr>
                <w:rFonts w:ascii="Arial" w:eastAsia="Times New Roman" w:hAnsi="Arial" w:cs="Arial"/>
                <w:sz w:val="20"/>
                <w:szCs w:val="20"/>
              </w:rPr>
            </w:pPr>
            <w:r>
              <w:rPr>
                <w:rFonts w:ascii="Arial" w:eastAsia="Times New Roman" w:hAnsi="Arial" w:cs="Arial"/>
                <w:sz w:val="20"/>
                <w:szCs w:val="20"/>
              </w:rPr>
              <w:t>86.350.015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rsidR="004F18B9" w:rsidRPr="004A43F1" w:rsidRDefault="004F18B9" w:rsidP="004F18B9">
            <w:pPr>
              <w:spacing w:after="0" w:line="240" w:lineRule="auto"/>
              <w:jc w:val="right"/>
              <w:rPr>
                <w:rFonts w:ascii="Arial" w:eastAsia="Times New Roman" w:hAnsi="Arial" w:cs="Arial"/>
                <w:sz w:val="20"/>
                <w:szCs w:val="20"/>
              </w:rPr>
            </w:pPr>
            <w:r>
              <w:rPr>
                <w:rFonts w:ascii="Arial" w:eastAsia="Times New Roman" w:hAnsi="Arial" w:cs="Arial"/>
                <w:sz w:val="20"/>
                <w:szCs w:val="20"/>
              </w:rPr>
              <w:t>45.310.985</w:t>
            </w:r>
          </w:p>
        </w:tc>
      </w:tr>
      <w:tr w:rsidR="004F18B9" w:rsidRPr="004A43F1" w:rsidTr="00756F21">
        <w:trPr>
          <w:trHeight w:val="340"/>
        </w:trPr>
        <w:tc>
          <w:tcPr>
            <w:tcW w:w="384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4F18B9" w:rsidRPr="00B50C20" w:rsidRDefault="004F18B9" w:rsidP="00110E19">
            <w:pPr>
              <w:spacing w:after="0" w:line="240" w:lineRule="auto"/>
              <w:rPr>
                <w:rFonts w:ascii="Arial" w:eastAsia="Times New Roman" w:hAnsi="Arial" w:cs="Arial"/>
                <w:b/>
                <w:sz w:val="20"/>
                <w:szCs w:val="20"/>
              </w:rPr>
            </w:pPr>
            <w:r>
              <w:rPr>
                <w:rFonts w:ascii="Arial" w:eastAsia="Times New Roman" w:hAnsi="Arial" w:cs="Arial"/>
                <w:b/>
                <w:sz w:val="20"/>
                <w:szCs w:val="20"/>
              </w:rPr>
              <w:t>TOTAL</w:t>
            </w:r>
          </w:p>
        </w:tc>
        <w:tc>
          <w:tcPr>
            <w:tcW w:w="184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4F18B9" w:rsidRPr="00B50C20" w:rsidRDefault="004F18B9" w:rsidP="004F18B9">
            <w:pPr>
              <w:spacing w:after="0" w:line="240" w:lineRule="auto"/>
              <w:jc w:val="right"/>
              <w:rPr>
                <w:rFonts w:ascii="Arial" w:eastAsia="Times New Roman" w:hAnsi="Arial" w:cs="Arial"/>
                <w:b/>
                <w:sz w:val="20"/>
                <w:szCs w:val="20"/>
              </w:rPr>
            </w:pPr>
            <w:r>
              <w:rPr>
                <w:rFonts w:ascii="Arial" w:eastAsia="Times New Roman" w:hAnsi="Arial" w:cs="Arial"/>
                <w:b/>
                <w:sz w:val="20"/>
                <w:szCs w:val="20"/>
              </w:rPr>
              <w:t>1.702.408.000</w:t>
            </w:r>
          </w:p>
        </w:tc>
        <w:tc>
          <w:tcPr>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4F18B9" w:rsidRPr="00B50C20" w:rsidRDefault="004F18B9" w:rsidP="004F18B9">
            <w:pPr>
              <w:spacing w:after="0" w:line="240" w:lineRule="auto"/>
              <w:jc w:val="right"/>
              <w:rPr>
                <w:rFonts w:ascii="Arial" w:eastAsia="Times New Roman" w:hAnsi="Arial" w:cs="Arial"/>
                <w:b/>
                <w:sz w:val="20"/>
                <w:szCs w:val="20"/>
              </w:rPr>
            </w:pPr>
            <w:r>
              <w:rPr>
                <w:rFonts w:ascii="Arial" w:eastAsia="Times New Roman" w:hAnsi="Arial" w:cs="Arial"/>
                <w:b/>
                <w:sz w:val="20"/>
                <w:szCs w:val="20"/>
              </w:rPr>
              <w:t>1.199.955.711</w:t>
            </w:r>
          </w:p>
        </w:tc>
        <w:tc>
          <w:tcPr>
            <w:tcW w:w="153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center"/>
            <w:hideMark/>
          </w:tcPr>
          <w:p w:rsidR="004F18B9" w:rsidRPr="00B50C20" w:rsidRDefault="004F18B9" w:rsidP="004F18B9">
            <w:pPr>
              <w:spacing w:after="0" w:line="240" w:lineRule="auto"/>
              <w:jc w:val="right"/>
              <w:rPr>
                <w:rFonts w:ascii="Arial" w:eastAsia="Times New Roman" w:hAnsi="Arial" w:cs="Arial"/>
                <w:b/>
                <w:sz w:val="20"/>
                <w:szCs w:val="20"/>
              </w:rPr>
            </w:pPr>
            <w:r>
              <w:rPr>
                <w:rFonts w:ascii="Arial" w:eastAsia="Times New Roman" w:hAnsi="Arial" w:cs="Arial"/>
                <w:b/>
                <w:sz w:val="20"/>
                <w:szCs w:val="20"/>
              </w:rPr>
              <w:t>502.452.289</w:t>
            </w:r>
          </w:p>
        </w:tc>
      </w:tr>
    </w:tbl>
    <w:p w:rsidR="00EC08F3" w:rsidRPr="00A50CF7" w:rsidRDefault="00EC08F3" w:rsidP="00EC08F3">
      <w:pPr>
        <w:spacing w:after="0" w:line="240" w:lineRule="auto"/>
        <w:jc w:val="both"/>
        <w:rPr>
          <w:rFonts w:ascii="Arial" w:hAnsi="Arial" w:cs="Arial"/>
          <w:sz w:val="20"/>
          <w:szCs w:val="20"/>
        </w:rPr>
      </w:pPr>
      <w:r w:rsidRPr="00A50CF7">
        <w:rPr>
          <w:rFonts w:ascii="Arial" w:hAnsi="Arial" w:cs="Arial"/>
          <w:sz w:val="20"/>
          <w:szCs w:val="20"/>
        </w:rPr>
        <w:t>Fonte - Sistema de Programação e Execução Orçamentária e Financeira – SiofiNet</w:t>
      </w:r>
    </w:p>
    <w:p w:rsidR="00205A53" w:rsidRDefault="00205A53" w:rsidP="00205A53">
      <w:pPr>
        <w:tabs>
          <w:tab w:val="left" w:pos="709"/>
        </w:tabs>
        <w:spacing w:after="0" w:line="360" w:lineRule="auto"/>
        <w:jc w:val="both"/>
        <w:rPr>
          <w:rFonts w:ascii="Arial" w:hAnsi="Arial" w:cs="Arial"/>
          <w:b/>
          <w:sz w:val="24"/>
        </w:rPr>
      </w:pPr>
      <w:r>
        <w:rPr>
          <w:rFonts w:ascii="Arial" w:hAnsi="Arial" w:cs="Arial"/>
          <w:b/>
          <w:sz w:val="24"/>
        </w:rPr>
        <w:lastRenderedPageBreak/>
        <w:t>3.2 ESTATÍSTICAS CRIMINAIS EM GOIÁS</w:t>
      </w:r>
    </w:p>
    <w:p w:rsidR="00205A53" w:rsidRDefault="00CE07A1" w:rsidP="00CD4220">
      <w:pPr>
        <w:spacing w:after="0" w:line="360" w:lineRule="auto"/>
        <w:jc w:val="both"/>
        <w:rPr>
          <w:rFonts w:ascii="Arial" w:hAnsi="Arial" w:cs="Arial"/>
          <w:sz w:val="24"/>
          <w:szCs w:val="20"/>
        </w:rPr>
      </w:pPr>
      <w:r w:rsidRPr="00CD4220">
        <w:rPr>
          <w:rFonts w:ascii="Arial" w:hAnsi="Arial" w:cs="Arial"/>
          <w:sz w:val="24"/>
          <w:szCs w:val="20"/>
        </w:rPr>
        <w:tab/>
        <w:t xml:space="preserve">Os dados apresentados a seguir, foram, em sua maioria, extraídos dos Anuários do Fórum Brasileiro de Segurança Pública. Sua confiabilidade está no fato de ser a única fonte </w:t>
      </w:r>
      <w:r w:rsidR="00674F2E">
        <w:rPr>
          <w:rFonts w:ascii="Arial" w:hAnsi="Arial" w:cs="Arial"/>
          <w:sz w:val="24"/>
          <w:szCs w:val="20"/>
        </w:rPr>
        <w:t xml:space="preserve">disponível </w:t>
      </w:r>
      <w:r w:rsidRPr="00CD4220">
        <w:rPr>
          <w:rFonts w:ascii="Arial" w:hAnsi="Arial" w:cs="Arial"/>
          <w:sz w:val="24"/>
          <w:szCs w:val="20"/>
        </w:rPr>
        <w:t>de informações de segurança pública que correlaciona as estatísticas criminais, baseadas principalmente nos registros policiais</w:t>
      </w:r>
      <w:r w:rsidR="00CD4220" w:rsidRPr="00CD4220">
        <w:rPr>
          <w:rFonts w:ascii="Arial" w:hAnsi="Arial" w:cs="Arial"/>
          <w:sz w:val="24"/>
          <w:szCs w:val="20"/>
        </w:rPr>
        <w:t xml:space="preserve">, com aquelas do Datasus, do Ministério da Saúde, e ainda testa a qualidade dessas últimas com base no número de óbitos informados </w:t>
      </w:r>
      <w:r w:rsidR="00674F2E">
        <w:rPr>
          <w:rFonts w:ascii="Arial" w:hAnsi="Arial" w:cs="Arial"/>
          <w:sz w:val="24"/>
          <w:szCs w:val="20"/>
        </w:rPr>
        <w:t>por</w:t>
      </w:r>
      <w:r w:rsidR="00CD4220" w:rsidRPr="00CD4220">
        <w:rPr>
          <w:rFonts w:ascii="Arial" w:hAnsi="Arial" w:cs="Arial"/>
          <w:sz w:val="24"/>
          <w:szCs w:val="20"/>
        </w:rPr>
        <w:t xml:space="preserve"> cada estado </w:t>
      </w:r>
      <w:r w:rsidR="00674F2E">
        <w:rPr>
          <w:rFonts w:ascii="Arial" w:hAnsi="Arial" w:cs="Arial"/>
          <w:sz w:val="24"/>
          <w:szCs w:val="20"/>
        </w:rPr>
        <w:t>ao</w:t>
      </w:r>
      <w:r w:rsidR="00CD4220" w:rsidRPr="00CD4220">
        <w:rPr>
          <w:rFonts w:ascii="Arial" w:hAnsi="Arial" w:cs="Arial"/>
          <w:sz w:val="24"/>
          <w:szCs w:val="20"/>
        </w:rPr>
        <w:t xml:space="preserve"> Ministério</w:t>
      </w:r>
      <w:r w:rsidR="00CD4220">
        <w:rPr>
          <w:rFonts w:ascii="Arial" w:hAnsi="Arial" w:cs="Arial"/>
          <w:sz w:val="24"/>
          <w:szCs w:val="20"/>
        </w:rPr>
        <w:t>.</w:t>
      </w:r>
    </w:p>
    <w:p w:rsidR="00A52B38" w:rsidRDefault="00A52B38" w:rsidP="00CD4220">
      <w:pPr>
        <w:spacing w:after="0" w:line="360" w:lineRule="auto"/>
        <w:jc w:val="both"/>
        <w:rPr>
          <w:rFonts w:ascii="Arial" w:hAnsi="Arial" w:cs="Arial"/>
          <w:sz w:val="24"/>
          <w:szCs w:val="20"/>
        </w:rPr>
      </w:pPr>
    </w:p>
    <w:p w:rsidR="00966C27" w:rsidRDefault="00A52B38" w:rsidP="00CD4220">
      <w:pPr>
        <w:spacing w:after="0" w:line="360" w:lineRule="auto"/>
        <w:jc w:val="both"/>
        <w:rPr>
          <w:rFonts w:ascii="Arial" w:hAnsi="Arial" w:cs="Arial"/>
          <w:b/>
          <w:sz w:val="24"/>
          <w:szCs w:val="20"/>
        </w:rPr>
      </w:pPr>
      <w:r w:rsidRPr="00A52B38">
        <w:rPr>
          <w:rFonts w:ascii="Arial" w:hAnsi="Arial" w:cs="Arial"/>
          <w:b/>
          <w:sz w:val="24"/>
          <w:szCs w:val="20"/>
        </w:rPr>
        <w:t>3.2.1 CRIMES LETAIS INTENCIONAIS</w:t>
      </w:r>
    </w:p>
    <w:p w:rsidR="00911686" w:rsidRDefault="00911686" w:rsidP="00CD4220">
      <w:pPr>
        <w:spacing w:after="0" w:line="360" w:lineRule="auto"/>
        <w:jc w:val="both"/>
        <w:rPr>
          <w:rFonts w:ascii="Arial" w:hAnsi="Arial" w:cs="Arial"/>
          <w:sz w:val="24"/>
          <w:szCs w:val="20"/>
        </w:rPr>
      </w:pPr>
      <w:r w:rsidRPr="0084554B">
        <w:rPr>
          <w:rFonts w:ascii="Arial" w:hAnsi="Arial" w:cs="Arial"/>
          <w:sz w:val="24"/>
          <w:szCs w:val="20"/>
        </w:rPr>
        <w:tab/>
        <w:t xml:space="preserve">Da análise da dinâmica dos homicídios em Goiás, </w:t>
      </w:r>
      <w:r w:rsidR="005F4C75" w:rsidRPr="0084554B">
        <w:rPr>
          <w:rFonts w:ascii="Arial" w:hAnsi="Arial" w:cs="Arial"/>
          <w:sz w:val="24"/>
          <w:szCs w:val="20"/>
        </w:rPr>
        <w:t>conforme</w:t>
      </w:r>
      <w:r w:rsidR="005F4C75">
        <w:rPr>
          <w:rFonts w:ascii="Arial" w:hAnsi="Arial" w:cs="Arial"/>
          <w:sz w:val="24"/>
          <w:szCs w:val="20"/>
        </w:rPr>
        <w:t xml:space="preserve"> evidenciado pelo Gráfico 05, o número de homicídios dolosos em Goiás saltou de 1.045 em 2004 para 2.576 em 2013, o que corresponde a um crescimento de 146,51% em 10 anos.</w:t>
      </w:r>
    </w:p>
    <w:p w:rsidR="00A52B38" w:rsidRDefault="00A52B38" w:rsidP="00CD4220">
      <w:pPr>
        <w:spacing w:after="0" w:line="360" w:lineRule="auto"/>
        <w:jc w:val="both"/>
        <w:rPr>
          <w:rFonts w:ascii="Arial" w:hAnsi="Arial" w:cs="Arial"/>
          <w:sz w:val="24"/>
          <w:szCs w:val="20"/>
        </w:rPr>
      </w:pPr>
    </w:p>
    <w:p w:rsidR="005F4C75" w:rsidRDefault="005F4C75" w:rsidP="005F4C75">
      <w:pPr>
        <w:tabs>
          <w:tab w:val="left" w:pos="709"/>
        </w:tabs>
        <w:spacing w:line="240" w:lineRule="auto"/>
        <w:jc w:val="both"/>
        <w:rPr>
          <w:rFonts w:ascii="Arial" w:hAnsi="Arial" w:cs="Arial"/>
          <w:sz w:val="24"/>
          <w:szCs w:val="20"/>
        </w:rPr>
      </w:pPr>
      <w:r w:rsidRPr="00020AC9">
        <w:rPr>
          <w:rFonts w:ascii="Arial" w:hAnsi="Arial" w:cs="Arial"/>
          <w:sz w:val="24"/>
          <w:szCs w:val="20"/>
        </w:rPr>
        <w:t>Gráfico 0</w:t>
      </w:r>
      <w:r>
        <w:rPr>
          <w:rFonts w:ascii="Arial" w:hAnsi="Arial" w:cs="Arial"/>
          <w:sz w:val="24"/>
          <w:szCs w:val="20"/>
        </w:rPr>
        <w:t>5</w:t>
      </w:r>
      <w:r w:rsidRPr="00020AC9">
        <w:rPr>
          <w:rFonts w:ascii="Arial" w:hAnsi="Arial" w:cs="Arial"/>
          <w:sz w:val="24"/>
          <w:szCs w:val="20"/>
        </w:rPr>
        <w:t xml:space="preserve"> – </w:t>
      </w:r>
      <w:r>
        <w:rPr>
          <w:rFonts w:ascii="Arial" w:hAnsi="Arial" w:cs="Arial"/>
          <w:sz w:val="24"/>
          <w:szCs w:val="20"/>
        </w:rPr>
        <w:t>Número de homicídios dolosos em Goiás 2004-2013</w:t>
      </w:r>
    </w:p>
    <w:p w:rsidR="005F4C75" w:rsidRDefault="005F4C75" w:rsidP="006E50A6">
      <w:pPr>
        <w:spacing w:after="0" w:line="360" w:lineRule="auto"/>
        <w:jc w:val="both"/>
        <w:rPr>
          <w:rFonts w:ascii="Arial" w:hAnsi="Arial" w:cs="Arial"/>
          <w:sz w:val="24"/>
          <w:szCs w:val="20"/>
        </w:rPr>
      </w:pPr>
      <w:r w:rsidRPr="005F4C75">
        <w:rPr>
          <w:rFonts w:ascii="Arial" w:hAnsi="Arial" w:cs="Arial"/>
          <w:noProof/>
          <w:sz w:val="24"/>
          <w:szCs w:val="20"/>
        </w:rPr>
        <w:drawing>
          <wp:inline distT="0" distB="0" distL="0" distR="0">
            <wp:extent cx="5606046" cy="2711302"/>
            <wp:effectExtent l="19050" t="0" r="13704"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4C75" w:rsidRDefault="005F4C75" w:rsidP="005F4C75">
      <w:pPr>
        <w:spacing w:after="0" w:line="240" w:lineRule="auto"/>
        <w:jc w:val="both"/>
        <w:rPr>
          <w:rFonts w:ascii="Arial" w:hAnsi="Arial" w:cs="Arial"/>
          <w:sz w:val="20"/>
          <w:szCs w:val="20"/>
        </w:rPr>
      </w:pPr>
      <w:r w:rsidRPr="00A50CF7">
        <w:rPr>
          <w:rFonts w:ascii="Arial" w:hAnsi="Arial" w:cs="Arial"/>
          <w:sz w:val="20"/>
          <w:szCs w:val="20"/>
        </w:rPr>
        <w:t xml:space="preserve">Fonte </w:t>
      </w:r>
      <w:r w:rsidR="00DD4FE6">
        <w:rPr>
          <w:rFonts w:ascii="Arial" w:hAnsi="Arial" w:cs="Arial"/>
          <w:sz w:val="20"/>
          <w:szCs w:val="20"/>
        </w:rPr>
        <w:t>–Anuários do Fórum Brasileiro de Segurança Pública</w:t>
      </w:r>
      <w:r w:rsidR="00AA07D5">
        <w:rPr>
          <w:rFonts w:ascii="Arial" w:hAnsi="Arial" w:cs="Arial"/>
          <w:sz w:val="20"/>
          <w:szCs w:val="20"/>
        </w:rPr>
        <w:t>; Secretaria de Segurança Pública</w:t>
      </w:r>
    </w:p>
    <w:p w:rsidR="00A3642B" w:rsidRDefault="00A3642B" w:rsidP="005F4C75">
      <w:pPr>
        <w:spacing w:after="0" w:line="240" w:lineRule="auto"/>
        <w:jc w:val="both"/>
        <w:rPr>
          <w:rFonts w:ascii="Arial" w:hAnsi="Arial" w:cs="Arial"/>
          <w:sz w:val="24"/>
          <w:szCs w:val="20"/>
        </w:rPr>
      </w:pPr>
    </w:p>
    <w:p w:rsidR="00F1170B" w:rsidRDefault="001640EE" w:rsidP="001640EE">
      <w:pPr>
        <w:spacing w:after="0" w:line="360" w:lineRule="auto"/>
        <w:jc w:val="both"/>
        <w:rPr>
          <w:rFonts w:ascii="Arial" w:hAnsi="Arial" w:cs="Arial"/>
          <w:sz w:val="24"/>
          <w:szCs w:val="20"/>
        </w:rPr>
      </w:pPr>
      <w:r>
        <w:rPr>
          <w:rFonts w:ascii="Arial" w:hAnsi="Arial" w:cs="Arial"/>
          <w:sz w:val="24"/>
          <w:szCs w:val="20"/>
        </w:rPr>
        <w:tab/>
        <w:t xml:space="preserve">Com relação à taxa de homicídios dolosos no Estado (Gráfico 06), embora tenha oscilado entre 16 e 25 homicídios por 100 mil habitantes no período de 2004 a 2011, </w:t>
      </w:r>
      <w:r w:rsidR="00426EB7">
        <w:rPr>
          <w:rFonts w:ascii="Arial" w:hAnsi="Arial" w:cs="Arial"/>
          <w:sz w:val="24"/>
          <w:szCs w:val="20"/>
        </w:rPr>
        <w:t xml:space="preserve">com destaque para uma expressiva queda em 2010 e 2011, </w:t>
      </w:r>
      <w:r>
        <w:rPr>
          <w:rFonts w:ascii="Arial" w:hAnsi="Arial" w:cs="Arial"/>
          <w:sz w:val="24"/>
          <w:szCs w:val="20"/>
        </w:rPr>
        <w:t>apresentou forte ascensão nos dois últimos períodos avaliados (2012-2013)</w:t>
      </w:r>
      <w:r w:rsidR="00973D4D">
        <w:rPr>
          <w:rFonts w:ascii="Arial" w:hAnsi="Arial" w:cs="Arial"/>
          <w:sz w:val="24"/>
          <w:szCs w:val="20"/>
        </w:rPr>
        <w:t>, atingindo 39,42 e 41,85 respectivamente</w:t>
      </w:r>
      <w:r>
        <w:rPr>
          <w:rFonts w:ascii="Arial" w:hAnsi="Arial" w:cs="Arial"/>
          <w:sz w:val="24"/>
          <w:szCs w:val="20"/>
        </w:rPr>
        <w:t>.</w:t>
      </w:r>
    </w:p>
    <w:p w:rsidR="00F3119A" w:rsidRDefault="00F3119A" w:rsidP="001640EE">
      <w:pPr>
        <w:spacing w:after="0" w:line="360" w:lineRule="auto"/>
        <w:jc w:val="both"/>
        <w:rPr>
          <w:rFonts w:ascii="Arial" w:hAnsi="Arial" w:cs="Arial"/>
          <w:sz w:val="24"/>
          <w:szCs w:val="20"/>
        </w:rPr>
      </w:pPr>
    </w:p>
    <w:p w:rsidR="002E4F1D" w:rsidRPr="00F1170B" w:rsidRDefault="002E4F1D" w:rsidP="001640EE">
      <w:pPr>
        <w:spacing w:after="0" w:line="360" w:lineRule="auto"/>
        <w:jc w:val="both"/>
        <w:rPr>
          <w:rFonts w:ascii="Arial" w:hAnsi="Arial" w:cs="Arial"/>
          <w:sz w:val="24"/>
          <w:szCs w:val="20"/>
        </w:rPr>
      </w:pPr>
    </w:p>
    <w:p w:rsidR="00F1170B" w:rsidRDefault="00F1170B" w:rsidP="00F1170B">
      <w:pPr>
        <w:tabs>
          <w:tab w:val="left" w:pos="709"/>
        </w:tabs>
        <w:spacing w:line="240" w:lineRule="auto"/>
        <w:jc w:val="both"/>
        <w:rPr>
          <w:rFonts w:ascii="Arial" w:hAnsi="Arial" w:cs="Arial"/>
          <w:sz w:val="24"/>
          <w:szCs w:val="20"/>
        </w:rPr>
      </w:pPr>
      <w:r w:rsidRPr="00020AC9">
        <w:rPr>
          <w:rFonts w:ascii="Arial" w:hAnsi="Arial" w:cs="Arial"/>
          <w:sz w:val="24"/>
          <w:szCs w:val="20"/>
        </w:rPr>
        <w:lastRenderedPageBreak/>
        <w:t>Gráfico 0</w:t>
      </w:r>
      <w:r w:rsidR="001640EE">
        <w:rPr>
          <w:rFonts w:ascii="Arial" w:hAnsi="Arial" w:cs="Arial"/>
          <w:sz w:val="24"/>
          <w:szCs w:val="20"/>
        </w:rPr>
        <w:t>6</w:t>
      </w:r>
      <w:r w:rsidRPr="00020AC9">
        <w:rPr>
          <w:rFonts w:ascii="Arial" w:hAnsi="Arial" w:cs="Arial"/>
          <w:sz w:val="24"/>
          <w:szCs w:val="20"/>
        </w:rPr>
        <w:t xml:space="preserve"> – </w:t>
      </w:r>
      <w:r>
        <w:rPr>
          <w:rFonts w:ascii="Arial" w:hAnsi="Arial" w:cs="Arial"/>
          <w:sz w:val="24"/>
          <w:szCs w:val="20"/>
        </w:rPr>
        <w:t>Taxa de homicídios dolosos em Goiás 2004-2013</w:t>
      </w:r>
    </w:p>
    <w:p w:rsidR="00F1170B" w:rsidRDefault="00F1170B" w:rsidP="00F1170B">
      <w:pPr>
        <w:spacing w:after="0"/>
        <w:rPr>
          <w:rFonts w:ascii="Arial" w:hAnsi="Arial" w:cs="Arial"/>
          <w:sz w:val="24"/>
          <w:szCs w:val="20"/>
        </w:rPr>
      </w:pPr>
      <w:r w:rsidRPr="00F1170B">
        <w:rPr>
          <w:rFonts w:ascii="Arial" w:hAnsi="Arial" w:cs="Arial"/>
          <w:noProof/>
          <w:sz w:val="24"/>
          <w:szCs w:val="20"/>
        </w:rPr>
        <w:drawing>
          <wp:inline distT="0" distB="0" distL="0" distR="0">
            <wp:extent cx="5599696" cy="2860158"/>
            <wp:effectExtent l="19050" t="0" r="20054" b="0"/>
            <wp:docPr id="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024CBA" w:rsidRPr="00024CBA" w:rsidRDefault="00024CBA" w:rsidP="00F1170B">
      <w:pPr>
        <w:spacing w:after="0" w:line="240" w:lineRule="auto"/>
        <w:jc w:val="both"/>
        <w:rPr>
          <w:rFonts w:ascii="Arial" w:hAnsi="Arial" w:cs="Arial"/>
          <w:sz w:val="24"/>
          <w:szCs w:val="20"/>
        </w:rPr>
      </w:pPr>
    </w:p>
    <w:p w:rsidR="004E4EDE" w:rsidRDefault="00B959BD" w:rsidP="00024CBA">
      <w:pPr>
        <w:spacing w:after="0" w:line="360" w:lineRule="auto"/>
        <w:jc w:val="both"/>
        <w:rPr>
          <w:rFonts w:ascii="Arial" w:hAnsi="Arial" w:cs="Arial"/>
          <w:sz w:val="24"/>
          <w:szCs w:val="20"/>
        </w:rPr>
      </w:pPr>
      <w:r>
        <w:rPr>
          <w:rFonts w:ascii="Arial" w:hAnsi="Arial" w:cs="Arial"/>
          <w:sz w:val="24"/>
          <w:szCs w:val="20"/>
        </w:rPr>
        <w:tab/>
      </w:r>
      <w:r w:rsidR="004E4EDE">
        <w:rPr>
          <w:rFonts w:ascii="Arial" w:hAnsi="Arial" w:cs="Arial"/>
          <w:sz w:val="24"/>
          <w:szCs w:val="20"/>
        </w:rPr>
        <w:t>O crime de latrocínio (Gráfico 0</w:t>
      </w:r>
      <w:r w:rsidR="001648D5">
        <w:rPr>
          <w:rFonts w:ascii="Arial" w:hAnsi="Arial" w:cs="Arial"/>
          <w:sz w:val="24"/>
          <w:szCs w:val="20"/>
        </w:rPr>
        <w:t>7</w:t>
      </w:r>
      <w:r w:rsidR="004E4EDE">
        <w:rPr>
          <w:rFonts w:ascii="Arial" w:hAnsi="Arial" w:cs="Arial"/>
          <w:sz w:val="24"/>
          <w:szCs w:val="20"/>
        </w:rPr>
        <w:t>) apresentou sequências alternadas de ascensão e queda durante o período avaliado. De 2004 a 2006 demonstrou um crescimento</w:t>
      </w:r>
      <w:r w:rsidR="00D46317">
        <w:rPr>
          <w:rFonts w:ascii="Arial" w:hAnsi="Arial" w:cs="Arial"/>
          <w:sz w:val="24"/>
          <w:szCs w:val="20"/>
        </w:rPr>
        <w:t xml:space="preserve">, variando de 55 a 72 ocorrências. A partir do ano de 2007 observou-se um declínio </w:t>
      </w:r>
      <w:r w:rsidR="005F0F54">
        <w:rPr>
          <w:rFonts w:ascii="Arial" w:hAnsi="Arial" w:cs="Arial"/>
          <w:sz w:val="24"/>
          <w:szCs w:val="20"/>
        </w:rPr>
        <w:t>que perdura até 2010, atingindo o menor índice da série histórica, com 29 ocorrências. A partir de 2011, o crime de latrocínio apresenta forte crescimento no Estado, chegando a 97 em 2013.</w:t>
      </w:r>
    </w:p>
    <w:p w:rsidR="00024CBA" w:rsidRDefault="00024CBA" w:rsidP="00024CBA">
      <w:pPr>
        <w:spacing w:after="0" w:line="360" w:lineRule="auto"/>
        <w:jc w:val="both"/>
        <w:rPr>
          <w:rFonts w:ascii="Arial" w:hAnsi="Arial" w:cs="Arial"/>
          <w:sz w:val="24"/>
          <w:szCs w:val="20"/>
        </w:rPr>
      </w:pPr>
    </w:p>
    <w:p w:rsidR="004E4EDE" w:rsidRDefault="004E4EDE" w:rsidP="005F0F54">
      <w:pPr>
        <w:tabs>
          <w:tab w:val="left" w:pos="709"/>
        </w:tabs>
        <w:spacing w:after="0" w:line="360" w:lineRule="auto"/>
        <w:jc w:val="both"/>
        <w:rPr>
          <w:rFonts w:ascii="Arial" w:hAnsi="Arial" w:cs="Arial"/>
          <w:sz w:val="24"/>
          <w:szCs w:val="20"/>
        </w:rPr>
      </w:pPr>
      <w:r w:rsidRPr="00020AC9">
        <w:rPr>
          <w:rFonts w:ascii="Arial" w:hAnsi="Arial" w:cs="Arial"/>
          <w:sz w:val="24"/>
          <w:szCs w:val="20"/>
        </w:rPr>
        <w:t xml:space="preserve">Gráfico </w:t>
      </w:r>
      <w:r w:rsidR="00C417F3">
        <w:rPr>
          <w:rFonts w:ascii="Arial" w:hAnsi="Arial" w:cs="Arial"/>
          <w:sz w:val="24"/>
          <w:szCs w:val="20"/>
        </w:rPr>
        <w:t>0</w:t>
      </w:r>
      <w:r w:rsidR="001648D5">
        <w:rPr>
          <w:rFonts w:ascii="Arial" w:hAnsi="Arial" w:cs="Arial"/>
          <w:sz w:val="24"/>
          <w:szCs w:val="20"/>
        </w:rPr>
        <w:t>7</w:t>
      </w:r>
      <w:r w:rsidRPr="00020AC9">
        <w:rPr>
          <w:rFonts w:ascii="Arial" w:hAnsi="Arial" w:cs="Arial"/>
          <w:sz w:val="24"/>
          <w:szCs w:val="20"/>
        </w:rPr>
        <w:t xml:space="preserve"> – </w:t>
      </w:r>
      <w:r>
        <w:rPr>
          <w:rFonts w:ascii="Arial" w:hAnsi="Arial" w:cs="Arial"/>
          <w:sz w:val="24"/>
          <w:szCs w:val="20"/>
        </w:rPr>
        <w:t>Número de Latrocínios em Goiás 2004-2013</w:t>
      </w:r>
    </w:p>
    <w:p w:rsidR="004E4EDE" w:rsidRDefault="004E4EDE" w:rsidP="004E4EDE">
      <w:pPr>
        <w:spacing w:line="240" w:lineRule="auto"/>
        <w:jc w:val="both"/>
        <w:rPr>
          <w:rFonts w:ascii="Arial" w:hAnsi="Arial" w:cs="Arial"/>
          <w:sz w:val="24"/>
          <w:szCs w:val="20"/>
        </w:rPr>
      </w:pPr>
      <w:r w:rsidRPr="004E4EDE">
        <w:rPr>
          <w:rFonts w:ascii="Arial" w:hAnsi="Arial" w:cs="Arial"/>
          <w:noProof/>
          <w:sz w:val="24"/>
          <w:szCs w:val="20"/>
        </w:rPr>
        <w:drawing>
          <wp:inline distT="0" distB="0" distL="0" distR="0">
            <wp:extent cx="5602871" cy="2923953"/>
            <wp:effectExtent l="19050" t="0" r="16879" b="0"/>
            <wp:docPr id="22"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6E35A4" w:rsidRDefault="006E35A4" w:rsidP="006E35A4">
      <w:pPr>
        <w:spacing w:after="0" w:line="360" w:lineRule="auto"/>
        <w:ind w:firstLine="708"/>
        <w:jc w:val="both"/>
        <w:rPr>
          <w:rFonts w:ascii="Arial" w:hAnsi="Arial" w:cs="Arial"/>
          <w:sz w:val="24"/>
          <w:szCs w:val="24"/>
        </w:rPr>
      </w:pPr>
      <w:r>
        <w:rPr>
          <w:rFonts w:ascii="Arial" w:hAnsi="Arial" w:cs="Arial"/>
          <w:sz w:val="24"/>
          <w:szCs w:val="24"/>
        </w:rPr>
        <w:lastRenderedPageBreak/>
        <w:t xml:space="preserve">O Gráfico </w:t>
      </w:r>
      <w:r w:rsidR="001648D5">
        <w:rPr>
          <w:rFonts w:ascii="Arial" w:hAnsi="Arial" w:cs="Arial"/>
          <w:sz w:val="24"/>
          <w:szCs w:val="24"/>
        </w:rPr>
        <w:t>08</w:t>
      </w:r>
      <w:r>
        <w:rPr>
          <w:rFonts w:ascii="Arial" w:hAnsi="Arial" w:cs="Arial"/>
          <w:sz w:val="24"/>
          <w:szCs w:val="24"/>
        </w:rPr>
        <w:t xml:space="preserve"> demonstra que a taxa de latrocínio por 100 mil habitantes acompanhou a curva do número absoluto deste mesmo indicador, indicando aumento real da incidência de</w:t>
      </w:r>
      <w:r w:rsidR="00623F13">
        <w:rPr>
          <w:rFonts w:ascii="Arial" w:hAnsi="Arial" w:cs="Arial"/>
          <w:sz w:val="24"/>
          <w:szCs w:val="24"/>
        </w:rPr>
        <w:t xml:space="preserve"> latrocínios</w:t>
      </w:r>
      <w:r>
        <w:rPr>
          <w:rFonts w:ascii="Arial" w:hAnsi="Arial" w:cs="Arial"/>
          <w:sz w:val="24"/>
          <w:szCs w:val="24"/>
        </w:rPr>
        <w:t xml:space="preserve"> em Goiás, com forte crescimento a partir do ano de 2010.</w:t>
      </w:r>
    </w:p>
    <w:p w:rsidR="00024CBA" w:rsidRDefault="00024CBA" w:rsidP="00024CBA">
      <w:pPr>
        <w:spacing w:after="0" w:line="360" w:lineRule="auto"/>
        <w:jc w:val="both"/>
        <w:rPr>
          <w:rFonts w:ascii="Arial" w:hAnsi="Arial" w:cs="Arial"/>
          <w:sz w:val="24"/>
          <w:szCs w:val="24"/>
        </w:rPr>
      </w:pPr>
    </w:p>
    <w:p w:rsidR="006E35A4" w:rsidRDefault="006E35A4" w:rsidP="006E35A4">
      <w:pPr>
        <w:tabs>
          <w:tab w:val="left" w:pos="709"/>
        </w:tabs>
        <w:spacing w:after="0" w:line="360" w:lineRule="auto"/>
        <w:jc w:val="both"/>
        <w:rPr>
          <w:rFonts w:ascii="Arial" w:hAnsi="Arial" w:cs="Arial"/>
          <w:sz w:val="24"/>
          <w:szCs w:val="20"/>
        </w:rPr>
      </w:pPr>
      <w:r w:rsidRPr="00020AC9">
        <w:rPr>
          <w:rFonts w:ascii="Arial" w:hAnsi="Arial" w:cs="Arial"/>
          <w:sz w:val="24"/>
          <w:szCs w:val="20"/>
        </w:rPr>
        <w:t xml:space="preserve">Gráfico </w:t>
      </w:r>
      <w:r w:rsidR="001648D5">
        <w:rPr>
          <w:rFonts w:ascii="Arial" w:hAnsi="Arial" w:cs="Arial"/>
          <w:sz w:val="24"/>
          <w:szCs w:val="20"/>
        </w:rPr>
        <w:t>08</w:t>
      </w:r>
      <w:r w:rsidRPr="00020AC9">
        <w:rPr>
          <w:rFonts w:ascii="Arial" w:hAnsi="Arial" w:cs="Arial"/>
          <w:sz w:val="24"/>
          <w:szCs w:val="20"/>
        </w:rPr>
        <w:t xml:space="preserve"> – </w:t>
      </w:r>
      <w:r>
        <w:rPr>
          <w:rFonts w:ascii="Arial" w:hAnsi="Arial" w:cs="Arial"/>
          <w:sz w:val="24"/>
          <w:szCs w:val="20"/>
        </w:rPr>
        <w:t>Taxa de Latrocínios em Goiás 2004-2013</w:t>
      </w:r>
    </w:p>
    <w:p w:rsidR="006E35A4" w:rsidRDefault="00E453EE" w:rsidP="006E35A4">
      <w:pPr>
        <w:spacing w:after="0"/>
        <w:rPr>
          <w:rFonts w:ascii="Arial" w:hAnsi="Arial" w:cs="Arial"/>
          <w:sz w:val="24"/>
          <w:szCs w:val="20"/>
        </w:rPr>
      </w:pPr>
      <w:r w:rsidRPr="00E453EE">
        <w:rPr>
          <w:rFonts w:ascii="Arial" w:hAnsi="Arial" w:cs="Arial"/>
          <w:noProof/>
          <w:sz w:val="24"/>
          <w:szCs w:val="20"/>
        </w:rPr>
        <w:drawing>
          <wp:inline distT="0" distB="0" distL="0" distR="0">
            <wp:extent cx="5606046" cy="2753833"/>
            <wp:effectExtent l="19050" t="0" r="13704" b="8417"/>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E453EE" w:rsidRDefault="00E453EE" w:rsidP="0068063E">
      <w:pPr>
        <w:tabs>
          <w:tab w:val="left" w:pos="1038"/>
        </w:tabs>
        <w:spacing w:after="0"/>
        <w:rPr>
          <w:rFonts w:ascii="Arial" w:hAnsi="Arial" w:cs="Arial"/>
          <w:sz w:val="24"/>
          <w:szCs w:val="20"/>
        </w:rPr>
      </w:pPr>
    </w:p>
    <w:p w:rsidR="00056743" w:rsidRDefault="0084554B" w:rsidP="0068063E">
      <w:pPr>
        <w:tabs>
          <w:tab w:val="left" w:pos="1038"/>
        </w:tabs>
        <w:rPr>
          <w:rFonts w:ascii="Arial" w:hAnsi="Arial" w:cs="Arial"/>
          <w:b/>
          <w:sz w:val="24"/>
          <w:szCs w:val="24"/>
        </w:rPr>
      </w:pPr>
      <w:r>
        <w:rPr>
          <w:rFonts w:ascii="Arial" w:hAnsi="Arial" w:cs="Arial"/>
          <w:b/>
          <w:sz w:val="24"/>
          <w:szCs w:val="24"/>
        </w:rPr>
        <w:t xml:space="preserve">3.2.2 </w:t>
      </w:r>
      <w:r w:rsidRPr="0084554B">
        <w:rPr>
          <w:rFonts w:ascii="Arial" w:hAnsi="Arial" w:cs="Arial"/>
          <w:b/>
          <w:sz w:val="24"/>
          <w:szCs w:val="24"/>
        </w:rPr>
        <w:t xml:space="preserve">CRIMES VIOLENTOS NÃO LETAIS CONTRA </w:t>
      </w:r>
      <w:r w:rsidR="001F6481">
        <w:rPr>
          <w:rFonts w:ascii="Arial" w:hAnsi="Arial" w:cs="Arial"/>
          <w:b/>
          <w:sz w:val="24"/>
          <w:szCs w:val="24"/>
        </w:rPr>
        <w:t xml:space="preserve">VIDA E </w:t>
      </w:r>
      <w:r w:rsidRPr="0084554B">
        <w:rPr>
          <w:rFonts w:ascii="Arial" w:hAnsi="Arial" w:cs="Arial"/>
          <w:b/>
          <w:sz w:val="24"/>
          <w:szCs w:val="24"/>
        </w:rPr>
        <w:t>O PATRIMÔNIO</w:t>
      </w:r>
    </w:p>
    <w:p w:rsidR="001F6481" w:rsidRDefault="00F129FF" w:rsidP="008727D6">
      <w:pPr>
        <w:tabs>
          <w:tab w:val="left" w:pos="709"/>
        </w:tabs>
        <w:spacing w:after="0" w:line="360" w:lineRule="auto"/>
        <w:jc w:val="both"/>
        <w:rPr>
          <w:rFonts w:ascii="Arial" w:hAnsi="Arial" w:cs="Arial"/>
          <w:sz w:val="24"/>
          <w:szCs w:val="20"/>
        </w:rPr>
      </w:pPr>
      <w:r>
        <w:rPr>
          <w:rFonts w:ascii="Arial" w:hAnsi="Arial" w:cs="Arial"/>
          <w:sz w:val="24"/>
          <w:szCs w:val="20"/>
        </w:rPr>
        <w:tab/>
        <w:t xml:space="preserve">Apresentando a mesma característica dos crimes letais analisados, os crimes não letais também demonstram forte ascensão, principalmente a partir do ano de 2010. </w:t>
      </w:r>
    </w:p>
    <w:p w:rsidR="001F6481" w:rsidRDefault="001F6481" w:rsidP="001F6481">
      <w:pPr>
        <w:spacing w:line="360" w:lineRule="auto"/>
        <w:ind w:firstLine="708"/>
        <w:jc w:val="both"/>
        <w:rPr>
          <w:rFonts w:ascii="Arial" w:hAnsi="Arial" w:cs="Arial"/>
          <w:sz w:val="24"/>
          <w:szCs w:val="20"/>
        </w:rPr>
      </w:pPr>
      <w:r>
        <w:rPr>
          <w:rFonts w:ascii="Arial" w:hAnsi="Arial" w:cs="Arial"/>
          <w:sz w:val="24"/>
          <w:szCs w:val="20"/>
        </w:rPr>
        <w:t>A incidência de tentativas de homicídio em Goiás, observada no Gráfico 0</w:t>
      </w:r>
      <w:r w:rsidR="001648D5">
        <w:rPr>
          <w:rFonts w:ascii="Arial" w:hAnsi="Arial" w:cs="Arial"/>
          <w:sz w:val="24"/>
          <w:szCs w:val="20"/>
        </w:rPr>
        <w:t>9</w:t>
      </w:r>
      <w:r>
        <w:rPr>
          <w:rFonts w:ascii="Arial" w:hAnsi="Arial" w:cs="Arial"/>
          <w:sz w:val="24"/>
          <w:szCs w:val="20"/>
        </w:rPr>
        <w:t>, também demonstrou forte crescimento no período de 2004 a 2013, com curva semelhante aos homicídios dolosos.</w:t>
      </w:r>
    </w:p>
    <w:p w:rsidR="00024CBA" w:rsidRDefault="00024CBA" w:rsidP="001F6481">
      <w:pPr>
        <w:spacing w:line="360" w:lineRule="auto"/>
        <w:ind w:firstLine="708"/>
        <w:jc w:val="both"/>
        <w:rPr>
          <w:rFonts w:ascii="Arial" w:hAnsi="Arial" w:cs="Arial"/>
          <w:sz w:val="24"/>
          <w:szCs w:val="20"/>
        </w:rPr>
      </w:pPr>
    </w:p>
    <w:p w:rsidR="00024CBA" w:rsidRDefault="00024CBA" w:rsidP="001F6481">
      <w:pPr>
        <w:spacing w:line="360" w:lineRule="auto"/>
        <w:ind w:firstLine="708"/>
        <w:jc w:val="both"/>
        <w:rPr>
          <w:rFonts w:ascii="Arial" w:hAnsi="Arial" w:cs="Arial"/>
          <w:sz w:val="24"/>
          <w:szCs w:val="20"/>
        </w:rPr>
      </w:pPr>
    </w:p>
    <w:p w:rsidR="00024CBA" w:rsidRDefault="00024CBA" w:rsidP="001F6481">
      <w:pPr>
        <w:spacing w:line="360" w:lineRule="auto"/>
        <w:ind w:firstLine="708"/>
        <w:jc w:val="both"/>
        <w:rPr>
          <w:rFonts w:ascii="Arial" w:hAnsi="Arial" w:cs="Arial"/>
          <w:sz w:val="24"/>
          <w:szCs w:val="20"/>
        </w:rPr>
      </w:pPr>
    </w:p>
    <w:p w:rsidR="00024CBA" w:rsidRDefault="00024CBA" w:rsidP="001F6481">
      <w:pPr>
        <w:spacing w:line="360" w:lineRule="auto"/>
        <w:ind w:firstLine="708"/>
        <w:jc w:val="both"/>
        <w:rPr>
          <w:rFonts w:ascii="Arial" w:hAnsi="Arial" w:cs="Arial"/>
          <w:sz w:val="24"/>
          <w:szCs w:val="20"/>
        </w:rPr>
      </w:pPr>
    </w:p>
    <w:p w:rsidR="00024CBA" w:rsidRDefault="00024CBA" w:rsidP="001F6481">
      <w:pPr>
        <w:spacing w:line="360" w:lineRule="auto"/>
        <w:ind w:firstLine="708"/>
        <w:jc w:val="both"/>
        <w:rPr>
          <w:rFonts w:ascii="Arial" w:hAnsi="Arial" w:cs="Arial"/>
          <w:sz w:val="24"/>
          <w:szCs w:val="20"/>
        </w:rPr>
      </w:pPr>
    </w:p>
    <w:p w:rsidR="00024CBA" w:rsidRDefault="00024CBA" w:rsidP="001F6481">
      <w:pPr>
        <w:spacing w:line="360" w:lineRule="auto"/>
        <w:ind w:firstLine="708"/>
        <w:jc w:val="both"/>
        <w:rPr>
          <w:rFonts w:ascii="Arial" w:hAnsi="Arial" w:cs="Arial"/>
          <w:sz w:val="24"/>
          <w:szCs w:val="20"/>
        </w:rPr>
      </w:pPr>
    </w:p>
    <w:p w:rsidR="001F6481" w:rsidRDefault="001F6481" w:rsidP="001F6481">
      <w:pPr>
        <w:tabs>
          <w:tab w:val="left" w:pos="709"/>
        </w:tabs>
        <w:spacing w:line="240" w:lineRule="auto"/>
        <w:jc w:val="both"/>
        <w:rPr>
          <w:rFonts w:ascii="Arial" w:hAnsi="Arial" w:cs="Arial"/>
          <w:sz w:val="24"/>
          <w:szCs w:val="20"/>
        </w:rPr>
      </w:pPr>
      <w:r w:rsidRPr="00020AC9">
        <w:rPr>
          <w:rFonts w:ascii="Arial" w:hAnsi="Arial" w:cs="Arial"/>
          <w:sz w:val="24"/>
          <w:szCs w:val="20"/>
        </w:rPr>
        <w:lastRenderedPageBreak/>
        <w:t>Gráfico 0</w:t>
      </w:r>
      <w:r w:rsidR="001648D5">
        <w:rPr>
          <w:rFonts w:ascii="Arial" w:hAnsi="Arial" w:cs="Arial"/>
          <w:sz w:val="24"/>
          <w:szCs w:val="20"/>
        </w:rPr>
        <w:t>9</w:t>
      </w:r>
      <w:r w:rsidRPr="00020AC9">
        <w:rPr>
          <w:rFonts w:ascii="Arial" w:hAnsi="Arial" w:cs="Arial"/>
          <w:sz w:val="24"/>
          <w:szCs w:val="20"/>
        </w:rPr>
        <w:t xml:space="preserve"> – </w:t>
      </w:r>
      <w:r>
        <w:rPr>
          <w:rFonts w:ascii="Arial" w:hAnsi="Arial" w:cs="Arial"/>
          <w:sz w:val="24"/>
          <w:szCs w:val="20"/>
        </w:rPr>
        <w:t>Número de tentativas de homicídio em Goiás 2004-2013</w:t>
      </w:r>
    </w:p>
    <w:p w:rsidR="001F6481" w:rsidRDefault="001F6481" w:rsidP="001F6481">
      <w:pPr>
        <w:spacing w:after="0" w:line="360" w:lineRule="auto"/>
        <w:rPr>
          <w:rFonts w:ascii="Arial" w:hAnsi="Arial" w:cs="Arial"/>
          <w:sz w:val="24"/>
          <w:szCs w:val="20"/>
        </w:rPr>
      </w:pPr>
      <w:r w:rsidRPr="00B959BD">
        <w:rPr>
          <w:rFonts w:ascii="Arial" w:hAnsi="Arial" w:cs="Arial"/>
          <w:noProof/>
          <w:sz w:val="24"/>
          <w:szCs w:val="20"/>
        </w:rPr>
        <w:drawing>
          <wp:inline distT="0" distB="0" distL="0" distR="0">
            <wp:extent cx="5606046" cy="2551814"/>
            <wp:effectExtent l="19050" t="0" r="13704" b="886"/>
            <wp:docPr id="11"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1F6481" w:rsidRPr="008413BF" w:rsidRDefault="001F6481" w:rsidP="001F6481">
      <w:pPr>
        <w:spacing w:after="0" w:line="360" w:lineRule="auto"/>
        <w:jc w:val="both"/>
        <w:rPr>
          <w:rFonts w:ascii="Arial" w:hAnsi="Arial" w:cs="Arial"/>
          <w:sz w:val="24"/>
          <w:szCs w:val="20"/>
        </w:rPr>
      </w:pPr>
    </w:p>
    <w:p w:rsidR="001F6481" w:rsidRDefault="001648D5" w:rsidP="001F6481">
      <w:pPr>
        <w:spacing w:after="0" w:line="360" w:lineRule="auto"/>
        <w:jc w:val="both"/>
        <w:rPr>
          <w:rFonts w:ascii="Arial" w:hAnsi="Arial" w:cs="Arial"/>
          <w:sz w:val="24"/>
          <w:szCs w:val="24"/>
        </w:rPr>
      </w:pPr>
      <w:r>
        <w:rPr>
          <w:rFonts w:ascii="Arial" w:hAnsi="Arial" w:cs="Arial"/>
          <w:sz w:val="24"/>
          <w:szCs w:val="24"/>
        </w:rPr>
        <w:tab/>
        <w:t>O Gráfico 10</w:t>
      </w:r>
      <w:r w:rsidR="001F6481">
        <w:rPr>
          <w:rFonts w:ascii="Arial" w:hAnsi="Arial" w:cs="Arial"/>
          <w:sz w:val="24"/>
          <w:szCs w:val="24"/>
        </w:rPr>
        <w:t xml:space="preserve"> demonstra que a taxa de tentativas de homicídio por 100 mil habitantes acompanhou a curva do número absoluto deste mesmo indicador, indicando, assim, que houve um aumento real da incidência deste crime em Goiás, com forte crescimento nos anos de 2012 e 2013.</w:t>
      </w:r>
    </w:p>
    <w:p w:rsidR="001F6481" w:rsidRPr="008413BF" w:rsidRDefault="001F6481" w:rsidP="001F6481">
      <w:pPr>
        <w:spacing w:after="0" w:line="360" w:lineRule="auto"/>
        <w:jc w:val="both"/>
        <w:rPr>
          <w:rFonts w:ascii="Arial" w:hAnsi="Arial" w:cs="Arial"/>
          <w:sz w:val="24"/>
          <w:szCs w:val="24"/>
        </w:rPr>
      </w:pPr>
    </w:p>
    <w:p w:rsidR="001F6481" w:rsidRDefault="001F6481" w:rsidP="001F6481">
      <w:pPr>
        <w:tabs>
          <w:tab w:val="left" w:pos="709"/>
        </w:tabs>
        <w:spacing w:line="240" w:lineRule="auto"/>
        <w:jc w:val="both"/>
        <w:rPr>
          <w:rFonts w:ascii="Arial" w:hAnsi="Arial" w:cs="Arial"/>
          <w:sz w:val="24"/>
          <w:szCs w:val="20"/>
        </w:rPr>
      </w:pPr>
      <w:r w:rsidRPr="00020AC9">
        <w:rPr>
          <w:rFonts w:ascii="Arial" w:hAnsi="Arial" w:cs="Arial"/>
          <w:sz w:val="24"/>
          <w:szCs w:val="20"/>
        </w:rPr>
        <w:t xml:space="preserve">Gráfico </w:t>
      </w:r>
      <w:r w:rsidR="001648D5">
        <w:rPr>
          <w:rFonts w:ascii="Arial" w:hAnsi="Arial" w:cs="Arial"/>
          <w:sz w:val="24"/>
          <w:szCs w:val="20"/>
        </w:rPr>
        <w:t>10</w:t>
      </w:r>
      <w:r w:rsidRPr="00020AC9">
        <w:rPr>
          <w:rFonts w:ascii="Arial" w:hAnsi="Arial" w:cs="Arial"/>
          <w:sz w:val="24"/>
          <w:szCs w:val="20"/>
        </w:rPr>
        <w:t xml:space="preserve"> – </w:t>
      </w:r>
      <w:r>
        <w:rPr>
          <w:rFonts w:ascii="Arial" w:hAnsi="Arial" w:cs="Arial"/>
          <w:sz w:val="24"/>
          <w:szCs w:val="20"/>
        </w:rPr>
        <w:t>Taxa de tentativas de homicídio em Goiás 2004-2013</w:t>
      </w:r>
    </w:p>
    <w:p w:rsidR="001F6481" w:rsidRDefault="001F6481" w:rsidP="001F6481">
      <w:pPr>
        <w:spacing w:after="0" w:line="360" w:lineRule="auto"/>
        <w:rPr>
          <w:rFonts w:ascii="Arial" w:hAnsi="Arial" w:cs="Arial"/>
          <w:sz w:val="24"/>
          <w:szCs w:val="20"/>
        </w:rPr>
      </w:pPr>
      <w:r w:rsidRPr="00C07970">
        <w:rPr>
          <w:rFonts w:ascii="Arial" w:hAnsi="Arial" w:cs="Arial"/>
          <w:noProof/>
          <w:sz w:val="24"/>
          <w:szCs w:val="20"/>
        </w:rPr>
        <w:drawing>
          <wp:inline distT="0" distB="0" distL="0" distR="0">
            <wp:extent cx="5596521" cy="2488018"/>
            <wp:effectExtent l="19050" t="0" r="23229" b="7532"/>
            <wp:docPr id="1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1F6481" w:rsidRDefault="001F6481" w:rsidP="008727D6">
      <w:pPr>
        <w:tabs>
          <w:tab w:val="left" w:pos="709"/>
        </w:tabs>
        <w:spacing w:after="0" w:line="360" w:lineRule="auto"/>
        <w:jc w:val="both"/>
        <w:rPr>
          <w:rFonts w:ascii="Arial" w:hAnsi="Arial" w:cs="Arial"/>
          <w:sz w:val="24"/>
          <w:szCs w:val="20"/>
        </w:rPr>
      </w:pPr>
    </w:p>
    <w:p w:rsidR="00C417F3" w:rsidRDefault="001648D5" w:rsidP="008727D6">
      <w:pPr>
        <w:tabs>
          <w:tab w:val="left" w:pos="709"/>
        </w:tabs>
        <w:spacing w:after="0" w:line="360" w:lineRule="auto"/>
        <w:jc w:val="both"/>
        <w:rPr>
          <w:rFonts w:ascii="Arial" w:hAnsi="Arial" w:cs="Arial"/>
          <w:sz w:val="24"/>
          <w:szCs w:val="20"/>
        </w:rPr>
      </w:pPr>
      <w:r>
        <w:rPr>
          <w:rFonts w:ascii="Arial" w:hAnsi="Arial" w:cs="Arial"/>
          <w:sz w:val="24"/>
          <w:szCs w:val="20"/>
        </w:rPr>
        <w:tab/>
      </w:r>
      <w:r w:rsidR="00F129FF">
        <w:rPr>
          <w:rFonts w:ascii="Arial" w:hAnsi="Arial" w:cs="Arial"/>
          <w:sz w:val="24"/>
          <w:szCs w:val="20"/>
        </w:rPr>
        <w:t xml:space="preserve">Com relação ao Roubo de Veículos, </w:t>
      </w:r>
      <w:r w:rsidR="0068063E">
        <w:rPr>
          <w:rFonts w:ascii="Arial" w:hAnsi="Arial" w:cs="Arial"/>
          <w:sz w:val="24"/>
          <w:szCs w:val="20"/>
        </w:rPr>
        <w:t>no período de</w:t>
      </w:r>
      <w:r w:rsidR="00F129FF">
        <w:rPr>
          <w:rFonts w:ascii="Arial" w:hAnsi="Arial" w:cs="Arial"/>
          <w:sz w:val="24"/>
          <w:szCs w:val="20"/>
        </w:rPr>
        <w:t xml:space="preserve"> 2004 a 2011, </w:t>
      </w:r>
      <w:r w:rsidR="0068063E">
        <w:rPr>
          <w:rFonts w:ascii="Arial" w:hAnsi="Arial" w:cs="Arial"/>
          <w:sz w:val="24"/>
          <w:szCs w:val="20"/>
        </w:rPr>
        <w:t>h</w:t>
      </w:r>
      <w:r w:rsidR="00F129FF">
        <w:rPr>
          <w:rFonts w:ascii="Arial" w:hAnsi="Arial" w:cs="Arial"/>
          <w:sz w:val="24"/>
          <w:szCs w:val="20"/>
        </w:rPr>
        <w:t xml:space="preserve">ouve variação </w:t>
      </w:r>
      <w:r w:rsidR="005225AC">
        <w:rPr>
          <w:rFonts w:ascii="Arial" w:hAnsi="Arial" w:cs="Arial"/>
          <w:sz w:val="24"/>
          <w:szCs w:val="20"/>
        </w:rPr>
        <w:t>entre 2 e 3 mil</w:t>
      </w:r>
      <w:r w:rsidR="0068063E">
        <w:rPr>
          <w:rFonts w:ascii="Arial" w:hAnsi="Arial" w:cs="Arial"/>
          <w:sz w:val="24"/>
          <w:szCs w:val="20"/>
        </w:rPr>
        <w:t xml:space="preserve"> ocorrências aproximadamente</w:t>
      </w:r>
      <w:r w:rsidR="005225AC">
        <w:rPr>
          <w:rFonts w:ascii="Arial" w:hAnsi="Arial" w:cs="Arial"/>
          <w:sz w:val="24"/>
          <w:szCs w:val="20"/>
        </w:rPr>
        <w:t>.</w:t>
      </w:r>
      <w:r w:rsidR="0068063E">
        <w:rPr>
          <w:rFonts w:ascii="Arial" w:hAnsi="Arial" w:cs="Arial"/>
          <w:sz w:val="24"/>
          <w:szCs w:val="20"/>
        </w:rPr>
        <w:t xml:space="preserve"> A partir </w:t>
      </w:r>
      <w:r w:rsidR="004812DD">
        <w:rPr>
          <w:rFonts w:ascii="Arial" w:hAnsi="Arial" w:cs="Arial"/>
          <w:sz w:val="24"/>
          <w:szCs w:val="20"/>
        </w:rPr>
        <w:t xml:space="preserve">de </w:t>
      </w:r>
      <w:r w:rsidR="0068063E">
        <w:rPr>
          <w:rFonts w:ascii="Arial" w:hAnsi="Arial" w:cs="Arial"/>
          <w:sz w:val="24"/>
          <w:szCs w:val="20"/>
        </w:rPr>
        <w:t>2011 ocorreu um forte e gradativo crescimento chegando a 7151 roubos de veículos em 2013.</w:t>
      </w:r>
    </w:p>
    <w:p w:rsidR="00C417F3" w:rsidRDefault="00C417F3" w:rsidP="00C417F3">
      <w:pPr>
        <w:tabs>
          <w:tab w:val="left" w:pos="709"/>
        </w:tabs>
        <w:spacing w:after="0" w:line="360" w:lineRule="auto"/>
        <w:jc w:val="both"/>
        <w:rPr>
          <w:rFonts w:ascii="Arial" w:hAnsi="Arial" w:cs="Arial"/>
          <w:sz w:val="24"/>
          <w:szCs w:val="20"/>
        </w:rPr>
      </w:pPr>
      <w:r w:rsidRPr="00020AC9">
        <w:rPr>
          <w:rFonts w:ascii="Arial" w:hAnsi="Arial" w:cs="Arial"/>
          <w:sz w:val="24"/>
          <w:szCs w:val="20"/>
        </w:rPr>
        <w:lastRenderedPageBreak/>
        <w:t xml:space="preserve">Gráfico </w:t>
      </w:r>
      <w:r>
        <w:rPr>
          <w:rFonts w:ascii="Arial" w:hAnsi="Arial" w:cs="Arial"/>
          <w:sz w:val="24"/>
          <w:szCs w:val="20"/>
        </w:rPr>
        <w:t>11</w:t>
      </w:r>
      <w:r w:rsidRPr="00020AC9">
        <w:rPr>
          <w:rFonts w:ascii="Arial" w:hAnsi="Arial" w:cs="Arial"/>
          <w:sz w:val="24"/>
          <w:szCs w:val="20"/>
        </w:rPr>
        <w:t xml:space="preserve"> – </w:t>
      </w:r>
      <w:r>
        <w:rPr>
          <w:rFonts w:ascii="Arial" w:hAnsi="Arial" w:cs="Arial"/>
          <w:sz w:val="24"/>
          <w:szCs w:val="20"/>
        </w:rPr>
        <w:t>Número de Roubo de Veículos em Goiás 2004-2013</w:t>
      </w:r>
    </w:p>
    <w:p w:rsidR="0068063E" w:rsidRDefault="00C417F3" w:rsidP="0068063E">
      <w:pPr>
        <w:tabs>
          <w:tab w:val="left" w:pos="1038"/>
        </w:tabs>
        <w:spacing w:after="0"/>
        <w:rPr>
          <w:rFonts w:ascii="Arial" w:hAnsi="Arial" w:cs="Arial"/>
          <w:b/>
          <w:sz w:val="24"/>
          <w:szCs w:val="20"/>
        </w:rPr>
      </w:pPr>
      <w:r w:rsidRPr="00C417F3">
        <w:rPr>
          <w:rFonts w:ascii="Arial" w:hAnsi="Arial" w:cs="Arial"/>
          <w:b/>
          <w:noProof/>
          <w:sz w:val="24"/>
          <w:szCs w:val="24"/>
        </w:rPr>
        <w:drawing>
          <wp:inline distT="0" distB="0" distL="0" distR="0">
            <wp:extent cx="5606046" cy="2764465"/>
            <wp:effectExtent l="19050" t="0" r="13704" b="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024CBA" w:rsidRDefault="00024CBA" w:rsidP="00AD4531">
      <w:pPr>
        <w:spacing w:after="0" w:line="360" w:lineRule="auto"/>
        <w:ind w:firstLine="708"/>
        <w:jc w:val="both"/>
        <w:rPr>
          <w:rFonts w:ascii="Arial" w:hAnsi="Arial" w:cs="Arial"/>
          <w:sz w:val="24"/>
          <w:szCs w:val="24"/>
        </w:rPr>
      </w:pPr>
    </w:p>
    <w:p w:rsidR="00AD4531" w:rsidRDefault="00AD4531" w:rsidP="00AD4531">
      <w:pPr>
        <w:spacing w:after="0" w:line="360" w:lineRule="auto"/>
        <w:ind w:firstLine="708"/>
        <w:jc w:val="both"/>
        <w:rPr>
          <w:rFonts w:ascii="Arial" w:hAnsi="Arial" w:cs="Arial"/>
          <w:sz w:val="24"/>
          <w:szCs w:val="24"/>
        </w:rPr>
      </w:pPr>
      <w:r>
        <w:rPr>
          <w:rFonts w:ascii="Arial" w:hAnsi="Arial" w:cs="Arial"/>
          <w:sz w:val="24"/>
          <w:szCs w:val="24"/>
        </w:rPr>
        <w:t>O Gráfico 12 demonstra que a taxa de r</w:t>
      </w:r>
      <w:r w:rsidRPr="00AD4531">
        <w:rPr>
          <w:rFonts w:ascii="Arial" w:hAnsi="Arial" w:cs="Arial"/>
          <w:sz w:val="24"/>
          <w:szCs w:val="24"/>
        </w:rPr>
        <w:t xml:space="preserve">oubo de </w:t>
      </w:r>
      <w:r>
        <w:rPr>
          <w:rFonts w:ascii="Arial" w:hAnsi="Arial" w:cs="Arial"/>
          <w:sz w:val="24"/>
          <w:szCs w:val="24"/>
        </w:rPr>
        <w:t>v</w:t>
      </w:r>
      <w:r w:rsidRPr="00AD4531">
        <w:rPr>
          <w:rFonts w:ascii="Arial" w:hAnsi="Arial" w:cs="Arial"/>
          <w:sz w:val="24"/>
          <w:szCs w:val="24"/>
        </w:rPr>
        <w:t>eículos</w:t>
      </w:r>
      <w:r>
        <w:rPr>
          <w:rFonts w:ascii="Arial" w:hAnsi="Arial" w:cs="Arial"/>
          <w:sz w:val="24"/>
          <w:szCs w:val="24"/>
        </w:rPr>
        <w:t xml:space="preserve"> por 100 mil habitantes, mantendo o padrão dos demais índices analisados, acompanhou a curva do número absoluto </w:t>
      </w:r>
      <w:r w:rsidR="002236A9">
        <w:rPr>
          <w:rFonts w:ascii="Arial" w:hAnsi="Arial" w:cs="Arial"/>
          <w:sz w:val="24"/>
          <w:szCs w:val="24"/>
        </w:rPr>
        <w:t>do</w:t>
      </w:r>
      <w:r>
        <w:rPr>
          <w:rFonts w:ascii="Arial" w:hAnsi="Arial" w:cs="Arial"/>
          <w:sz w:val="24"/>
          <w:szCs w:val="24"/>
        </w:rPr>
        <w:t xml:space="preserve"> mesmo indicador, indicando aumento real da incidência dos r</w:t>
      </w:r>
      <w:r w:rsidRPr="00AD4531">
        <w:rPr>
          <w:rFonts w:ascii="Arial" w:hAnsi="Arial" w:cs="Arial"/>
          <w:sz w:val="24"/>
          <w:szCs w:val="24"/>
        </w:rPr>
        <w:t>oubo</w:t>
      </w:r>
      <w:r>
        <w:rPr>
          <w:rFonts w:ascii="Arial" w:hAnsi="Arial" w:cs="Arial"/>
          <w:sz w:val="24"/>
          <w:szCs w:val="24"/>
        </w:rPr>
        <w:t>s</w:t>
      </w:r>
      <w:r w:rsidRPr="00AD4531">
        <w:rPr>
          <w:rFonts w:ascii="Arial" w:hAnsi="Arial" w:cs="Arial"/>
          <w:sz w:val="24"/>
          <w:szCs w:val="24"/>
        </w:rPr>
        <w:t xml:space="preserve"> de </w:t>
      </w:r>
      <w:r>
        <w:rPr>
          <w:rFonts w:ascii="Arial" w:hAnsi="Arial" w:cs="Arial"/>
          <w:sz w:val="24"/>
          <w:szCs w:val="24"/>
        </w:rPr>
        <w:t>v</w:t>
      </w:r>
      <w:r w:rsidRPr="00AD4531">
        <w:rPr>
          <w:rFonts w:ascii="Arial" w:hAnsi="Arial" w:cs="Arial"/>
          <w:sz w:val="24"/>
          <w:szCs w:val="24"/>
        </w:rPr>
        <w:t>eículos</w:t>
      </w:r>
      <w:r>
        <w:rPr>
          <w:rFonts w:ascii="Arial" w:hAnsi="Arial" w:cs="Arial"/>
          <w:sz w:val="24"/>
          <w:szCs w:val="24"/>
        </w:rPr>
        <w:t>, com forte crescimento a partir do ano de 2010.</w:t>
      </w:r>
    </w:p>
    <w:p w:rsidR="00AD4531" w:rsidRPr="00AD4531" w:rsidRDefault="00AD4531" w:rsidP="0068063E">
      <w:pPr>
        <w:spacing w:after="0" w:line="240" w:lineRule="auto"/>
        <w:jc w:val="both"/>
        <w:rPr>
          <w:rFonts w:ascii="Arial" w:hAnsi="Arial" w:cs="Arial"/>
          <w:sz w:val="24"/>
          <w:szCs w:val="24"/>
        </w:rPr>
      </w:pPr>
    </w:p>
    <w:p w:rsidR="004812DD" w:rsidRPr="00AD4531" w:rsidRDefault="004812DD" w:rsidP="004812DD">
      <w:pPr>
        <w:tabs>
          <w:tab w:val="left" w:pos="709"/>
        </w:tabs>
        <w:spacing w:after="0" w:line="360" w:lineRule="auto"/>
        <w:jc w:val="both"/>
        <w:rPr>
          <w:rFonts w:ascii="Arial" w:hAnsi="Arial" w:cs="Arial"/>
          <w:sz w:val="24"/>
          <w:szCs w:val="24"/>
        </w:rPr>
      </w:pPr>
      <w:r w:rsidRPr="00AD4531">
        <w:rPr>
          <w:rFonts w:ascii="Arial" w:hAnsi="Arial" w:cs="Arial"/>
          <w:sz w:val="24"/>
          <w:szCs w:val="24"/>
        </w:rPr>
        <w:t>Gráfico 12 – Taxa de Roubo de Veículos em Goiás 2004-2013</w:t>
      </w:r>
    </w:p>
    <w:p w:rsidR="004812DD" w:rsidRDefault="004812DD" w:rsidP="0068063E">
      <w:pPr>
        <w:spacing w:line="240" w:lineRule="auto"/>
        <w:jc w:val="both"/>
        <w:rPr>
          <w:rFonts w:ascii="Arial" w:hAnsi="Arial" w:cs="Arial"/>
          <w:sz w:val="24"/>
          <w:szCs w:val="20"/>
        </w:rPr>
      </w:pPr>
      <w:r w:rsidRPr="004812DD">
        <w:rPr>
          <w:rFonts w:ascii="Arial" w:hAnsi="Arial" w:cs="Arial"/>
          <w:noProof/>
          <w:sz w:val="24"/>
          <w:szCs w:val="20"/>
        </w:rPr>
        <w:drawing>
          <wp:inline distT="0" distB="0" distL="0" distR="0">
            <wp:extent cx="5612130" cy="3047365"/>
            <wp:effectExtent l="19050" t="0" r="26670" b="635"/>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07D5" w:rsidRDefault="00AA07D5" w:rsidP="00AA07D5">
      <w:pPr>
        <w:spacing w:after="0" w:line="240" w:lineRule="auto"/>
        <w:jc w:val="both"/>
        <w:rPr>
          <w:rFonts w:ascii="Arial" w:hAnsi="Arial" w:cs="Arial"/>
          <w:sz w:val="20"/>
          <w:szCs w:val="20"/>
        </w:rPr>
      </w:pPr>
      <w:r w:rsidRPr="00A50CF7">
        <w:rPr>
          <w:rFonts w:ascii="Arial" w:hAnsi="Arial" w:cs="Arial"/>
          <w:sz w:val="20"/>
          <w:szCs w:val="20"/>
        </w:rPr>
        <w:t xml:space="preserve">Fonte </w:t>
      </w:r>
      <w:r>
        <w:rPr>
          <w:rFonts w:ascii="Arial" w:hAnsi="Arial" w:cs="Arial"/>
          <w:sz w:val="20"/>
          <w:szCs w:val="20"/>
        </w:rPr>
        <w:t>–Anuários do Fórum Brasileiro de Segurança Pública; Secretaria de Segurança Pública</w:t>
      </w: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24CBA" w:rsidRDefault="00024CBA" w:rsidP="00A963C3">
      <w:pPr>
        <w:tabs>
          <w:tab w:val="left" w:pos="1038"/>
        </w:tabs>
        <w:spacing w:after="0" w:line="360" w:lineRule="auto"/>
        <w:rPr>
          <w:rFonts w:ascii="Arial" w:hAnsi="Arial" w:cs="Arial"/>
          <w:b/>
          <w:sz w:val="24"/>
          <w:szCs w:val="24"/>
        </w:rPr>
      </w:pPr>
    </w:p>
    <w:p w:rsidR="00D80F49" w:rsidRPr="003A2E65" w:rsidRDefault="00D80F49" w:rsidP="00A963C3">
      <w:pPr>
        <w:tabs>
          <w:tab w:val="left" w:pos="1038"/>
        </w:tabs>
        <w:spacing w:after="0" w:line="360" w:lineRule="auto"/>
        <w:rPr>
          <w:rFonts w:ascii="Arial" w:hAnsi="Arial" w:cs="Arial"/>
          <w:b/>
          <w:sz w:val="24"/>
          <w:szCs w:val="24"/>
        </w:rPr>
      </w:pPr>
      <w:r>
        <w:rPr>
          <w:rFonts w:ascii="Arial" w:hAnsi="Arial" w:cs="Arial"/>
          <w:b/>
          <w:sz w:val="24"/>
          <w:szCs w:val="24"/>
        </w:rPr>
        <w:lastRenderedPageBreak/>
        <w:t>4</w:t>
      </w:r>
      <w:r w:rsidR="003A2E65">
        <w:rPr>
          <w:rFonts w:ascii="Arial" w:hAnsi="Arial" w:cs="Arial"/>
          <w:b/>
          <w:sz w:val="24"/>
          <w:szCs w:val="24"/>
        </w:rPr>
        <w:t xml:space="preserve"> </w:t>
      </w:r>
      <w:r>
        <w:rPr>
          <w:rFonts w:ascii="Arial" w:hAnsi="Arial" w:cs="Arial"/>
          <w:b/>
          <w:sz w:val="24"/>
          <w:szCs w:val="24"/>
        </w:rPr>
        <w:t>CONC</w:t>
      </w:r>
      <w:r w:rsidRPr="003A2E65">
        <w:rPr>
          <w:rFonts w:ascii="Arial" w:hAnsi="Arial" w:cs="Arial"/>
          <w:b/>
          <w:sz w:val="24"/>
          <w:szCs w:val="24"/>
        </w:rPr>
        <w:t>LUS</w:t>
      </w:r>
      <w:r w:rsidR="00A963C3" w:rsidRPr="003A2E65">
        <w:rPr>
          <w:rFonts w:ascii="Arial" w:hAnsi="Arial" w:cs="Arial"/>
          <w:b/>
          <w:sz w:val="24"/>
          <w:szCs w:val="24"/>
        </w:rPr>
        <w:t>ÃO</w:t>
      </w:r>
    </w:p>
    <w:p w:rsidR="004E0379" w:rsidRDefault="00A963C3" w:rsidP="003E66B9">
      <w:pPr>
        <w:tabs>
          <w:tab w:val="left" w:pos="1038"/>
        </w:tabs>
        <w:spacing w:after="0" w:line="360" w:lineRule="auto"/>
        <w:jc w:val="both"/>
        <w:rPr>
          <w:rFonts w:ascii="Arial" w:hAnsi="Arial" w:cs="Arial"/>
          <w:sz w:val="24"/>
          <w:szCs w:val="24"/>
        </w:rPr>
      </w:pPr>
      <w:r w:rsidRPr="003A2E65">
        <w:rPr>
          <w:rFonts w:ascii="Arial" w:hAnsi="Arial" w:cs="Arial"/>
          <w:b/>
          <w:sz w:val="24"/>
          <w:szCs w:val="24"/>
        </w:rPr>
        <w:tab/>
      </w:r>
      <w:r w:rsidR="003E66B9" w:rsidRPr="003E66B9">
        <w:rPr>
          <w:rFonts w:ascii="Arial" w:hAnsi="Arial" w:cs="Arial"/>
          <w:sz w:val="24"/>
          <w:szCs w:val="24"/>
        </w:rPr>
        <w:t xml:space="preserve">Pelos dados analisados nesta pesquisa, fica evidente </w:t>
      </w:r>
      <w:r w:rsidR="003E66B9">
        <w:rPr>
          <w:rFonts w:ascii="Arial" w:hAnsi="Arial" w:cs="Arial"/>
          <w:sz w:val="24"/>
          <w:szCs w:val="24"/>
        </w:rPr>
        <w:t xml:space="preserve">que </w:t>
      </w:r>
      <w:r w:rsidR="003E66B9" w:rsidRPr="003E66B9">
        <w:rPr>
          <w:rFonts w:ascii="Arial" w:hAnsi="Arial" w:cs="Arial"/>
          <w:sz w:val="24"/>
          <w:szCs w:val="24"/>
        </w:rPr>
        <w:t>a pol</w:t>
      </w:r>
      <w:r w:rsidR="003E66B9">
        <w:rPr>
          <w:rFonts w:ascii="Arial" w:hAnsi="Arial" w:cs="Arial"/>
          <w:sz w:val="24"/>
          <w:szCs w:val="24"/>
        </w:rPr>
        <w:t xml:space="preserve">ítica de segurança pública no Estado de Goiás tem se mostrado ineficiente ao longo do tempo. Os </w:t>
      </w:r>
      <w:r w:rsidR="007E5126">
        <w:rPr>
          <w:rFonts w:ascii="Arial" w:hAnsi="Arial" w:cs="Arial"/>
          <w:sz w:val="24"/>
          <w:szCs w:val="24"/>
        </w:rPr>
        <w:t>índices</w:t>
      </w:r>
      <w:r w:rsidR="003E66B9">
        <w:rPr>
          <w:rFonts w:ascii="Arial" w:hAnsi="Arial" w:cs="Arial"/>
          <w:sz w:val="24"/>
          <w:szCs w:val="24"/>
        </w:rPr>
        <w:t xml:space="preserve"> de violência e criminalidade </w:t>
      </w:r>
      <w:r w:rsidR="00A62DE0">
        <w:rPr>
          <w:rFonts w:ascii="Arial" w:hAnsi="Arial" w:cs="Arial"/>
          <w:sz w:val="24"/>
          <w:szCs w:val="24"/>
        </w:rPr>
        <w:t>demonstram</w:t>
      </w:r>
      <w:r w:rsidR="003E66B9">
        <w:rPr>
          <w:rFonts w:ascii="Arial" w:hAnsi="Arial" w:cs="Arial"/>
          <w:sz w:val="24"/>
          <w:szCs w:val="24"/>
        </w:rPr>
        <w:t xml:space="preserve"> uma forte tendência de alta, principalmente a partir do ano de 2010. </w:t>
      </w:r>
      <w:r w:rsidR="007E5126">
        <w:rPr>
          <w:rFonts w:ascii="Arial" w:hAnsi="Arial" w:cs="Arial"/>
          <w:sz w:val="24"/>
          <w:szCs w:val="24"/>
        </w:rPr>
        <w:t>Entretanto, e</w:t>
      </w:r>
      <w:r w:rsidR="003E66B9">
        <w:rPr>
          <w:rFonts w:ascii="Arial" w:hAnsi="Arial" w:cs="Arial"/>
          <w:sz w:val="24"/>
          <w:szCs w:val="24"/>
        </w:rPr>
        <w:t xml:space="preserve">ste alarmante resultado </w:t>
      </w:r>
      <w:r w:rsidR="007E5126">
        <w:rPr>
          <w:rFonts w:ascii="Arial" w:hAnsi="Arial" w:cs="Arial"/>
          <w:sz w:val="24"/>
          <w:szCs w:val="24"/>
        </w:rPr>
        <w:t xml:space="preserve">não resultou em </w:t>
      </w:r>
      <w:r w:rsidR="003E66B9">
        <w:rPr>
          <w:rFonts w:ascii="Arial" w:hAnsi="Arial" w:cs="Arial"/>
          <w:sz w:val="24"/>
          <w:szCs w:val="24"/>
        </w:rPr>
        <w:t>mudanças</w:t>
      </w:r>
      <w:r w:rsidR="00174992">
        <w:rPr>
          <w:rFonts w:ascii="Arial" w:hAnsi="Arial" w:cs="Arial"/>
          <w:sz w:val="24"/>
          <w:szCs w:val="24"/>
        </w:rPr>
        <w:t xml:space="preserve"> </w:t>
      </w:r>
      <w:r w:rsidR="003E66B9">
        <w:rPr>
          <w:rFonts w:ascii="Arial" w:hAnsi="Arial" w:cs="Arial"/>
          <w:sz w:val="24"/>
          <w:szCs w:val="24"/>
        </w:rPr>
        <w:t xml:space="preserve">na gestão da segurança </w:t>
      </w:r>
      <w:r w:rsidR="000728E2">
        <w:rPr>
          <w:rFonts w:ascii="Arial" w:hAnsi="Arial" w:cs="Arial"/>
          <w:sz w:val="24"/>
          <w:szCs w:val="24"/>
        </w:rPr>
        <w:t>de forma a revert</w:t>
      </w:r>
      <w:r w:rsidR="00F744BE">
        <w:rPr>
          <w:rFonts w:ascii="Arial" w:hAnsi="Arial" w:cs="Arial"/>
          <w:sz w:val="24"/>
          <w:szCs w:val="24"/>
        </w:rPr>
        <w:t>e</w:t>
      </w:r>
      <w:r w:rsidR="000728E2">
        <w:rPr>
          <w:rFonts w:ascii="Arial" w:hAnsi="Arial" w:cs="Arial"/>
          <w:sz w:val="24"/>
          <w:szCs w:val="24"/>
        </w:rPr>
        <w:t xml:space="preserve">r </w:t>
      </w:r>
      <w:r w:rsidR="00944AA9">
        <w:rPr>
          <w:rFonts w:ascii="Arial" w:hAnsi="Arial" w:cs="Arial"/>
          <w:sz w:val="24"/>
          <w:szCs w:val="24"/>
        </w:rPr>
        <w:t>o quadro</w:t>
      </w:r>
      <w:r w:rsidR="003E66B9">
        <w:rPr>
          <w:rFonts w:ascii="Arial" w:hAnsi="Arial" w:cs="Arial"/>
          <w:sz w:val="24"/>
          <w:szCs w:val="24"/>
        </w:rPr>
        <w:t>.</w:t>
      </w:r>
      <w:r w:rsidR="004E0379">
        <w:rPr>
          <w:rFonts w:ascii="Arial" w:hAnsi="Arial" w:cs="Arial"/>
          <w:sz w:val="24"/>
          <w:szCs w:val="24"/>
        </w:rPr>
        <w:t xml:space="preserve"> </w:t>
      </w:r>
    </w:p>
    <w:p w:rsidR="00A963C3" w:rsidRDefault="004E0379" w:rsidP="003E66B9">
      <w:pPr>
        <w:tabs>
          <w:tab w:val="left" w:pos="1038"/>
        </w:tabs>
        <w:spacing w:after="0" w:line="360" w:lineRule="auto"/>
        <w:jc w:val="both"/>
        <w:rPr>
          <w:rFonts w:ascii="Arial" w:hAnsi="Arial" w:cs="Arial"/>
          <w:sz w:val="24"/>
          <w:szCs w:val="24"/>
        </w:rPr>
      </w:pPr>
      <w:r>
        <w:rPr>
          <w:rFonts w:ascii="Arial" w:hAnsi="Arial" w:cs="Arial"/>
          <w:sz w:val="24"/>
          <w:szCs w:val="24"/>
        </w:rPr>
        <w:tab/>
      </w:r>
      <w:r w:rsidR="003E66B9">
        <w:rPr>
          <w:rFonts w:ascii="Arial" w:hAnsi="Arial" w:cs="Arial"/>
          <w:sz w:val="24"/>
          <w:szCs w:val="24"/>
        </w:rPr>
        <w:t xml:space="preserve">Um ponto que chama a atenção é o aumento significativo </w:t>
      </w:r>
      <w:r>
        <w:rPr>
          <w:rFonts w:ascii="Arial" w:hAnsi="Arial" w:cs="Arial"/>
          <w:sz w:val="24"/>
          <w:szCs w:val="24"/>
        </w:rPr>
        <w:t xml:space="preserve">e progressivo </w:t>
      </w:r>
      <w:r w:rsidR="003E66B9">
        <w:rPr>
          <w:rFonts w:ascii="Arial" w:hAnsi="Arial" w:cs="Arial"/>
          <w:sz w:val="24"/>
          <w:szCs w:val="24"/>
        </w:rPr>
        <w:t xml:space="preserve">dos gastos com pessoal do setor, </w:t>
      </w:r>
      <w:r w:rsidR="00174992">
        <w:rPr>
          <w:rFonts w:ascii="Arial" w:hAnsi="Arial" w:cs="Arial"/>
          <w:sz w:val="24"/>
          <w:szCs w:val="24"/>
        </w:rPr>
        <w:t>levando</w:t>
      </w:r>
      <w:r w:rsidR="000728E2">
        <w:rPr>
          <w:rFonts w:ascii="Arial" w:hAnsi="Arial" w:cs="Arial"/>
          <w:sz w:val="24"/>
          <w:szCs w:val="24"/>
        </w:rPr>
        <w:t xml:space="preserve"> Goiás para o 2° </w:t>
      </w:r>
      <w:r w:rsidR="007E5126">
        <w:rPr>
          <w:rFonts w:ascii="Arial" w:hAnsi="Arial" w:cs="Arial"/>
          <w:sz w:val="24"/>
          <w:szCs w:val="24"/>
        </w:rPr>
        <w:t>E</w:t>
      </w:r>
      <w:r w:rsidR="000728E2">
        <w:rPr>
          <w:rFonts w:ascii="Arial" w:hAnsi="Arial" w:cs="Arial"/>
          <w:sz w:val="24"/>
          <w:szCs w:val="24"/>
        </w:rPr>
        <w:t xml:space="preserve">stado </w:t>
      </w:r>
      <w:r>
        <w:rPr>
          <w:rFonts w:ascii="Arial" w:hAnsi="Arial" w:cs="Arial"/>
          <w:sz w:val="24"/>
          <w:szCs w:val="24"/>
        </w:rPr>
        <w:t>com o</w:t>
      </w:r>
      <w:r w:rsidR="000728E2">
        <w:rPr>
          <w:rFonts w:ascii="Arial" w:hAnsi="Arial" w:cs="Arial"/>
          <w:sz w:val="24"/>
          <w:szCs w:val="24"/>
        </w:rPr>
        <w:t xml:space="preserve"> maior piso salarial de Policiais</w:t>
      </w:r>
      <w:r w:rsidR="00944AA9">
        <w:rPr>
          <w:rFonts w:ascii="Arial" w:hAnsi="Arial" w:cs="Arial"/>
          <w:sz w:val="24"/>
          <w:szCs w:val="24"/>
        </w:rPr>
        <w:t xml:space="preserve"> Civis e </w:t>
      </w:r>
      <w:r w:rsidR="000728E2">
        <w:rPr>
          <w:rFonts w:ascii="Arial" w:hAnsi="Arial" w:cs="Arial"/>
          <w:sz w:val="24"/>
          <w:szCs w:val="24"/>
        </w:rPr>
        <w:t xml:space="preserve">Militares, </w:t>
      </w:r>
      <w:r w:rsidR="007F0DC8">
        <w:rPr>
          <w:rFonts w:ascii="Arial" w:hAnsi="Arial" w:cs="Arial"/>
          <w:sz w:val="24"/>
          <w:szCs w:val="24"/>
        </w:rPr>
        <w:t>perdendo</w:t>
      </w:r>
      <w:r w:rsidR="000728E2">
        <w:rPr>
          <w:rFonts w:ascii="Arial" w:hAnsi="Arial" w:cs="Arial"/>
          <w:sz w:val="24"/>
          <w:szCs w:val="24"/>
        </w:rPr>
        <w:t xml:space="preserve"> apenas </w:t>
      </w:r>
      <w:r w:rsidR="007F0DC8">
        <w:rPr>
          <w:rFonts w:ascii="Arial" w:hAnsi="Arial" w:cs="Arial"/>
          <w:sz w:val="24"/>
          <w:szCs w:val="24"/>
        </w:rPr>
        <w:t>para o</w:t>
      </w:r>
      <w:r w:rsidR="000728E2">
        <w:rPr>
          <w:rFonts w:ascii="Arial" w:hAnsi="Arial" w:cs="Arial"/>
          <w:sz w:val="24"/>
          <w:szCs w:val="24"/>
        </w:rPr>
        <w:t xml:space="preserve"> Distrito Federal.</w:t>
      </w:r>
      <w:r w:rsidR="007E5126">
        <w:rPr>
          <w:rFonts w:ascii="Arial" w:hAnsi="Arial" w:cs="Arial"/>
          <w:sz w:val="24"/>
          <w:szCs w:val="24"/>
        </w:rPr>
        <w:t xml:space="preserve"> No entanto, a política salarial</w:t>
      </w:r>
      <w:r w:rsidR="00FB5E28">
        <w:rPr>
          <w:rFonts w:ascii="Arial" w:hAnsi="Arial" w:cs="Arial"/>
          <w:sz w:val="24"/>
          <w:szCs w:val="24"/>
        </w:rPr>
        <w:t>,</w:t>
      </w:r>
      <w:r w:rsidR="007E5126">
        <w:rPr>
          <w:rFonts w:ascii="Arial" w:hAnsi="Arial" w:cs="Arial"/>
          <w:sz w:val="24"/>
          <w:szCs w:val="24"/>
        </w:rPr>
        <w:t xml:space="preserve"> de forma isolada</w:t>
      </w:r>
      <w:r w:rsidR="00FB5E28">
        <w:rPr>
          <w:rFonts w:ascii="Arial" w:hAnsi="Arial" w:cs="Arial"/>
          <w:sz w:val="24"/>
          <w:szCs w:val="24"/>
        </w:rPr>
        <w:t>,</w:t>
      </w:r>
      <w:r w:rsidR="007E5126">
        <w:rPr>
          <w:rFonts w:ascii="Arial" w:hAnsi="Arial" w:cs="Arial"/>
          <w:sz w:val="24"/>
          <w:szCs w:val="24"/>
        </w:rPr>
        <w:t xml:space="preserve"> </w:t>
      </w:r>
      <w:r w:rsidR="002F733A">
        <w:rPr>
          <w:rFonts w:ascii="Arial" w:hAnsi="Arial" w:cs="Arial"/>
          <w:sz w:val="24"/>
          <w:szCs w:val="24"/>
        </w:rPr>
        <w:t>mostrou</w:t>
      </w:r>
      <w:r w:rsidR="00586CFE">
        <w:rPr>
          <w:rFonts w:ascii="Arial" w:hAnsi="Arial" w:cs="Arial"/>
          <w:sz w:val="24"/>
          <w:szCs w:val="24"/>
        </w:rPr>
        <w:t>-se ineficaz</w:t>
      </w:r>
      <w:r w:rsidR="007E5126">
        <w:rPr>
          <w:rFonts w:ascii="Arial" w:hAnsi="Arial" w:cs="Arial"/>
          <w:sz w:val="24"/>
          <w:szCs w:val="24"/>
        </w:rPr>
        <w:t xml:space="preserve"> </w:t>
      </w:r>
      <w:r w:rsidR="005A4C47">
        <w:rPr>
          <w:rFonts w:ascii="Arial" w:hAnsi="Arial" w:cs="Arial"/>
          <w:sz w:val="24"/>
          <w:szCs w:val="24"/>
        </w:rPr>
        <w:t xml:space="preserve">para </w:t>
      </w:r>
      <w:r w:rsidR="00E06536">
        <w:rPr>
          <w:rFonts w:ascii="Arial" w:hAnsi="Arial" w:cs="Arial"/>
          <w:sz w:val="24"/>
          <w:szCs w:val="24"/>
        </w:rPr>
        <w:t xml:space="preserve">o </w:t>
      </w:r>
      <w:r w:rsidR="005A4C47">
        <w:rPr>
          <w:rFonts w:ascii="Arial" w:hAnsi="Arial" w:cs="Arial"/>
          <w:sz w:val="24"/>
          <w:szCs w:val="24"/>
        </w:rPr>
        <w:t xml:space="preserve">aumento da produtividade policial e consequentemente </w:t>
      </w:r>
      <w:r w:rsidR="007E5126">
        <w:rPr>
          <w:rFonts w:ascii="Arial" w:hAnsi="Arial" w:cs="Arial"/>
          <w:sz w:val="24"/>
          <w:szCs w:val="24"/>
        </w:rPr>
        <w:t>para</w:t>
      </w:r>
      <w:r w:rsidR="00E06536">
        <w:rPr>
          <w:rFonts w:ascii="Arial" w:hAnsi="Arial" w:cs="Arial"/>
          <w:sz w:val="24"/>
          <w:szCs w:val="24"/>
        </w:rPr>
        <w:t xml:space="preserve"> a</w:t>
      </w:r>
      <w:r w:rsidR="007E5126">
        <w:rPr>
          <w:rFonts w:ascii="Arial" w:hAnsi="Arial" w:cs="Arial"/>
          <w:sz w:val="24"/>
          <w:szCs w:val="24"/>
        </w:rPr>
        <w:t xml:space="preserve"> redução </w:t>
      </w:r>
      <w:r w:rsidR="003A0EA8">
        <w:rPr>
          <w:rFonts w:ascii="Arial" w:hAnsi="Arial" w:cs="Arial"/>
          <w:sz w:val="24"/>
          <w:szCs w:val="24"/>
        </w:rPr>
        <w:t>da violência</w:t>
      </w:r>
      <w:r w:rsidR="00E06536">
        <w:rPr>
          <w:rFonts w:ascii="Arial" w:hAnsi="Arial" w:cs="Arial"/>
          <w:sz w:val="24"/>
          <w:szCs w:val="24"/>
        </w:rPr>
        <w:t xml:space="preserve"> e da criminalidade.</w:t>
      </w:r>
    </w:p>
    <w:p w:rsidR="004E3B3D" w:rsidRDefault="00E06536" w:rsidP="003E66B9">
      <w:pPr>
        <w:tabs>
          <w:tab w:val="left" w:pos="1038"/>
        </w:tabs>
        <w:spacing w:after="0" w:line="360" w:lineRule="auto"/>
        <w:jc w:val="both"/>
        <w:rPr>
          <w:rFonts w:ascii="Arial" w:hAnsi="Arial" w:cs="Arial"/>
          <w:sz w:val="24"/>
          <w:szCs w:val="24"/>
        </w:rPr>
      </w:pPr>
      <w:r>
        <w:rPr>
          <w:rFonts w:ascii="Arial" w:hAnsi="Arial" w:cs="Arial"/>
          <w:sz w:val="24"/>
          <w:szCs w:val="24"/>
        </w:rPr>
        <w:tab/>
        <w:t xml:space="preserve">Diante </w:t>
      </w:r>
      <w:r w:rsidR="004B2B9B">
        <w:rPr>
          <w:rFonts w:ascii="Arial" w:hAnsi="Arial" w:cs="Arial"/>
          <w:sz w:val="24"/>
          <w:szCs w:val="24"/>
        </w:rPr>
        <w:t>disso</w:t>
      </w:r>
      <w:r>
        <w:rPr>
          <w:rFonts w:ascii="Arial" w:hAnsi="Arial" w:cs="Arial"/>
          <w:sz w:val="24"/>
          <w:szCs w:val="24"/>
        </w:rPr>
        <w:t>, a segurança pública torna-se cada vez mais reativa e o aumento nos gastos</w:t>
      </w:r>
      <w:r w:rsidR="004E0379">
        <w:rPr>
          <w:rFonts w:ascii="Arial" w:hAnsi="Arial" w:cs="Arial"/>
          <w:sz w:val="24"/>
          <w:szCs w:val="24"/>
        </w:rPr>
        <w:t xml:space="preserve"> com despesas de custeio</w:t>
      </w:r>
      <w:r>
        <w:rPr>
          <w:rFonts w:ascii="Arial" w:hAnsi="Arial" w:cs="Arial"/>
          <w:sz w:val="24"/>
          <w:szCs w:val="24"/>
        </w:rPr>
        <w:t xml:space="preserve"> são apenas </w:t>
      </w:r>
      <w:r w:rsidR="00945D16">
        <w:rPr>
          <w:rFonts w:ascii="Arial" w:hAnsi="Arial" w:cs="Arial"/>
          <w:sz w:val="24"/>
          <w:szCs w:val="24"/>
        </w:rPr>
        <w:t>a conseq</w:t>
      </w:r>
      <w:r w:rsidR="00A62DE0">
        <w:rPr>
          <w:rFonts w:ascii="Arial" w:hAnsi="Arial" w:cs="Arial"/>
          <w:sz w:val="24"/>
          <w:szCs w:val="24"/>
        </w:rPr>
        <w:t>u</w:t>
      </w:r>
      <w:r w:rsidR="00945D16">
        <w:rPr>
          <w:rFonts w:ascii="Arial" w:hAnsi="Arial" w:cs="Arial"/>
          <w:sz w:val="24"/>
          <w:szCs w:val="24"/>
        </w:rPr>
        <w:t>ência</w:t>
      </w:r>
      <w:r w:rsidR="00A62DE0">
        <w:rPr>
          <w:rFonts w:ascii="Arial" w:hAnsi="Arial" w:cs="Arial"/>
          <w:sz w:val="24"/>
          <w:szCs w:val="24"/>
        </w:rPr>
        <w:t xml:space="preserve"> </w:t>
      </w:r>
      <w:r w:rsidR="00945D16">
        <w:rPr>
          <w:rFonts w:ascii="Arial" w:hAnsi="Arial" w:cs="Arial"/>
          <w:sz w:val="24"/>
          <w:szCs w:val="24"/>
        </w:rPr>
        <w:t>e o</w:t>
      </w:r>
      <w:r>
        <w:rPr>
          <w:rFonts w:ascii="Arial" w:hAnsi="Arial" w:cs="Arial"/>
          <w:sz w:val="24"/>
          <w:szCs w:val="24"/>
        </w:rPr>
        <w:t xml:space="preserve"> reflexo da atividade ostensiva ex</w:t>
      </w:r>
      <w:r w:rsidR="004F6B7F">
        <w:rPr>
          <w:rFonts w:ascii="Arial" w:hAnsi="Arial" w:cs="Arial"/>
          <w:sz w:val="24"/>
          <w:szCs w:val="24"/>
        </w:rPr>
        <w:t>e</w:t>
      </w:r>
      <w:r w:rsidR="00D05FE3">
        <w:rPr>
          <w:rFonts w:ascii="Arial" w:hAnsi="Arial" w:cs="Arial"/>
          <w:sz w:val="24"/>
          <w:szCs w:val="24"/>
        </w:rPr>
        <w:t>cutada pelas forças policiais</w:t>
      </w:r>
      <w:r>
        <w:rPr>
          <w:rFonts w:ascii="Arial" w:hAnsi="Arial" w:cs="Arial"/>
          <w:sz w:val="24"/>
          <w:szCs w:val="24"/>
        </w:rPr>
        <w:t xml:space="preserve">, evidenciado na proporção em que as despesas com combustíveis, manutenção e locação de automóveis representam no total de gastos </w:t>
      </w:r>
      <w:r w:rsidR="00174992">
        <w:rPr>
          <w:rFonts w:ascii="Arial" w:hAnsi="Arial" w:cs="Arial"/>
          <w:sz w:val="24"/>
          <w:szCs w:val="24"/>
        </w:rPr>
        <w:t>dos órgãos de</w:t>
      </w:r>
      <w:r>
        <w:rPr>
          <w:rFonts w:ascii="Arial" w:hAnsi="Arial" w:cs="Arial"/>
          <w:sz w:val="24"/>
          <w:szCs w:val="24"/>
        </w:rPr>
        <w:t xml:space="preserve"> Segurança</w:t>
      </w:r>
      <w:r w:rsidR="00174992">
        <w:rPr>
          <w:rFonts w:ascii="Arial" w:hAnsi="Arial" w:cs="Arial"/>
          <w:sz w:val="24"/>
          <w:szCs w:val="24"/>
        </w:rPr>
        <w:t xml:space="preserve"> Pública</w:t>
      </w:r>
      <w:r>
        <w:rPr>
          <w:rFonts w:ascii="Arial" w:hAnsi="Arial" w:cs="Arial"/>
          <w:sz w:val="24"/>
          <w:szCs w:val="24"/>
        </w:rPr>
        <w:t>.</w:t>
      </w:r>
      <w:r w:rsidR="00110E19">
        <w:rPr>
          <w:rFonts w:ascii="Arial" w:hAnsi="Arial" w:cs="Arial"/>
          <w:sz w:val="24"/>
          <w:szCs w:val="24"/>
        </w:rPr>
        <w:t xml:space="preserve"> A falta de investimentos no setor é evidente na medida em que se manteve constante na década avaliada</w:t>
      </w:r>
      <w:r w:rsidR="00D05FE3">
        <w:rPr>
          <w:rFonts w:ascii="Arial" w:hAnsi="Arial" w:cs="Arial"/>
          <w:sz w:val="24"/>
          <w:szCs w:val="24"/>
        </w:rPr>
        <w:t>,</w:t>
      </w:r>
      <w:r w:rsidR="00110E19">
        <w:rPr>
          <w:rFonts w:ascii="Arial" w:hAnsi="Arial" w:cs="Arial"/>
          <w:sz w:val="24"/>
          <w:szCs w:val="24"/>
        </w:rPr>
        <w:t xml:space="preserve"> além de apresentar um volume inexpressivo quando comparada às despesas de custeio.</w:t>
      </w:r>
    </w:p>
    <w:p w:rsidR="0054726D" w:rsidRDefault="00110E19" w:rsidP="0054726D">
      <w:pPr>
        <w:tabs>
          <w:tab w:val="left" w:pos="1038"/>
        </w:tabs>
        <w:spacing w:after="0" w:line="360" w:lineRule="auto"/>
        <w:jc w:val="both"/>
        <w:rPr>
          <w:rFonts w:ascii="Arial" w:hAnsi="Arial" w:cs="Arial"/>
          <w:sz w:val="24"/>
          <w:szCs w:val="24"/>
        </w:rPr>
      </w:pPr>
      <w:r>
        <w:rPr>
          <w:rFonts w:ascii="Arial" w:hAnsi="Arial" w:cs="Arial"/>
          <w:sz w:val="24"/>
          <w:szCs w:val="24"/>
        </w:rPr>
        <w:tab/>
        <w:t xml:space="preserve">Observando parâmetros internacionais, os índices de criminalidade em Goiás são bastante elevados. </w:t>
      </w:r>
      <w:r w:rsidR="0054726D" w:rsidRPr="0054726D">
        <w:rPr>
          <w:rFonts w:ascii="Arial" w:hAnsi="Arial" w:cs="Arial"/>
          <w:sz w:val="24"/>
          <w:szCs w:val="24"/>
        </w:rPr>
        <w:t xml:space="preserve">Segundo a </w:t>
      </w:r>
      <w:hyperlink r:id="rId20" w:history="1">
        <w:r w:rsidR="0054726D" w:rsidRPr="0054726D">
          <w:rPr>
            <w:rFonts w:ascii="Arial" w:hAnsi="Arial" w:cs="Arial"/>
            <w:i/>
            <w:sz w:val="24"/>
            <w:szCs w:val="24"/>
          </w:rPr>
          <w:t>United Nations Office on Drugs and Crime</w:t>
        </w:r>
      </w:hyperlink>
      <w:r w:rsidR="0054726D" w:rsidRPr="0054726D">
        <w:rPr>
          <w:rFonts w:ascii="Arial" w:hAnsi="Arial" w:cs="Arial"/>
          <w:i/>
          <w:sz w:val="24"/>
          <w:szCs w:val="24"/>
        </w:rPr>
        <w:t xml:space="preserve"> – UNODC, </w:t>
      </w:r>
      <w:r w:rsidR="0054726D" w:rsidRPr="0054726D">
        <w:rPr>
          <w:rFonts w:ascii="Arial" w:hAnsi="Arial" w:cs="Arial"/>
          <w:sz w:val="24"/>
          <w:szCs w:val="24"/>
        </w:rPr>
        <w:t>poucos países no mundo</w:t>
      </w:r>
      <w:r w:rsidR="0054726D">
        <w:rPr>
          <w:rFonts w:ascii="Arial" w:hAnsi="Arial" w:cs="Arial"/>
          <w:sz w:val="24"/>
          <w:szCs w:val="24"/>
        </w:rPr>
        <w:t xml:space="preserve"> apresentam taxas acima de 30 homicídios por 100 mil habitantes. Goiás atingiu em 2013 a marca de 41,85 homicídios dolosos por 100 mil habitantes, equiparando-se a países como Uganda, </w:t>
      </w:r>
      <w:r w:rsidR="00243CE4">
        <w:rPr>
          <w:rFonts w:ascii="Arial" w:hAnsi="Arial" w:cs="Arial"/>
          <w:sz w:val="24"/>
          <w:szCs w:val="24"/>
        </w:rPr>
        <w:t>África</w:t>
      </w:r>
      <w:r w:rsidR="0054726D">
        <w:rPr>
          <w:rFonts w:ascii="Arial" w:hAnsi="Arial" w:cs="Arial"/>
          <w:sz w:val="24"/>
          <w:szCs w:val="24"/>
        </w:rPr>
        <w:t xml:space="preserve"> do Sul, Guatemala e El Salvador.</w:t>
      </w:r>
    </w:p>
    <w:p w:rsidR="004E3B3D" w:rsidRDefault="00D561B4" w:rsidP="003E66B9">
      <w:pPr>
        <w:tabs>
          <w:tab w:val="left" w:pos="1038"/>
        </w:tabs>
        <w:spacing w:after="0" w:line="360" w:lineRule="auto"/>
        <w:jc w:val="both"/>
        <w:rPr>
          <w:rFonts w:ascii="Arial" w:hAnsi="Arial" w:cs="Arial"/>
          <w:sz w:val="24"/>
          <w:szCs w:val="24"/>
        </w:rPr>
      </w:pPr>
      <w:r>
        <w:rPr>
          <w:rFonts w:ascii="Arial" w:hAnsi="Arial" w:cs="Arial"/>
          <w:sz w:val="24"/>
          <w:szCs w:val="24"/>
        </w:rPr>
        <w:tab/>
        <w:t xml:space="preserve">Apesar deste cenário altamente desfavorável, o setor de Segurança Pública </w:t>
      </w:r>
      <w:r w:rsidR="00AE61F3">
        <w:rPr>
          <w:rFonts w:ascii="Arial" w:hAnsi="Arial" w:cs="Arial"/>
          <w:sz w:val="24"/>
          <w:szCs w:val="24"/>
        </w:rPr>
        <w:t xml:space="preserve">em Goiás </w:t>
      </w:r>
      <w:r>
        <w:rPr>
          <w:rFonts w:ascii="Arial" w:hAnsi="Arial" w:cs="Arial"/>
          <w:sz w:val="24"/>
          <w:szCs w:val="24"/>
        </w:rPr>
        <w:t xml:space="preserve">não é tratado como prioridade de governo, situação agravada pela rigidez orçamentária do Governo </w:t>
      </w:r>
      <w:r w:rsidR="0040617A">
        <w:rPr>
          <w:rFonts w:ascii="Arial" w:hAnsi="Arial" w:cs="Arial"/>
          <w:sz w:val="24"/>
          <w:szCs w:val="24"/>
        </w:rPr>
        <w:t>Estadual</w:t>
      </w:r>
      <w:r>
        <w:rPr>
          <w:rFonts w:ascii="Arial" w:hAnsi="Arial" w:cs="Arial"/>
          <w:sz w:val="24"/>
          <w:szCs w:val="24"/>
        </w:rPr>
        <w:t xml:space="preserve">, com orçamento cada vez mais comprometido com despesas </w:t>
      </w:r>
      <w:r w:rsidR="008D1A34">
        <w:rPr>
          <w:rFonts w:ascii="Arial" w:hAnsi="Arial" w:cs="Arial"/>
          <w:sz w:val="24"/>
          <w:szCs w:val="24"/>
        </w:rPr>
        <w:t>de</w:t>
      </w:r>
      <w:r>
        <w:rPr>
          <w:rFonts w:ascii="Arial" w:hAnsi="Arial" w:cs="Arial"/>
          <w:sz w:val="24"/>
          <w:szCs w:val="24"/>
        </w:rPr>
        <w:t xml:space="preserve"> pessoal, pagamento de dívida e vinculações constitucionais para as áreas de </w:t>
      </w:r>
      <w:r w:rsidR="008D1A34">
        <w:rPr>
          <w:rFonts w:ascii="Arial" w:hAnsi="Arial" w:cs="Arial"/>
          <w:sz w:val="24"/>
          <w:szCs w:val="24"/>
        </w:rPr>
        <w:t>S</w:t>
      </w:r>
      <w:r>
        <w:rPr>
          <w:rFonts w:ascii="Arial" w:hAnsi="Arial" w:cs="Arial"/>
          <w:sz w:val="24"/>
          <w:szCs w:val="24"/>
        </w:rPr>
        <w:t xml:space="preserve">aúde, </w:t>
      </w:r>
      <w:r w:rsidR="008D1A34">
        <w:rPr>
          <w:rFonts w:ascii="Arial" w:hAnsi="Arial" w:cs="Arial"/>
          <w:sz w:val="24"/>
          <w:szCs w:val="24"/>
        </w:rPr>
        <w:t>E</w:t>
      </w:r>
      <w:r>
        <w:rPr>
          <w:rFonts w:ascii="Arial" w:hAnsi="Arial" w:cs="Arial"/>
          <w:sz w:val="24"/>
          <w:szCs w:val="24"/>
        </w:rPr>
        <w:t>ducação</w:t>
      </w:r>
      <w:r w:rsidR="008D1A34">
        <w:rPr>
          <w:rFonts w:ascii="Arial" w:hAnsi="Arial" w:cs="Arial"/>
          <w:sz w:val="24"/>
          <w:szCs w:val="24"/>
        </w:rPr>
        <w:t xml:space="preserve"> e Ciência e Tecnologia.</w:t>
      </w:r>
      <w:r w:rsidR="00AE61F3">
        <w:rPr>
          <w:rFonts w:ascii="Arial" w:hAnsi="Arial" w:cs="Arial"/>
          <w:sz w:val="24"/>
          <w:szCs w:val="24"/>
        </w:rPr>
        <w:t xml:space="preserve"> Um bom exemplo desta falta de prioridade foi o contingenciamento de mais 500 milhões de reais </w:t>
      </w:r>
      <w:r w:rsidR="00FB5E28">
        <w:rPr>
          <w:rFonts w:ascii="Arial" w:hAnsi="Arial" w:cs="Arial"/>
          <w:sz w:val="24"/>
          <w:szCs w:val="24"/>
        </w:rPr>
        <w:t xml:space="preserve">observado </w:t>
      </w:r>
      <w:r w:rsidR="00AE61F3">
        <w:rPr>
          <w:rFonts w:ascii="Arial" w:hAnsi="Arial" w:cs="Arial"/>
          <w:sz w:val="24"/>
          <w:szCs w:val="24"/>
        </w:rPr>
        <w:t>no período de 2004 a 2013</w:t>
      </w:r>
      <w:r w:rsidR="00120D5D">
        <w:rPr>
          <w:rFonts w:ascii="Arial" w:hAnsi="Arial" w:cs="Arial"/>
          <w:sz w:val="24"/>
          <w:szCs w:val="24"/>
        </w:rPr>
        <w:t xml:space="preserve">, causado pelo remanejamento dos recursos inicialmente previstos </w:t>
      </w:r>
      <w:r w:rsidR="00217609">
        <w:rPr>
          <w:rFonts w:ascii="Arial" w:hAnsi="Arial" w:cs="Arial"/>
          <w:sz w:val="24"/>
          <w:szCs w:val="24"/>
        </w:rPr>
        <w:t>em</w:t>
      </w:r>
      <w:r w:rsidR="00120D5D">
        <w:rPr>
          <w:rFonts w:ascii="Arial" w:hAnsi="Arial" w:cs="Arial"/>
          <w:sz w:val="24"/>
          <w:szCs w:val="24"/>
        </w:rPr>
        <w:t xml:space="preserve"> Segurança Pública para outras áreas de governo.</w:t>
      </w:r>
    </w:p>
    <w:p w:rsidR="008A6F3D" w:rsidRPr="003E66B9" w:rsidRDefault="00243CE4" w:rsidP="008A6F3D">
      <w:pPr>
        <w:tabs>
          <w:tab w:val="left" w:pos="1038"/>
        </w:tabs>
        <w:spacing w:after="0" w:line="360" w:lineRule="auto"/>
        <w:jc w:val="both"/>
        <w:rPr>
          <w:rFonts w:ascii="Arial" w:hAnsi="Arial" w:cs="Arial"/>
          <w:sz w:val="24"/>
          <w:szCs w:val="24"/>
        </w:rPr>
      </w:pPr>
      <w:r>
        <w:rPr>
          <w:rFonts w:ascii="Arial" w:hAnsi="Arial" w:cs="Arial"/>
          <w:sz w:val="24"/>
          <w:szCs w:val="24"/>
        </w:rPr>
        <w:lastRenderedPageBreak/>
        <w:tab/>
      </w:r>
      <w:r w:rsidR="008A6F3D">
        <w:rPr>
          <w:rFonts w:ascii="Arial" w:hAnsi="Arial" w:cs="Arial"/>
          <w:sz w:val="24"/>
          <w:szCs w:val="24"/>
        </w:rPr>
        <w:t>Outro ponto importante a ressaltar é a situação do sistema carcerário em Goiás, resultado de anos da ausência de planejamento e de uma política de investimentos adequada e duradoura. Neste trabalho, para chegar aos dados da execução orçamentária do setor, foi necessário o rastreamento de quatro diferentes órgãos pelos quais passou a administração penitenciária no período avaliado, fruto das mudanças constantes causadas por reformas administrativas ocorridas a cada troca de governo ou mesmo para contenção de gastos.</w:t>
      </w:r>
    </w:p>
    <w:p w:rsidR="00243CE4" w:rsidRDefault="008A6F3D" w:rsidP="003E66B9">
      <w:pPr>
        <w:tabs>
          <w:tab w:val="left" w:pos="1038"/>
        </w:tabs>
        <w:spacing w:after="0" w:line="360" w:lineRule="auto"/>
        <w:jc w:val="both"/>
        <w:rPr>
          <w:rFonts w:ascii="Arial" w:hAnsi="Arial" w:cs="Arial"/>
          <w:sz w:val="24"/>
          <w:szCs w:val="24"/>
        </w:rPr>
      </w:pPr>
      <w:r>
        <w:rPr>
          <w:rFonts w:ascii="Arial" w:hAnsi="Arial" w:cs="Arial"/>
          <w:sz w:val="24"/>
          <w:szCs w:val="24"/>
        </w:rPr>
        <w:tab/>
      </w:r>
      <w:r w:rsidR="00243CE4">
        <w:rPr>
          <w:rFonts w:ascii="Arial" w:hAnsi="Arial" w:cs="Arial"/>
          <w:sz w:val="24"/>
          <w:szCs w:val="24"/>
        </w:rPr>
        <w:t xml:space="preserve">Neste sentido, é preciso transformar a segurança pública em verdadeira prioridade política. Não </w:t>
      </w:r>
      <w:r>
        <w:rPr>
          <w:rFonts w:ascii="Arial" w:hAnsi="Arial" w:cs="Arial"/>
          <w:sz w:val="24"/>
          <w:szCs w:val="24"/>
        </w:rPr>
        <w:t xml:space="preserve">apenas </w:t>
      </w:r>
      <w:r w:rsidR="00243CE4">
        <w:rPr>
          <w:rFonts w:ascii="Arial" w:hAnsi="Arial" w:cs="Arial"/>
          <w:sz w:val="24"/>
          <w:szCs w:val="24"/>
        </w:rPr>
        <w:t xml:space="preserve">maior alocação de recursos </w:t>
      </w:r>
      <w:r>
        <w:rPr>
          <w:rFonts w:ascii="Arial" w:hAnsi="Arial" w:cs="Arial"/>
          <w:sz w:val="24"/>
          <w:szCs w:val="24"/>
        </w:rPr>
        <w:t>em segurança pública</w:t>
      </w:r>
      <w:r w:rsidR="00243CE4">
        <w:rPr>
          <w:rFonts w:ascii="Arial" w:hAnsi="Arial" w:cs="Arial"/>
          <w:sz w:val="24"/>
          <w:szCs w:val="24"/>
        </w:rPr>
        <w:t xml:space="preserve">, mas o desenvolvimento de um novo arranjo institucional que substitua aquele previsto na Constituição Federal, anacrônico diante da nova realidade. </w:t>
      </w:r>
      <w:r w:rsidR="00243CE4" w:rsidRPr="0044278B">
        <w:rPr>
          <w:rFonts w:ascii="Arial" w:hAnsi="Arial" w:cs="Arial"/>
          <w:sz w:val="24"/>
          <w:szCs w:val="24"/>
        </w:rPr>
        <w:t>(SAPORI, 20</w:t>
      </w:r>
      <w:r w:rsidR="00243CE4">
        <w:rPr>
          <w:rFonts w:ascii="Arial" w:hAnsi="Arial" w:cs="Arial"/>
          <w:sz w:val="24"/>
          <w:szCs w:val="24"/>
        </w:rPr>
        <w:t>1</w:t>
      </w:r>
      <w:r w:rsidR="00AD257A">
        <w:rPr>
          <w:rFonts w:ascii="Arial" w:hAnsi="Arial" w:cs="Arial"/>
          <w:sz w:val="24"/>
          <w:szCs w:val="24"/>
        </w:rPr>
        <w:t>2</w:t>
      </w:r>
      <w:r w:rsidR="00243CE4" w:rsidRPr="0044278B">
        <w:rPr>
          <w:rFonts w:ascii="Arial" w:hAnsi="Arial" w:cs="Arial"/>
          <w:sz w:val="24"/>
          <w:szCs w:val="24"/>
        </w:rPr>
        <w:t>).</w:t>
      </w:r>
    </w:p>
    <w:p w:rsidR="008A6F3D" w:rsidRPr="0054726D" w:rsidRDefault="008A6F3D" w:rsidP="003E66B9">
      <w:pPr>
        <w:tabs>
          <w:tab w:val="left" w:pos="1038"/>
        </w:tabs>
        <w:spacing w:after="0" w:line="360" w:lineRule="auto"/>
        <w:jc w:val="both"/>
        <w:rPr>
          <w:rFonts w:ascii="Arial" w:hAnsi="Arial" w:cs="Arial"/>
          <w:sz w:val="24"/>
          <w:szCs w:val="24"/>
        </w:rPr>
      </w:pPr>
      <w:r>
        <w:rPr>
          <w:rFonts w:ascii="Arial" w:hAnsi="Arial" w:cs="Arial"/>
          <w:sz w:val="24"/>
          <w:szCs w:val="24"/>
        </w:rPr>
        <w:tab/>
      </w:r>
      <w:r w:rsidRPr="008A6F3D">
        <w:rPr>
          <w:rFonts w:ascii="Arial" w:hAnsi="Arial" w:cs="Arial"/>
          <w:sz w:val="24"/>
          <w:szCs w:val="24"/>
        </w:rPr>
        <w:t xml:space="preserve">Os resultados obtidos </w:t>
      </w:r>
      <w:r>
        <w:rPr>
          <w:rFonts w:ascii="Arial" w:hAnsi="Arial" w:cs="Arial"/>
          <w:sz w:val="24"/>
          <w:szCs w:val="24"/>
        </w:rPr>
        <w:t xml:space="preserve">com este trabalho </w:t>
      </w:r>
      <w:r w:rsidRPr="008A6F3D">
        <w:rPr>
          <w:rFonts w:ascii="Arial" w:hAnsi="Arial" w:cs="Arial"/>
          <w:sz w:val="24"/>
          <w:szCs w:val="24"/>
        </w:rPr>
        <w:t xml:space="preserve">indicam que o simples aumento </w:t>
      </w:r>
      <w:r>
        <w:rPr>
          <w:rFonts w:ascii="Arial" w:hAnsi="Arial" w:cs="Arial"/>
          <w:sz w:val="24"/>
          <w:szCs w:val="24"/>
        </w:rPr>
        <w:t>n</w:t>
      </w:r>
      <w:r w:rsidRPr="008A6F3D">
        <w:rPr>
          <w:rFonts w:ascii="Arial" w:hAnsi="Arial" w:cs="Arial"/>
          <w:sz w:val="24"/>
          <w:szCs w:val="24"/>
        </w:rPr>
        <w:t xml:space="preserve">os gastos </w:t>
      </w:r>
      <w:r>
        <w:rPr>
          <w:rFonts w:ascii="Arial" w:hAnsi="Arial" w:cs="Arial"/>
          <w:sz w:val="24"/>
          <w:szCs w:val="24"/>
        </w:rPr>
        <w:t>estaduais</w:t>
      </w:r>
      <w:r w:rsidRPr="008A6F3D">
        <w:rPr>
          <w:rFonts w:ascii="Arial" w:hAnsi="Arial" w:cs="Arial"/>
          <w:sz w:val="24"/>
          <w:szCs w:val="24"/>
        </w:rPr>
        <w:t xml:space="preserve"> com </w:t>
      </w:r>
      <w:r>
        <w:rPr>
          <w:rFonts w:ascii="Arial" w:hAnsi="Arial" w:cs="Arial"/>
          <w:sz w:val="24"/>
          <w:szCs w:val="24"/>
        </w:rPr>
        <w:t>segurança pública</w:t>
      </w:r>
      <w:r w:rsidRPr="008A6F3D">
        <w:rPr>
          <w:rFonts w:ascii="Arial" w:hAnsi="Arial" w:cs="Arial"/>
          <w:sz w:val="24"/>
          <w:szCs w:val="24"/>
        </w:rPr>
        <w:t xml:space="preserve"> não garante a melhoria </w:t>
      </w:r>
      <w:r>
        <w:rPr>
          <w:rFonts w:ascii="Arial" w:hAnsi="Arial" w:cs="Arial"/>
          <w:sz w:val="24"/>
          <w:szCs w:val="24"/>
        </w:rPr>
        <w:t>dos índices de violência e criminalidade</w:t>
      </w:r>
      <w:r w:rsidRPr="008A6F3D">
        <w:rPr>
          <w:rFonts w:ascii="Arial" w:hAnsi="Arial" w:cs="Arial"/>
          <w:sz w:val="24"/>
          <w:szCs w:val="24"/>
        </w:rPr>
        <w:t xml:space="preserve">. </w:t>
      </w:r>
      <w:r w:rsidR="000F75F4">
        <w:rPr>
          <w:rFonts w:ascii="Arial" w:hAnsi="Arial" w:cs="Arial"/>
          <w:sz w:val="24"/>
          <w:szCs w:val="24"/>
        </w:rPr>
        <w:t>Certamente</w:t>
      </w:r>
      <w:r w:rsidRPr="008A6F3D">
        <w:rPr>
          <w:rFonts w:ascii="Arial" w:hAnsi="Arial" w:cs="Arial"/>
          <w:sz w:val="24"/>
          <w:szCs w:val="24"/>
        </w:rPr>
        <w:t xml:space="preserve">, a partir desta conclusão não se pretende afirmar que sem </w:t>
      </w:r>
      <w:r w:rsidR="00D62666">
        <w:rPr>
          <w:rFonts w:ascii="Arial" w:hAnsi="Arial" w:cs="Arial"/>
          <w:sz w:val="24"/>
          <w:szCs w:val="24"/>
        </w:rPr>
        <w:t xml:space="preserve">o </w:t>
      </w:r>
      <w:r w:rsidR="00CA01FC">
        <w:rPr>
          <w:rFonts w:ascii="Arial" w:hAnsi="Arial" w:cs="Arial"/>
          <w:sz w:val="24"/>
          <w:szCs w:val="24"/>
        </w:rPr>
        <w:t>aumento de despesa</w:t>
      </w:r>
      <w:r w:rsidRPr="008A6F3D">
        <w:rPr>
          <w:rFonts w:ascii="Arial" w:hAnsi="Arial" w:cs="Arial"/>
          <w:sz w:val="24"/>
          <w:szCs w:val="24"/>
        </w:rPr>
        <w:t xml:space="preserve"> é possível atingir </w:t>
      </w:r>
      <w:r w:rsidR="00390417">
        <w:rPr>
          <w:rFonts w:ascii="Arial" w:hAnsi="Arial" w:cs="Arial"/>
          <w:sz w:val="24"/>
          <w:szCs w:val="24"/>
        </w:rPr>
        <w:t>os índices esperados. Desta forma, mais importante que aumentar os gastos é identificar</w:t>
      </w:r>
      <w:r w:rsidR="00CA01FC">
        <w:rPr>
          <w:rFonts w:ascii="Arial" w:hAnsi="Arial" w:cs="Arial"/>
          <w:sz w:val="24"/>
          <w:szCs w:val="24"/>
        </w:rPr>
        <w:t>,</w:t>
      </w:r>
      <w:r w:rsidR="00390417">
        <w:rPr>
          <w:rFonts w:ascii="Arial" w:hAnsi="Arial" w:cs="Arial"/>
          <w:sz w:val="24"/>
          <w:szCs w:val="24"/>
        </w:rPr>
        <w:t xml:space="preserve"> de forma planejada e integrada</w:t>
      </w:r>
      <w:r w:rsidR="00CA01FC">
        <w:rPr>
          <w:rFonts w:ascii="Arial" w:hAnsi="Arial" w:cs="Arial"/>
          <w:sz w:val="24"/>
          <w:szCs w:val="24"/>
        </w:rPr>
        <w:t>,</w:t>
      </w:r>
      <w:r w:rsidR="00390417">
        <w:rPr>
          <w:rFonts w:ascii="Arial" w:hAnsi="Arial" w:cs="Arial"/>
          <w:sz w:val="24"/>
          <w:szCs w:val="24"/>
        </w:rPr>
        <w:t xml:space="preserve"> as prioridades que promovam as mudanças necessárias</w:t>
      </w:r>
      <w:r w:rsidR="004D0A09">
        <w:rPr>
          <w:rFonts w:ascii="Arial" w:hAnsi="Arial" w:cs="Arial"/>
          <w:sz w:val="24"/>
          <w:szCs w:val="24"/>
        </w:rPr>
        <w:t xml:space="preserve"> para alcançar os objetivos e metas estipuladas.</w:t>
      </w:r>
    </w:p>
    <w:p w:rsidR="004E3B3D" w:rsidRPr="003E66B9" w:rsidRDefault="004E3B3D" w:rsidP="003E66B9">
      <w:pPr>
        <w:tabs>
          <w:tab w:val="left" w:pos="1038"/>
        </w:tabs>
        <w:spacing w:after="0" w:line="360" w:lineRule="auto"/>
        <w:jc w:val="both"/>
        <w:rPr>
          <w:rFonts w:ascii="Arial" w:hAnsi="Arial" w:cs="Arial"/>
          <w:sz w:val="24"/>
          <w:szCs w:val="24"/>
        </w:rPr>
      </w:pPr>
      <w:r w:rsidRPr="0054726D">
        <w:rPr>
          <w:rFonts w:ascii="Arial" w:hAnsi="Arial" w:cs="Arial"/>
          <w:sz w:val="24"/>
          <w:szCs w:val="24"/>
        </w:rPr>
        <w:tab/>
      </w:r>
    </w:p>
    <w:p w:rsidR="00A963C3" w:rsidRPr="003E66B9" w:rsidRDefault="00A963C3" w:rsidP="00A963C3">
      <w:pPr>
        <w:tabs>
          <w:tab w:val="left" w:pos="1038"/>
        </w:tabs>
        <w:spacing w:after="0" w:line="360" w:lineRule="auto"/>
        <w:rPr>
          <w:rFonts w:ascii="Arial" w:hAnsi="Arial" w:cs="Arial"/>
          <w:b/>
          <w:sz w:val="24"/>
          <w:szCs w:val="24"/>
        </w:rPr>
      </w:pPr>
    </w:p>
    <w:p w:rsidR="00A963C3" w:rsidRPr="003E66B9" w:rsidRDefault="00A963C3" w:rsidP="00A963C3">
      <w:pPr>
        <w:tabs>
          <w:tab w:val="left" w:pos="1038"/>
        </w:tabs>
        <w:spacing w:after="0" w:line="360" w:lineRule="auto"/>
        <w:rPr>
          <w:rFonts w:ascii="Arial" w:hAnsi="Arial" w:cs="Arial"/>
          <w:b/>
          <w:sz w:val="24"/>
          <w:szCs w:val="24"/>
        </w:rPr>
      </w:pPr>
    </w:p>
    <w:p w:rsidR="00A963C3" w:rsidRPr="003E66B9" w:rsidRDefault="00A963C3" w:rsidP="00A963C3">
      <w:pPr>
        <w:tabs>
          <w:tab w:val="left" w:pos="1038"/>
        </w:tabs>
        <w:spacing w:after="0" w:line="360" w:lineRule="auto"/>
        <w:rPr>
          <w:rFonts w:ascii="Arial" w:hAnsi="Arial" w:cs="Arial"/>
          <w:b/>
          <w:sz w:val="24"/>
          <w:szCs w:val="24"/>
        </w:rPr>
      </w:pPr>
    </w:p>
    <w:p w:rsidR="00033DEA" w:rsidRDefault="00033DEA" w:rsidP="00A963C3">
      <w:pPr>
        <w:spacing w:after="0" w:line="360" w:lineRule="auto"/>
        <w:jc w:val="both"/>
        <w:rPr>
          <w:rFonts w:ascii="Arial" w:hAnsi="Arial" w:cs="Arial"/>
          <w:sz w:val="20"/>
          <w:szCs w:val="20"/>
        </w:rPr>
      </w:pPr>
    </w:p>
    <w:p w:rsidR="00033DEA" w:rsidRDefault="00033DEA" w:rsidP="00A963C3">
      <w:pPr>
        <w:spacing w:after="0" w:line="360" w:lineRule="auto"/>
        <w:jc w:val="both"/>
        <w:rPr>
          <w:rFonts w:ascii="Arial" w:hAnsi="Arial" w:cs="Arial"/>
          <w:sz w:val="20"/>
          <w:szCs w:val="20"/>
        </w:rPr>
      </w:pPr>
    </w:p>
    <w:p w:rsidR="00033DEA" w:rsidRDefault="00033DEA" w:rsidP="00A963C3">
      <w:pPr>
        <w:spacing w:after="0" w:line="360" w:lineRule="auto"/>
        <w:jc w:val="both"/>
        <w:rPr>
          <w:rFonts w:ascii="Arial" w:hAnsi="Arial" w:cs="Arial"/>
          <w:sz w:val="20"/>
          <w:szCs w:val="20"/>
        </w:rPr>
      </w:pPr>
    </w:p>
    <w:p w:rsidR="00033DEA" w:rsidRDefault="00033DEA" w:rsidP="00A963C3">
      <w:pPr>
        <w:spacing w:after="0" w:line="360" w:lineRule="auto"/>
        <w:jc w:val="both"/>
        <w:rPr>
          <w:rFonts w:ascii="Arial" w:hAnsi="Arial" w:cs="Arial"/>
          <w:sz w:val="20"/>
          <w:szCs w:val="20"/>
        </w:rPr>
      </w:pPr>
    </w:p>
    <w:p w:rsidR="00033DEA" w:rsidRDefault="00033DEA" w:rsidP="00A963C3">
      <w:pPr>
        <w:spacing w:after="0" w:line="36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4D0A09" w:rsidRDefault="004D0A09"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033DEA" w:rsidRDefault="00033DEA" w:rsidP="004812DD">
      <w:pPr>
        <w:spacing w:after="0" w:line="240" w:lineRule="auto"/>
        <w:jc w:val="both"/>
        <w:rPr>
          <w:rFonts w:ascii="Arial" w:hAnsi="Arial" w:cs="Arial"/>
          <w:sz w:val="20"/>
          <w:szCs w:val="20"/>
        </w:rPr>
      </w:pPr>
    </w:p>
    <w:p w:rsidR="005C5360" w:rsidRDefault="005C5360" w:rsidP="005C5360">
      <w:pPr>
        <w:tabs>
          <w:tab w:val="left" w:pos="1038"/>
        </w:tabs>
        <w:spacing w:line="360" w:lineRule="auto"/>
        <w:rPr>
          <w:rFonts w:ascii="Arial" w:hAnsi="Arial" w:cs="Arial"/>
          <w:b/>
          <w:sz w:val="24"/>
          <w:szCs w:val="24"/>
        </w:rPr>
      </w:pPr>
      <w:r>
        <w:rPr>
          <w:rFonts w:ascii="Arial" w:hAnsi="Arial" w:cs="Arial"/>
          <w:b/>
          <w:sz w:val="24"/>
          <w:szCs w:val="24"/>
        </w:rPr>
        <w:lastRenderedPageBreak/>
        <w:t>REFERÊNCIAS</w:t>
      </w:r>
    </w:p>
    <w:p w:rsidR="00D62666" w:rsidRPr="00D62666" w:rsidRDefault="00D62666" w:rsidP="00D62666">
      <w:pPr>
        <w:tabs>
          <w:tab w:val="left" w:pos="1038"/>
        </w:tabs>
        <w:spacing w:line="240" w:lineRule="auto"/>
        <w:jc w:val="both"/>
        <w:rPr>
          <w:rFonts w:ascii="Arial" w:hAnsi="Arial" w:cs="Arial"/>
          <w:sz w:val="24"/>
          <w:szCs w:val="24"/>
        </w:rPr>
      </w:pPr>
      <w:r w:rsidRPr="00D62666">
        <w:rPr>
          <w:rFonts w:ascii="Arial" w:hAnsi="Arial" w:cs="Arial"/>
          <w:sz w:val="24"/>
          <w:szCs w:val="24"/>
        </w:rPr>
        <w:t>BELTRAME</w:t>
      </w:r>
      <w:r>
        <w:rPr>
          <w:rFonts w:ascii="Arial" w:hAnsi="Arial" w:cs="Arial"/>
          <w:sz w:val="24"/>
          <w:szCs w:val="24"/>
        </w:rPr>
        <w:t xml:space="preserve">, José Mariano; GARCIA, Sérgio Henrique. </w:t>
      </w:r>
      <w:r w:rsidRPr="00D62666">
        <w:rPr>
          <w:rFonts w:ascii="Arial" w:hAnsi="Arial" w:cs="Arial"/>
          <w:b/>
          <w:sz w:val="24"/>
          <w:szCs w:val="24"/>
        </w:rPr>
        <w:t>Todo dia é segunda-feira</w:t>
      </w:r>
      <w:r>
        <w:rPr>
          <w:rFonts w:ascii="Arial" w:hAnsi="Arial" w:cs="Arial"/>
          <w:sz w:val="24"/>
          <w:szCs w:val="24"/>
        </w:rPr>
        <w:t>. Rio de Janeiro: Sextante, 2014</w:t>
      </w:r>
    </w:p>
    <w:p w:rsidR="005C5360" w:rsidRDefault="00033DEA" w:rsidP="000B7D62">
      <w:pPr>
        <w:spacing w:after="0" w:line="240" w:lineRule="auto"/>
        <w:jc w:val="both"/>
        <w:rPr>
          <w:rFonts w:ascii="Arial" w:hAnsi="Arial" w:cs="Arial"/>
          <w:sz w:val="24"/>
        </w:rPr>
      </w:pPr>
      <w:r w:rsidRPr="000B7D62">
        <w:rPr>
          <w:rFonts w:ascii="Arial" w:hAnsi="Arial" w:cs="Arial"/>
          <w:sz w:val="24"/>
        </w:rPr>
        <w:t xml:space="preserve">COSTA, A.; GROSSI, B. Relações intergovernamentais e segurança pública: uma análise do fundo nacional de segurança pública. </w:t>
      </w:r>
      <w:r w:rsidRPr="000B7D62">
        <w:rPr>
          <w:rFonts w:ascii="Arial" w:hAnsi="Arial" w:cs="Arial"/>
          <w:b/>
          <w:sz w:val="24"/>
        </w:rPr>
        <w:t>Revista Brasileira de Segurança Pública</w:t>
      </w:r>
      <w:r w:rsidRPr="000B7D62">
        <w:rPr>
          <w:rFonts w:ascii="Arial" w:hAnsi="Arial" w:cs="Arial"/>
          <w:sz w:val="24"/>
        </w:rPr>
        <w:t>, Brasília, n. 1, p. 12, 2007.</w:t>
      </w:r>
    </w:p>
    <w:p w:rsidR="000B7D62" w:rsidRPr="005C5360" w:rsidRDefault="000B7D62" w:rsidP="000B7D62">
      <w:pPr>
        <w:spacing w:after="0" w:line="240" w:lineRule="auto"/>
        <w:jc w:val="both"/>
        <w:rPr>
          <w:rFonts w:ascii="Arial" w:hAnsi="Arial" w:cs="Arial"/>
          <w:sz w:val="24"/>
        </w:rPr>
      </w:pPr>
    </w:p>
    <w:p w:rsidR="005C5360" w:rsidRPr="000B7D62" w:rsidRDefault="005C5360"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São Paulo, Ano 1, 2007. Disponível em: &lt;</w:t>
      </w:r>
      <w:r w:rsidR="00D17189" w:rsidRPr="00D17189">
        <w:rPr>
          <w:rFonts w:ascii="Arial" w:hAnsi="Arial" w:cs="Arial"/>
          <w:sz w:val="24"/>
        </w:rPr>
        <w:t>http://www.forumseguranca.org.br/publicacoes</w:t>
      </w:r>
      <w:r w:rsidRPr="000B7D62">
        <w:rPr>
          <w:rFonts w:ascii="Arial" w:hAnsi="Arial" w:cs="Arial"/>
          <w:sz w:val="24"/>
        </w:rPr>
        <w:t>&gt;. Acesso em 08</w:t>
      </w:r>
      <w:r w:rsidR="00F901CA">
        <w:rPr>
          <w:rFonts w:ascii="Arial" w:hAnsi="Arial" w:cs="Arial"/>
          <w:sz w:val="24"/>
        </w:rPr>
        <w:t>/05/</w:t>
      </w:r>
      <w:r w:rsidRPr="000B7D62">
        <w:rPr>
          <w:rFonts w:ascii="Arial" w:hAnsi="Arial" w:cs="Arial"/>
          <w:sz w:val="24"/>
        </w:rPr>
        <w:t>201</w:t>
      </w:r>
      <w:r w:rsidR="00F901CA">
        <w:rPr>
          <w:rFonts w:ascii="Arial" w:hAnsi="Arial" w:cs="Arial"/>
          <w:sz w:val="24"/>
        </w:rPr>
        <w:t>4</w:t>
      </w:r>
      <w:r w:rsidRPr="000B7D62">
        <w:rPr>
          <w:rFonts w:ascii="Arial" w:hAnsi="Arial" w:cs="Arial"/>
          <w:sz w:val="24"/>
        </w:rPr>
        <w:t>.</w:t>
      </w:r>
    </w:p>
    <w:p w:rsidR="005C5360" w:rsidRPr="00AD27DC" w:rsidRDefault="005C5360" w:rsidP="005C5360">
      <w:pPr>
        <w:pStyle w:val="PargrafodaLista"/>
        <w:spacing w:after="0" w:line="240" w:lineRule="auto"/>
        <w:ind w:left="540"/>
        <w:jc w:val="both"/>
        <w:rPr>
          <w:rFonts w:ascii="Arial" w:hAnsi="Arial" w:cs="Arial"/>
          <w:sz w:val="24"/>
        </w:rPr>
      </w:pPr>
    </w:p>
    <w:p w:rsidR="00033DEA" w:rsidRPr="000B7D62" w:rsidRDefault="00033DEA"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xml:space="preserve">. São Paulo, Ano </w:t>
      </w:r>
      <w:r w:rsidR="005C5360" w:rsidRPr="000B7D62">
        <w:rPr>
          <w:rFonts w:ascii="Arial" w:hAnsi="Arial" w:cs="Arial"/>
          <w:sz w:val="24"/>
        </w:rPr>
        <w:t>2</w:t>
      </w:r>
      <w:r w:rsidRPr="000B7D62">
        <w:rPr>
          <w:rFonts w:ascii="Arial" w:hAnsi="Arial" w:cs="Arial"/>
          <w:sz w:val="24"/>
        </w:rPr>
        <w:t>, 20</w:t>
      </w:r>
      <w:r w:rsidR="005C5360" w:rsidRPr="000B7D62">
        <w:rPr>
          <w:rFonts w:ascii="Arial" w:hAnsi="Arial" w:cs="Arial"/>
          <w:sz w:val="24"/>
        </w:rPr>
        <w:t>08</w:t>
      </w:r>
      <w:r w:rsidRPr="000B7D62">
        <w:rPr>
          <w:rFonts w:ascii="Arial" w:hAnsi="Arial" w:cs="Arial"/>
          <w:sz w:val="24"/>
        </w:rPr>
        <w:t>. Disponível em: &lt;</w:t>
      </w:r>
      <w:r w:rsidR="00D17189" w:rsidRPr="00D17189">
        <w:rPr>
          <w:rFonts w:ascii="Arial" w:hAnsi="Arial" w:cs="Arial"/>
          <w:sz w:val="24"/>
        </w:rPr>
        <w:t>http://www.forumseguranca.org.br/publicacoes</w:t>
      </w:r>
      <w:r w:rsidRPr="000B7D62">
        <w:rPr>
          <w:rFonts w:ascii="Arial" w:hAnsi="Arial" w:cs="Arial"/>
          <w:sz w:val="24"/>
        </w:rPr>
        <w:t xml:space="preserve">&gt;. Acesso em </w:t>
      </w:r>
      <w:r w:rsidR="00F901CA" w:rsidRPr="000B7D62">
        <w:rPr>
          <w:rFonts w:ascii="Arial" w:hAnsi="Arial" w:cs="Arial"/>
          <w:sz w:val="24"/>
        </w:rPr>
        <w:t>08</w:t>
      </w:r>
      <w:r w:rsidR="00F901CA">
        <w:rPr>
          <w:rFonts w:ascii="Arial" w:hAnsi="Arial" w:cs="Arial"/>
          <w:sz w:val="24"/>
        </w:rPr>
        <w:t>/05/</w:t>
      </w:r>
      <w:r w:rsidR="00F901CA" w:rsidRPr="000B7D62">
        <w:rPr>
          <w:rFonts w:ascii="Arial" w:hAnsi="Arial" w:cs="Arial"/>
          <w:sz w:val="24"/>
        </w:rPr>
        <w:t>201</w:t>
      </w:r>
      <w:r w:rsidR="00F901CA">
        <w:rPr>
          <w:rFonts w:ascii="Arial" w:hAnsi="Arial" w:cs="Arial"/>
          <w:sz w:val="24"/>
        </w:rPr>
        <w:t>4</w:t>
      </w:r>
      <w:r w:rsidRPr="000B7D62">
        <w:rPr>
          <w:rFonts w:ascii="Arial" w:hAnsi="Arial" w:cs="Arial"/>
          <w:sz w:val="24"/>
        </w:rPr>
        <w:t>.</w:t>
      </w:r>
    </w:p>
    <w:p w:rsidR="000B7D62" w:rsidRDefault="000B7D62" w:rsidP="000B7D62">
      <w:pPr>
        <w:spacing w:after="0" w:line="240" w:lineRule="auto"/>
        <w:jc w:val="both"/>
        <w:rPr>
          <w:rFonts w:ascii="Arial" w:hAnsi="Arial" w:cs="Arial"/>
          <w:sz w:val="24"/>
        </w:rPr>
      </w:pPr>
    </w:p>
    <w:p w:rsidR="00033DEA" w:rsidRPr="000B7D62" w:rsidRDefault="00033DEA"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xml:space="preserve">. São Paulo, Ano </w:t>
      </w:r>
      <w:r w:rsidR="005C5360" w:rsidRPr="000B7D62">
        <w:rPr>
          <w:rFonts w:ascii="Arial" w:hAnsi="Arial" w:cs="Arial"/>
          <w:sz w:val="24"/>
        </w:rPr>
        <w:t>3</w:t>
      </w:r>
      <w:r w:rsidRPr="000B7D62">
        <w:rPr>
          <w:rFonts w:ascii="Arial" w:hAnsi="Arial" w:cs="Arial"/>
          <w:sz w:val="24"/>
        </w:rPr>
        <w:t>, 20</w:t>
      </w:r>
      <w:r w:rsidR="005C5360" w:rsidRPr="000B7D62">
        <w:rPr>
          <w:rFonts w:ascii="Arial" w:hAnsi="Arial" w:cs="Arial"/>
          <w:sz w:val="24"/>
        </w:rPr>
        <w:t>09</w:t>
      </w:r>
      <w:r w:rsidRPr="000B7D62">
        <w:rPr>
          <w:rFonts w:ascii="Arial" w:hAnsi="Arial" w:cs="Arial"/>
          <w:sz w:val="24"/>
        </w:rPr>
        <w:t xml:space="preserve">. Disponível em: </w:t>
      </w:r>
      <w:r w:rsidR="00F901CA" w:rsidRPr="000B7D62">
        <w:rPr>
          <w:rFonts w:ascii="Arial" w:hAnsi="Arial" w:cs="Arial"/>
          <w:sz w:val="24"/>
        </w:rPr>
        <w:t>&lt;</w:t>
      </w:r>
      <w:r w:rsidR="00D17189" w:rsidRPr="00D17189">
        <w:rPr>
          <w:rFonts w:ascii="Arial" w:hAnsi="Arial" w:cs="Arial"/>
          <w:sz w:val="24"/>
        </w:rPr>
        <w:t>http://www.forumseguranca.org.br/publicacoes</w:t>
      </w:r>
      <w:r w:rsidR="00F901CA" w:rsidRPr="000B7D62">
        <w:rPr>
          <w:rFonts w:ascii="Arial" w:hAnsi="Arial" w:cs="Arial"/>
          <w:sz w:val="24"/>
        </w:rPr>
        <w:t>&gt;</w:t>
      </w:r>
      <w:r w:rsidRPr="000B7D62">
        <w:rPr>
          <w:rFonts w:ascii="Arial" w:hAnsi="Arial" w:cs="Arial"/>
          <w:sz w:val="24"/>
        </w:rPr>
        <w:t xml:space="preserve">. Acesso em </w:t>
      </w:r>
      <w:r w:rsidR="00F901CA">
        <w:rPr>
          <w:rFonts w:ascii="Arial" w:hAnsi="Arial" w:cs="Arial"/>
          <w:sz w:val="24"/>
        </w:rPr>
        <w:t>10/05/201</w:t>
      </w:r>
      <w:r w:rsidR="00D17189">
        <w:rPr>
          <w:rFonts w:ascii="Arial" w:hAnsi="Arial" w:cs="Arial"/>
          <w:sz w:val="24"/>
        </w:rPr>
        <w:t>4</w:t>
      </w:r>
      <w:r w:rsidRPr="000B7D62">
        <w:rPr>
          <w:rFonts w:ascii="Arial" w:hAnsi="Arial" w:cs="Arial"/>
          <w:sz w:val="24"/>
        </w:rPr>
        <w:t>.</w:t>
      </w:r>
    </w:p>
    <w:p w:rsidR="000B7D62" w:rsidRDefault="000B7D62" w:rsidP="000B7D62">
      <w:pPr>
        <w:spacing w:after="0" w:line="240" w:lineRule="auto"/>
        <w:jc w:val="both"/>
        <w:rPr>
          <w:rFonts w:ascii="Arial" w:hAnsi="Arial" w:cs="Arial"/>
          <w:sz w:val="24"/>
        </w:rPr>
      </w:pPr>
    </w:p>
    <w:p w:rsidR="005C5360" w:rsidRPr="000B7D62" w:rsidRDefault="005C5360"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São Paulo, Ano 4, 2009. Disponível em: &lt;</w:t>
      </w:r>
      <w:r w:rsidR="00D17189" w:rsidRPr="00D17189">
        <w:rPr>
          <w:rFonts w:ascii="Arial" w:hAnsi="Arial" w:cs="Arial"/>
          <w:sz w:val="24"/>
        </w:rPr>
        <w:t>http://www.forumseguranca.org.br/publicacoes</w:t>
      </w:r>
      <w:r w:rsidRPr="000B7D62">
        <w:rPr>
          <w:rFonts w:ascii="Arial" w:hAnsi="Arial" w:cs="Arial"/>
          <w:sz w:val="24"/>
        </w:rPr>
        <w:t xml:space="preserve">&gt;. Acesso em </w:t>
      </w:r>
      <w:r w:rsidR="00D17189">
        <w:rPr>
          <w:rFonts w:ascii="Arial" w:hAnsi="Arial" w:cs="Arial"/>
          <w:sz w:val="24"/>
        </w:rPr>
        <w:t>10/05/</w:t>
      </w:r>
      <w:r w:rsidRPr="000B7D62">
        <w:rPr>
          <w:rFonts w:ascii="Arial" w:hAnsi="Arial" w:cs="Arial"/>
          <w:sz w:val="24"/>
        </w:rPr>
        <w:t>201</w:t>
      </w:r>
      <w:r w:rsidR="00D17189">
        <w:rPr>
          <w:rFonts w:ascii="Arial" w:hAnsi="Arial" w:cs="Arial"/>
          <w:sz w:val="24"/>
        </w:rPr>
        <w:t>4</w:t>
      </w:r>
      <w:r w:rsidRPr="000B7D62">
        <w:rPr>
          <w:rFonts w:ascii="Arial" w:hAnsi="Arial" w:cs="Arial"/>
          <w:sz w:val="24"/>
        </w:rPr>
        <w:t>.</w:t>
      </w:r>
    </w:p>
    <w:p w:rsidR="000B7D62" w:rsidRDefault="000B7D62" w:rsidP="000B7D62">
      <w:pPr>
        <w:spacing w:after="0" w:line="240" w:lineRule="auto"/>
        <w:jc w:val="both"/>
        <w:rPr>
          <w:rFonts w:ascii="Arial" w:hAnsi="Arial" w:cs="Arial"/>
          <w:sz w:val="24"/>
        </w:rPr>
      </w:pPr>
    </w:p>
    <w:p w:rsidR="005C5360" w:rsidRPr="000B7D62" w:rsidRDefault="005C5360"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São Paulo, Ano 5, 2010. Disponível em: &lt;</w:t>
      </w:r>
      <w:r w:rsidR="00D17189" w:rsidRPr="00D17189">
        <w:rPr>
          <w:rFonts w:ascii="Arial" w:hAnsi="Arial" w:cs="Arial"/>
          <w:sz w:val="24"/>
        </w:rPr>
        <w:t>http://www.forumseguranca.org.br/publicacoes</w:t>
      </w:r>
      <w:r w:rsidRPr="000B7D62">
        <w:rPr>
          <w:rFonts w:ascii="Arial" w:hAnsi="Arial" w:cs="Arial"/>
          <w:sz w:val="24"/>
        </w:rPr>
        <w:t xml:space="preserve">&gt;. Acesso em </w:t>
      </w:r>
      <w:r w:rsidR="00D17189">
        <w:rPr>
          <w:rFonts w:ascii="Arial" w:hAnsi="Arial" w:cs="Arial"/>
          <w:sz w:val="24"/>
        </w:rPr>
        <w:t>10/05/</w:t>
      </w:r>
      <w:r w:rsidR="00D17189" w:rsidRPr="000B7D62">
        <w:rPr>
          <w:rFonts w:ascii="Arial" w:hAnsi="Arial" w:cs="Arial"/>
          <w:sz w:val="24"/>
        </w:rPr>
        <w:t>201</w:t>
      </w:r>
      <w:r w:rsidR="00D17189">
        <w:rPr>
          <w:rFonts w:ascii="Arial" w:hAnsi="Arial" w:cs="Arial"/>
          <w:sz w:val="24"/>
        </w:rPr>
        <w:t>4</w:t>
      </w:r>
      <w:r w:rsidRPr="000B7D62">
        <w:rPr>
          <w:rFonts w:ascii="Arial" w:hAnsi="Arial" w:cs="Arial"/>
          <w:sz w:val="24"/>
        </w:rPr>
        <w:t>.</w:t>
      </w:r>
    </w:p>
    <w:p w:rsidR="000B7D62" w:rsidRDefault="000B7D62" w:rsidP="000B7D62">
      <w:pPr>
        <w:spacing w:after="0" w:line="240" w:lineRule="auto"/>
        <w:jc w:val="both"/>
        <w:rPr>
          <w:rFonts w:ascii="Arial" w:hAnsi="Arial" w:cs="Arial"/>
          <w:sz w:val="24"/>
        </w:rPr>
      </w:pPr>
    </w:p>
    <w:p w:rsidR="005C5360" w:rsidRPr="000B7D62" w:rsidRDefault="005C5360"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São Paulo, Ano 6, 2011. Disponível em: &lt;</w:t>
      </w:r>
      <w:r w:rsidR="00D17189" w:rsidRPr="00D17189">
        <w:rPr>
          <w:rFonts w:ascii="Arial" w:hAnsi="Arial" w:cs="Arial"/>
          <w:sz w:val="24"/>
        </w:rPr>
        <w:t>http://www.forumseguranca.org.br/publicacoes</w:t>
      </w:r>
      <w:r w:rsidRPr="000B7D62">
        <w:rPr>
          <w:rFonts w:ascii="Arial" w:hAnsi="Arial" w:cs="Arial"/>
          <w:sz w:val="24"/>
        </w:rPr>
        <w:t xml:space="preserve">&gt;. Acesso em </w:t>
      </w:r>
      <w:r w:rsidR="00D17189">
        <w:rPr>
          <w:rFonts w:ascii="Arial" w:hAnsi="Arial" w:cs="Arial"/>
          <w:sz w:val="24"/>
        </w:rPr>
        <w:t>12/05/</w:t>
      </w:r>
      <w:r w:rsidR="00D17189" w:rsidRPr="000B7D62">
        <w:rPr>
          <w:rFonts w:ascii="Arial" w:hAnsi="Arial" w:cs="Arial"/>
          <w:sz w:val="24"/>
        </w:rPr>
        <w:t>201</w:t>
      </w:r>
      <w:r w:rsidR="00D17189">
        <w:rPr>
          <w:rFonts w:ascii="Arial" w:hAnsi="Arial" w:cs="Arial"/>
          <w:sz w:val="24"/>
        </w:rPr>
        <w:t>4</w:t>
      </w:r>
      <w:r w:rsidRPr="000B7D62">
        <w:rPr>
          <w:rFonts w:ascii="Arial" w:hAnsi="Arial" w:cs="Arial"/>
          <w:sz w:val="24"/>
        </w:rPr>
        <w:t>.</w:t>
      </w:r>
    </w:p>
    <w:p w:rsidR="000B7D62" w:rsidRDefault="000B7D62" w:rsidP="000B7D62">
      <w:pPr>
        <w:spacing w:after="0" w:line="240" w:lineRule="auto"/>
        <w:jc w:val="both"/>
        <w:rPr>
          <w:rFonts w:ascii="Arial" w:hAnsi="Arial" w:cs="Arial"/>
          <w:sz w:val="24"/>
        </w:rPr>
      </w:pPr>
    </w:p>
    <w:p w:rsidR="005C5360" w:rsidRPr="000B7D62" w:rsidRDefault="005C5360" w:rsidP="000B7D62">
      <w:pPr>
        <w:spacing w:after="0" w:line="240" w:lineRule="auto"/>
        <w:jc w:val="both"/>
        <w:rPr>
          <w:rFonts w:ascii="Arial" w:hAnsi="Arial" w:cs="Arial"/>
          <w:sz w:val="24"/>
        </w:rPr>
      </w:pPr>
      <w:r w:rsidRPr="000B7D62">
        <w:rPr>
          <w:rFonts w:ascii="Arial" w:hAnsi="Arial" w:cs="Arial"/>
          <w:sz w:val="24"/>
        </w:rPr>
        <w:t xml:space="preserve">FORUM BRASILEIRO DE SEGURANÇA PÚBLICA. </w:t>
      </w:r>
      <w:r w:rsidRPr="000B7D62">
        <w:rPr>
          <w:rFonts w:ascii="Arial" w:hAnsi="Arial" w:cs="Arial"/>
          <w:b/>
          <w:sz w:val="24"/>
        </w:rPr>
        <w:t>Anuário do Fórum Brasileiro de Segurança Pública</w:t>
      </w:r>
      <w:r w:rsidRPr="000B7D62">
        <w:rPr>
          <w:rFonts w:ascii="Arial" w:hAnsi="Arial" w:cs="Arial"/>
          <w:sz w:val="24"/>
        </w:rPr>
        <w:t>. São Paulo, Ano 7, 2012. Disponível em: &lt;</w:t>
      </w:r>
      <w:r w:rsidR="00D17189" w:rsidRPr="00D17189">
        <w:rPr>
          <w:rFonts w:ascii="Arial" w:hAnsi="Arial" w:cs="Arial"/>
          <w:sz w:val="24"/>
        </w:rPr>
        <w:t>http://www.forumseguranca.org.br/publicacoes</w:t>
      </w:r>
      <w:r w:rsidRPr="000B7D62">
        <w:rPr>
          <w:rFonts w:ascii="Arial" w:hAnsi="Arial" w:cs="Arial"/>
          <w:sz w:val="24"/>
        </w:rPr>
        <w:t xml:space="preserve">&gt;. Acesso em </w:t>
      </w:r>
      <w:r w:rsidR="00D17189">
        <w:rPr>
          <w:rFonts w:ascii="Arial" w:hAnsi="Arial" w:cs="Arial"/>
          <w:sz w:val="24"/>
        </w:rPr>
        <w:t>14/05/</w:t>
      </w:r>
      <w:r w:rsidR="00D17189" w:rsidRPr="000B7D62">
        <w:rPr>
          <w:rFonts w:ascii="Arial" w:hAnsi="Arial" w:cs="Arial"/>
          <w:sz w:val="24"/>
        </w:rPr>
        <w:t>201</w:t>
      </w:r>
      <w:r w:rsidR="00D17189">
        <w:rPr>
          <w:rFonts w:ascii="Arial" w:hAnsi="Arial" w:cs="Arial"/>
          <w:sz w:val="24"/>
        </w:rPr>
        <w:t>4</w:t>
      </w:r>
      <w:r w:rsidRPr="000B7D62">
        <w:rPr>
          <w:rFonts w:ascii="Arial" w:hAnsi="Arial" w:cs="Arial"/>
          <w:sz w:val="24"/>
        </w:rPr>
        <w:t>.</w:t>
      </w:r>
    </w:p>
    <w:p w:rsidR="005C5360" w:rsidRPr="000B7D62" w:rsidRDefault="005C5360" w:rsidP="000B7D62">
      <w:pPr>
        <w:spacing w:after="0" w:line="240" w:lineRule="auto"/>
        <w:jc w:val="both"/>
        <w:rPr>
          <w:rFonts w:ascii="Arial" w:hAnsi="Arial" w:cs="Arial"/>
          <w:sz w:val="24"/>
        </w:rPr>
      </w:pPr>
    </w:p>
    <w:p w:rsidR="00DB07E0" w:rsidRDefault="00DB07E0" w:rsidP="00D17189">
      <w:pPr>
        <w:spacing w:after="0" w:line="240" w:lineRule="auto"/>
        <w:jc w:val="both"/>
        <w:rPr>
          <w:rFonts w:ascii="Arial" w:hAnsi="Arial" w:cs="Arial"/>
          <w:sz w:val="24"/>
        </w:rPr>
      </w:pPr>
      <w:r>
        <w:rPr>
          <w:rFonts w:ascii="Arial" w:hAnsi="Arial" w:cs="Arial"/>
          <w:sz w:val="24"/>
        </w:rPr>
        <w:t xml:space="preserve">SAPORI, Luis Flavio. </w:t>
      </w:r>
      <w:r w:rsidRPr="00DB07E0">
        <w:rPr>
          <w:rFonts w:ascii="Arial" w:hAnsi="Arial" w:cs="Arial"/>
          <w:b/>
          <w:sz w:val="24"/>
        </w:rPr>
        <w:t>Desigualdade &amp; Diversidade</w:t>
      </w:r>
      <w:r>
        <w:rPr>
          <w:rFonts w:ascii="Arial" w:hAnsi="Arial" w:cs="Arial"/>
          <w:sz w:val="24"/>
        </w:rPr>
        <w:t>. Revista de Ciências Sociais da PUC. Rio de Janeiro - RJ, ago/dez, 2012.</w:t>
      </w:r>
    </w:p>
    <w:p w:rsidR="00927636" w:rsidRDefault="00927636" w:rsidP="00D17189">
      <w:pPr>
        <w:spacing w:after="0" w:line="240" w:lineRule="auto"/>
        <w:jc w:val="both"/>
        <w:rPr>
          <w:rFonts w:ascii="Arial" w:hAnsi="Arial" w:cs="Arial"/>
          <w:sz w:val="24"/>
        </w:rPr>
      </w:pPr>
    </w:p>
    <w:p w:rsidR="00927636" w:rsidRDefault="00927636" w:rsidP="00D17189">
      <w:pPr>
        <w:spacing w:after="0" w:line="240" w:lineRule="auto"/>
        <w:jc w:val="both"/>
        <w:rPr>
          <w:rFonts w:ascii="Arial" w:hAnsi="Arial" w:cs="Arial"/>
          <w:sz w:val="24"/>
        </w:rPr>
      </w:pPr>
      <w:r w:rsidRPr="000B7D62">
        <w:rPr>
          <w:rFonts w:ascii="Arial" w:hAnsi="Arial" w:cs="Arial"/>
          <w:sz w:val="24"/>
        </w:rPr>
        <w:t xml:space="preserve">SAPORI, </w:t>
      </w:r>
      <w:r w:rsidR="00D62666">
        <w:rPr>
          <w:rFonts w:ascii="Arial" w:hAnsi="Arial" w:cs="Arial"/>
          <w:sz w:val="24"/>
        </w:rPr>
        <w:t>Luis Flavio</w:t>
      </w:r>
      <w:r w:rsidRPr="000B7D62">
        <w:rPr>
          <w:rFonts w:ascii="Arial" w:hAnsi="Arial" w:cs="Arial"/>
          <w:sz w:val="24"/>
        </w:rPr>
        <w:t xml:space="preserve">. </w:t>
      </w:r>
      <w:r w:rsidRPr="000B7D62">
        <w:rPr>
          <w:rFonts w:ascii="Arial" w:hAnsi="Arial" w:cs="Arial"/>
          <w:b/>
          <w:sz w:val="24"/>
        </w:rPr>
        <w:t>Segurança pública no Brasil</w:t>
      </w:r>
      <w:r w:rsidRPr="000B7D62">
        <w:rPr>
          <w:rFonts w:ascii="Arial" w:hAnsi="Arial" w:cs="Arial"/>
          <w:sz w:val="24"/>
        </w:rPr>
        <w:t>: desafios e perspectivas. Rio de Janeiro: FGV, 2007.</w:t>
      </w:r>
    </w:p>
    <w:p w:rsidR="00DE47AA" w:rsidRDefault="00DE47AA" w:rsidP="00D17189">
      <w:pPr>
        <w:spacing w:after="0" w:line="240" w:lineRule="auto"/>
        <w:jc w:val="both"/>
        <w:rPr>
          <w:rFonts w:ascii="Arial" w:hAnsi="Arial" w:cs="Arial"/>
          <w:sz w:val="24"/>
        </w:rPr>
      </w:pPr>
    </w:p>
    <w:p w:rsidR="00DE47AA" w:rsidRPr="00A62DE0" w:rsidRDefault="00DE47AA" w:rsidP="00D17189">
      <w:pPr>
        <w:spacing w:after="0" w:line="240" w:lineRule="auto"/>
        <w:jc w:val="both"/>
        <w:rPr>
          <w:rFonts w:ascii="Arial" w:hAnsi="Arial" w:cs="Arial"/>
          <w:sz w:val="24"/>
          <w:lang w:val="en-US"/>
        </w:rPr>
      </w:pPr>
      <w:r w:rsidRPr="000B7D62">
        <w:rPr>
          <w:rFonts w:ascii="Arial" w:hAnsi="Arial" w:cs="Arial"/>
          <w:sz w:val="24"/>
        </w:rPr>
        <w:t xml:space="preserve">SOARES, Luiz Eduardo. </w:t>
      </w:r>
      <w:r w:rsidRPr="000B7D62">
        <w:rPr>
          <w:rFonts w:ascii="Arial" w:hAnsi="Arial" w:cs="Arial"/>
          <w:b/>
          <w:sz w:val="24"/>
        </w:rPr>
        <w:t>Meu Casaco de General</w:t>
      </w:r>
      <w:r w:rsidRPr="000B7D62">
        <w:rPr>
          <w:rFonts w:ascii="Arial" w:hAnsi="Arial" w:cs="Arial"/>
          <w:sz w:val="24"/>
        </w:rPr>
        <w:t xml:space="preserve">: quinhentos dias no front da segurança pública do Rio de Janeiro. </w:t>
      </w:r>
      <w:r w:rsidRPr="00A62DE0">
        <w:rPr>
          <w:rFonts w:ascii="Arial" w:hAnsi="Arial" w:cs="Arial"/>
          <w:sz w:val="24"/>
          <w:lang w:val="en-US"/>
        </w:rPr>
        <w:t>São Paulo:</w:t>
      </w:r>
      <w:r w:rsidRPr="0069448C">
        <w:rPr>
          <w:rFonts w:ascii="Arial" w:hAnsi="Arial" w:cs="Arial"/>
          <w:sz w:val="24"/>
          <w:lang w:val="en-US"/>
        </w:rPr>
        <w:t xml:space="preserve"> Companhia</w:t>
      </w:r>
      <w:r w:rsidRPr="00A62DE0">
        <w:rPr>
          <w:rFonts w:ascii="Arial" w:hAnsi="Arial" w:cs="Arial"/>
          <w:sz w:val="24"/>
          <w:lang w:val="en-US"/>
        </w:rPr>
        <w:t xml:space="preserve"> das Letras, 2000.</w:t>
      </w:r>
    </w:p>
    <w:p w:rsidR="00A91562" w:rsidRPr="00A62DE0" w:rsidRDefault="00A91562" w:rsidP="00D17189">
      <w:pPr>
        <w:spacing w:after="0" w:line="240" w:lineRule="auto"/>
        <w:jc w:val="both"/>
        <w:rPr>
          <w:rFonts w:ascii="Arial" w:hAnsi="Arial" w:cs="Arial"/>
          <w:sz w:val="24"/>
          <w:lang w:val="en-US"/>
        </w:rPr>
      </w:pPr>
    </w:p>
    <w:p w:rsidR="00A91562" w:rsidRPr="00A62DE0" w:rsidRDefault="00A91562" w:rsidP="00D17189">
      <w:pPr>
        <w:spacing w:after="0" w:line="240" w:lineRule="auto"/>
        <w:jc w:val="both"/>
        <w:rPr>
          <w:rFonts w:ascii="Arial" w:hAnsi="Arial" w:cs="Arial"/>
          <w:sz w:val="24"/>
          <w:lang w:val="en-US"/>
        </w:rPr>
      </w:pPr>
    </w:p>
    <w:p w:rsidR="00A91562" w:rsidRPr="00A62DE0" w:rsidRDefault="00A91562" w:rsidP="00D17189">
      <w:pPr>
        <w:spacing w:after="0" w:line="240" w:lineRule="auto"/>
        <w:jc w:val="both"/>
        <w:rPr>
          <w:rFonts w:ascii="Arial" w:hAnsi="Arial" w:cs="Arial"/>
          <w:sz w:val="24"/>
          <w:lang w:val="en-US"/>
        </w:rPr>
      </w:pPr>
    </w:p>
    <w:p w:rsidR="00A91562" w:rsidRPr="00A62DE0" w:rsidRDefault="00A91562" w:rsidP="00D17189">
      <w:pPr>
        <w:spacing w:after="0" w:line="240" w:lineRule="auto"/>
        <w:jc w:val="both"/>
        <w:rPr>
          <w:rFonts w:ascii="Arial" w:hAnsi="Arial" w:cs="Arial"/>
          <w:sz w:val="24"/>
          <w:lang w:val="en-US"/>
        </w:rPr>
      </w:pPr>
    </w:p>
    <w:p w:rsidR="00A91562" w:rsidRPr="00A62DE0" w:rsidRDefault="00A91562" w:rsidP="00D17189">
      <w:pPr>
        <w:spacing w:after="0" w:line="240" w:lineRule="auto"/>
        <w:jc w:val="both"/>
        <w:rPr>
          <w:rFonts w:ascii="Arial" w:hAnsi="Arial" w:cs="Arial"/>
          <w:sz w:val="24"/>
          <w:lang w:val="en-US"/>
        </w:rPr>
      </w:pPr>
    </w:p>
    <w:p w:rsidR="00A91562" w:rsidRPr="00C90034" w:rsidRDefault="00A91562" w:rsidP="00C90034">
      <w:pPr>
        <w:spacing w:after="0" w:line="360" w:lineRule="auto"/>
        <w:jc w:val="both"/>
        <w:rPr>
          <w:rFonts w:ascii="Arial" w:hAnsi="Arial" w:cs="Arial"/>
          <w:b/>
          <w:sz w:val="28"/>
          <w:szCs w:val="24"/>
          <w:lang w:val="en-US"/>
        </w:rPr>
      </w:pPr>
      <w:r w:rsidRPr="00C90034">
        <w:rPr>
          <w:rFonts w:ascii="Arial" w:hAnsi="Arial" w:cs="Arial"/>
          <w:b/>
          <w:sz w:val="28"/>
          <w:szCs w:val="24"/>
          <w:lang w:val="en-US"/>
        </w:rPr>
        <w:lastRenderedPageBreak/>
        <w:t xml:space="preserve">ABSTRACT </w:t>
      </w:r>
    </w:p>
    <w:p w:rsidR="00A91562" w:rsidRDefault="00C90034" w:rsidP="00C90034">
      <w:pPr>
        <w:spacing w:after="0" w:line="360" w:lineRule="auto"/>
        <w:jc w:val="both"/>
        <w:rPr>
          <w:rFonts w:ascii="Arial" w:hAnsi="Arial" w:cs="Arial"/>
          <w:sz w:val="24"/>
          <w:shd w:val="clear" w:color="auto" w:fill="FFFFFF"/>
          <w:lang w:val="en-US"/>
        </w:rPr>
      </w:pPr>
      <w:r w:rsidRPr="00C90034">
        <w:rPr>
          <w:rFonts w:ascii="Arial" w:hAnsi="Arial" w:cs="Arial"/>
          <w:sz w:val="24"/>
          <w:shd w:val="clear" w:color="auto" w:fill="FFFFFF"/>
          <w:lang w:val="en-US"/>
        </w:rPr>
        <w:t>This article aims to demonstrate the relationship between the volume of</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spending on Public Safety and its reflection in the main indices that make up the crime statistics in the state of Goiás in Brazil. The violence and crime increase</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are</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evident in the country and</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in Goiás, and has been recurring theme in the discussions at all levels of government. State’s Governors attribute the rise of indexes to lack of investment from the Federal Government in the area of Public Safety.</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On the other hand, Mayors disclaim liability under the understanding that it is the constitutional obligation of the State Government to invest in the sector. In this sense, the article shows that in Goiás</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the</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spending on Public Safety</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increase exponentially, especially the remuneration of Civil and Military Police, however</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the cost of funding and investment</w:t>
      </w:r>
      <w:r w:rsidRPr="00C90034">
        <w:rPr>
          <w:rStyle w:val="apple-converted-space"/>
          <w:rFonts w:ascii="Arial" w:hAnsi="Arial" w:cs="Arial"/>
          <w:sz w:val="24"/>
          <w:shd w:val="clear" w:color="auto" w:fill="FFFFFF"/>
          <w:lang w:val="en-US"/>
        </w:rPr>
        <w:t> </w:t>
      </w:r>
      <w:r w:rsidRPr="00C90034">
        <w:rPr>
          <w:rFonts w:ascii="Arial" w:hAnsi="Arial" w:cs="Arial"/>
          <w:sz w:val="24"/>
          <w:shd w:val="clear" w:color="auto" w:fill="FFFFFF"/>
          <w:lang w:val="en-US"/>
        </w:rPr>
        <w:t>showed little variation during the study period.</w:t>
      </w:r>
    </w:p>
    <w:p w:rsidR="00C90034" w:rsidRPr="00C90034" w:rsidRDefault="00C90034" w:rsidP="00C90034">
      <w:pPr>
        <w:spacing w:after="0" w:line="360" w:lineRule="auto"/>
        <w:jc w:val="both"/>
        <w:rPr>
          <w:rFonts w:ascii="Arial" w:hAnsi="Arial" w:cs="Arial"/>
          <w:b/>
          <w:sz w:val="28"/>
          <w:szCs w:val="24"/>
          <w:lang w:val="en-US"/>
        </w:rPr>
      </w:pPr>
    </w:p>
    <w:p w:rsidR="00A91562" w:rsidRPr="00C90034" w:rsidRDefault="00A91562" w:rsidP="00C90034">
      <w:pPr>
        <w:spacing w:after="0" w:line="360" w:lineRule="auto"/>
        <w:jc w:val="both"/>
        <w:rPr>
          <w:rFonts w:ascii="Arial" w:hAnsi="Arial" w:cs="Arial"/>
          <w:sz w:val="24"/>
          <w:szCs w:val="24"/>
        </w:rPr>
      </w:pPr>
      <w:r w:rsidRPr="00C90034">
        <w:rPr>
          <w:rFonts w:ascii="Arial" w:hAnsi="Arial" w:cs="Arial"/>
          <w:sz w:val="24"/>
          <w:szCs w:val="24"/>
          <w:lang w:val="en-US"/>
        </w:rPr>
        <w:t xml:space="preserve">Keywords: Public Budget. Criminal Statistics. </w:t>
      </w:r>
      <w:r w:rsidRPr="00C90034">
        <w:rPr>
          <w:rFonts w:ascii="Arial" w:hAnsi="Arial" w:cs="Arial"/>
          <w:sz w:val="24"/>
          <w:szCs w:val="24"/>
        </w:rPr>
        <w:t>Public Safety.</w:t>
      </w:r>
    </w:p>
    <w:sectPr w:rsidR="00A91562" w:rsidRPr="00C90034" w:rsidSect="00405EE4">
      <w:headerReference w:type="default" r:id="rId2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643" w:rsidRDefault="001B1643" w:rsidP="00C7783A">
      <w:pPr>
        <w:spacing w:after="0" w:line="240" w:lineRule="auto"/>
      </w:pPr>
      <w:r>
        <w:separator/>
      </w:r>
    </w:p>
  </w:endnote>
  <w:endnote w:type="continuationSeparator" w:id="1">
    <w:p w:rsidR="001B1643" w:rsidRDefault="001B1643" w:rsidP="00C778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643" w:rsidRDefault="001B1643" w:rsidP="00C7783A">
      <w:pPr>
        <w:spacing w:after="0" w:line="240" w:lineRule="auto"/>
      </w:pPr>
      <w:r>
        <w:separator/>
      </w:r>
    </w:p>
  </w:footnote>
  <w:footnote w:type="continuationSeparator" w:id="1">
    <w:p w:rsidR="001B1643" w:rsidRDefault="001B1643" w:rsidP="00C778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3005"/>
      <w:docPartObj>
        <w:docPartGallery w:val="Page Numbers (Top of Page)"/>
        <w:docPartUnique/>
      </w:docPartObj>
    </w:sdtPr>
    <w:sdtEndPr>
      <w:rPr>
        <w:rFonts w:ascii="Arial" w:hAnsi="Arial" w:cs="Arial"/>
      </w:rPr>
    </w:sdtEndPr>
    <w:sdtContent>
      <w:p w:rsidR="00405EE4" w:rsidRPr="00405EE4" w:rsidRDefault="00405EE4">
        <w:pPr>
          <w:pStyle w:val="Cabealho"/>
          <w:jc w:val="right"/>
          <w:rPr>
            <w:rFonts w:ascii="Arial" w:hAnsi="Arial" w:cs="Arial"/>
          </w:rPr>
        </w:pPr>
        <w:r w:rsidRPr="00405EE4">
          <w:rPr>
            <w:rFonts w:ascii="Arial" w:hAnsi="Arial" w:cs="Arial"/>
          </w:rPr>
          <w:fldChar w:fldCharType="begin"/>
        </w:r>
        <w:r w:rsidRPr="00405EE4">
          <w:rPr>
            <w:rFonts w:ascii="Arial" w:hAnsi="Arial" w:cs="Arial"/>
          </w:rPr>
          <w:instrText xml:space="preserve"> PAGE   \* MERGEFORMAT </w:instrText>
        </w:r>
        <w:r w:rsidRPr="00405EE4">
          <w:rPr>
            <w:rFonts w:ascii="Arial" w:hAnsi="Arial" w:cs="Arial"/>
          </w:rPr>
          <w:fldChar w:fldCharType="separate"/>
        </w:r>
        <w:r>
          <w:rPr>
            <w:rFonts w:ascii="Arial" w:hAnsi="Arial" w:cs="Arial"/>
            <w:noProof/>
          </w:rPr>
          <w:t>2</w:t>
        </w:r>
        <w:r w:rsidRPr="00405EE4">
          <w:rPr>
            <w:rFonts w:ascii="Arial" w:hAnsi="Arial" w:cs="Arial"/>
          </w:rPr>
          <w:fldChar w:fldCharType="end"/>
        </w:r>
      </w:p>
    </w:sdtContent>
  </w:sdt>
  <w:p w:rsidR="00405EE4" w:rsidRDefault="00405EE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6BE3"/>
    <w:multiLevelType w:val="hybridMultilevel"/>
    <w:tmpl w:val="F5D22126"/>
    <w:lvl w:ilvl="0" w:tplc="6FC45316">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A221D5"/>
    <w:multiLevelType w:val="hybridMultilevel"/>
    <w:tmpl w:val="5C86F994"/>
    <w:lvl w:ilvl="0" w:tplc="8A2ADA68">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5449DE"/>
    <w:multiLevelType w:val="hybridMultilevel"/>
    <w:tmpl w:val="1F48751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C60F88"/>
    <w:multiLevelType w:val="hybridMultilevel"/>
    <w:tmpl w:val="CD526108"/>
    <w:lvl w:ilvl="0" w:tplc="40E64DA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F32E8"/>
    <w:rsid w:val="0001765F"/>
    <w:rsid w:val="00020AC9"/>
    <w:rsid w:val="00024CBA"/>
    <w:rsid w:val="00033DEA"/>
    <w:rsid w:val="000511AA"/>
    <w:rsid w:val="000561BF"/>
    <w:rsid w:val="00056743"/>
    <w:rsid w:val="00066E0C"/>
    <w:rsid w:val="000728E2"/>
    <w:rsid w:val="00074F5F"/>
    <w:rsid w:val="00087CE8"/>
    <w:rsid w:val="000B7D62"/>
    <w:rsid w:val="000C3DD8"/>
    <w:rsid w:val="000C4A36"/>
    <w:rsid w:val="000D10B3"/>
    <w:rsid w:val="000D4D8B"/>
    <w:rsid w:val="000D4F89"/>
    <w:rsid w:val="000F32E8"/>
    <w:rsid w:val="000F4F4A"/>
    <w:rsid w:val="000F75F4"/>
    <w:rsid w:val="00110E19"/>
    <w:rsid w:val="0011650A"/>
    <w:rsid w:val="00116946"/>
    <w:rsid w:val="00120D5D"/>
    <w:rsid w:val="00130226"/>
    <w:rsid w:val="001331AE"/>
    <w:rsid w:val="00135053"/>
    <w:rsid w:val="001523FD"/>
    <w:rsid w:val="001536F4"/>
    <w:rsid w:val="00155D35"/>
    <w:rsid w:val="001640EE"/>
    <w:rsid w:val="001648D5"/>
    <w:rsid w:val="00174992"/>
    <w:rsid w:val="00174997"/>
    <w:rsid w:val="00174BE5"/>
    <w:rsid w:val="00177753"/>
    <w:rsid w:val="00180642"/>
    <w:rsid w:val="001953DA"/>
    <w:rsid w:val="001956C1"/>
    <w:rsid w:val="00196933"/>
    <w:rsid w:val="001B1643"/>
    <w:rsid w:val="001B7217"/>
    <w:rsid w:val="001D4A78"/>
    <w:rsid w:val="001F6481"/>
    <w:rsid w:val="00205A53"/>
    <w:rsid w:val="002156D9"/>
    <w:rsid w:val="00216AB5"/>
    <w:rsid w:val="00217609"/>
    <w:rsid w:val="002236A9"/>
    <w:rsid w:val="0022495A"/>
    <w:rsid w:val="00226E01"/>
    <w:rsid w:val="002333EC"/>
    <w:rsid w:val="0023490C"/>
    <w:rsid w:val="00243CE4"/>
    <w:rsid w:val="002456F7"/>
    <w:rsid w:val="00245B8A"/>
    <w:rsid w:val="00250BEB"/>
    <w:rsid w:val="00251403"/>
    <w:rsid w:val="002539AF"/>
    <w:rsid w:val="002545E0"/>
    <w:rsid w:val="002605B1"/>
    <w:rsid w:val="00270ACF"/>
    <w:rsid w:val="00276833"/>
    <w:rsid w:val="00287816"/>
    <w:rsid w:val="002E4F1D"/>
    <w:rsid w:val="002F1E8F"/>
    <w:rsid w:val="002F733A"/>
    <w:rsid w:val="0030414B"/>
    <w:rsid w:val="00327231"/>
    <w:rsid w:val="003465F5"/>
    <w:rsid w:val="00350260"/>
    <w:rsid w:val="00362DD7"/>
    <w:rsid w:val="00366026"/>
    <w:rsid w:val="00377E32"/>
    <w:rsid w:val="003877B0"/>
    <w:rsid w:val="00390417"/>
    <w:rsid w:val="00391A8C"/>
    <w:rsid w:val="00392EBF"/>
    <w:rsid w:val="003954D7"/>
    <w:rsid w:val="00396B2C"/>
    <w:rsid w:val="003A0EA8"/>
    <w:rsid w:val="003A1DDF"/>
    <w:rsid w:val="003A2269"/>
    <w:rsid w:val="003A2E65"/>
    <w:rsid w:val="003A34BC"/>
    <w:rsid w:val="003A5606"/>
    <w:rsid w:val="003B23FD"/>
    <w:rsid w:val="003C6220"/>
    <w:rsid w:val="003D1ADE"/>
    <w:rsid w:val="003D26FA"/>
    <w:rsid w:val="003E0749"/>
    <w:rsid w:val="003E37CC"/>
    <w:rsid w:val="003E66B9"/>
    <w:rsid w:val="003F7C7D"/>
    <w:rsid w:val="004031BA"/>
    <w:rsid w:val="00405EE4"/>
    <w:rsid w:val="0040617A"/>
    <w:rsid w:val="0041419F"/>
    <w:rsid w:val="004209F1"/>
    <w:rsid w:val="004226F1"/>
    <w:rsid w:val="00426771"/>
    <w:rsid w:val="00426EB7"/>
    <w:rsid w:val="0044278B"/>
    <w:rsid w:val="00447713"/>
    <w:rsid w:val="00450F78"/>
    <w:rsid w:val="00451895"/>
    <w:rsid w:val="0047144A"/>
    <w:rsid w:val="004812DD"/>
    <w:rsid w:val="004828A1"/>
    <w:rsid w:val="00493B82"/>
    <w:rsid w:val="004941AB"/>
    <w:rsid w:val="004A185E"/>
    <w:rsid w:val="004A43F1"/>
    <w:rsid w:val="004B12F6"/>
    <w:rsid w:val="004B2B9B"/>
    <w:rsid w:val="004C4CFC"/>
    <w:rsid w:val="004D0A09"/>
    <w:rsid w:val="004D6E9D"/>
    <w:rsid w:val="004E0379"/>
    <w:rsid w:val="004E3B3D"/>
    <w:rsid w:val="004E4EDE"/>
    <w:rsid w:val="004F18B9"/>
    <w:rsid w:val="004F5E5D"/>
    <w:rsid w:val="004F6B7F"/>
    <w:rsid w:val="00503ADD"/>
    <w:rsid w:val="005106B7"/>
    <w:rsid w:val="00512D2F"/>
    <w:rsid w:val="005225AC"/>
    <w:rsid w:val="00545B87"/>
    <w:rsid w:val="0054726D"/>
    <w:rsid w:val="005541E3"/>
    <w:rsid w:val="0055746B"/>
    <w:rsid w:val="00566C6D"/>
    <w:rsid w:val="00570AB8"/>
    <w:rsid w:val="00583990"/>
    <w:rsid w:val="00586CFE"/>
    <w:rsid w:val="00596881"/>
    <w:rsid w:val="005A4C47"/>
    <w:rsid w:val="005A6AA3"/>
    <w:rsid w:val="005B57A7"/>
    <w:rsid w:val="005B672B"/>
    <w:rsid w:val="005B703B"/>
    <w:rsid w:val="005C43CD"/>
    <w:rsid w:val="005C5360"/>
    <w:rsid w:val="005C6B90"/>
    <w:rsid w:val="005D1BF0"/>
    <w:rsid w:val="005D367B"/>
    <w:rsid w:val="005D5816"/>
    <w:rsid w:val="005D5D83"/>
    <w:rsid w:val="005D5DDE"/>
    <w:rsid w:val="005F0F54"/>
    <w:rsid w:val="005F3228"/>
    <w:rsid w:val="005F4C75"/>
    <w:rsid w:val="005F5B54"/>
    <w:rsid w:val="00604ACF"/>
    <w:rsid w:val="00623F13"/>
    <w:rsid w:val="00637F5B"/>
    <w:rsid w:val="006521C7"/>
    <w:rsid w:val="00652822"/>
    <w:rsid w:val="00670E8A"/>
    <w:rsid w:val="00674F2E"/>
    <w:rsid w:val="0068063E"/>
    <w:rsid w:val="0069448C"/>
    <w:rsid w:val="006A2B43"/>
    <w:rsid w:val="006B225F"/>
    <w:rsid w:val="006C1A45"/>
    <w:rsid w:val="006D16DB"/>
    <w:rsid w:val="006D3DDA"/>
    <w:rsid w:val="006E35A4"/>
    <w:rsid w:val="006E50A6"/>
    <w:rsid w:val="006F1677"/>
    <w:rsid w:val="006F18C9"/>
    <w:rsid w:val="006F1946"/>
    <w:rsid w:val="006F4C63"/>
    <w:rsid w:val="006F50EB"/>
    <w:rsid w:val="006F70C2"/>
    <w:rsid w:val="007250F4"/>
    <w:rsid w:val="00725234"/>
    <w:rsid w:val="00737FC8"/>
    <w:rsid w:val="0074289A"/>
    <w:rsid w:val="00744985"/>
    <w:rsid w:val="00756C35"/>
    <w:rsid w:val="00756F21"/>
    <w:rsid w:val="00766A74"/>
    <w:rsid w:val="007677E2"/>
    <w:rsid w:val="00783337"/>
    <w:rsid w:val="0078648A"/>
    <w:rsid w:val="007D0228"/>
    <w:rsid w:val="007E5126"/>
    <w:rsid w:val="007F093D"/>
    <w:rsid w:val="007F0DC8"/>
    <w:rsid w:val="007F6109"/>
    <w:rsid w:val="007F62F6"/>
    <w:rsid w:val="00802340"/>
    <w:rsid w:val="008228D3"/>
    <w:rsid w:val="00834A7C"/>
    <w:rsid w:val="00835E7C"/>
    <w:rsid w:val="00836097"/>
    <w:rsid w:val="008366E2"/>
    <w:rsid w:val="00840F66"/>
    <w:rsid w:val="008413BF"/>
    <w:rsid w:val="0084554B"/>
    <w:rsid w:val="008461DC"/>
    <w:rsid w:val="008558DC"/>
    <w:rsid w:val="00856F75"/>
    <w:rsid w:val="008727D6"/>
    <w:rsid w:val="00874EA0"/>
    <w:rsid w:val="00896087"/>
    <w:rsid w:val="008A1450"/>
    <w:rsid w:val="008A641D"/>
    <w:rsid w:val="008A6F3D"/>
    <w:rsid w:val="008C299D"/>
    <w:rsid w:val="008C3D9A"/>
    <w:rsid w:val="008D1A34"/>
    <w:rsid w:val="008E77BA"/>
    <w:rsid w:val="008F2A04"/>
    <w:rsid w:val="00903D15"/>
    <w:rsid w:val="00907D51"/>
    <w:rsid w:val="00911686"/>
    <w:rsid w:val="009209AC"/>
    <w:rsid w:val="00922555"/>
    <w:rsid w:val="009270B9"/>
    <w:rsid w:val="00927636"/>
    <w:rsid w:val="0093161E"/>
    <w:rsid w:val="00944AA9"/>
    <w:rsid w:val="00945D16"/>
    <w:rsid w:val="009541CC"/>
    <w:rsid w:val="00964894"/>
    <w:rsid w:val="00966C27"/>
    <w:rsid w:val="00973D4D"/>
    <w:rsid w:val="00982CA1"/>
    <w:rsid w:val="0098689D"/>
    <w:rsid w:val="00996A9F"/>
    <w:rsid w:val="0099717A"/>
    <w:rsid w:val="009B4EC3"/>
    <w:rsid w:val="009D09FE"/>
    <w:rsid w:val="009D403F"/>
    <w:rsid w:val="009F0191"/>
    <w:rsid w:val="009F4C81"/>
    <w:rsid w:val="00A111C0"/>
    <w:rsid w:val="00A15A03"/>
    <w:rsid w:val="00A22EA7"/>
    <w:rsid w:val="00A25502"/>
    <w:rsid w:val="00A303F0"/>
    <w:rsid w:val="00A325A1"/>
    <w:rsid w:val="00A3642B"/>
    <w:rsid w:val="00A4243A"/>
    <w:rsid w:val="00A50CF7"/>
    <w:rsid w:val="00A51D4C"/>
    <w:rsid w:val="00A52B38"/>
    <w:rsid w:val="00A56908"/>
    <w:rsid w:val="00A575C1"/>
    <w:rsid w:val="00A62DE0"/>
    <w:rsid w:val="00A6451C"/>
    <w:rsid w:val="00A6454D"/>
    <w:rsid w:val="00A70669"/>
    <w:rsid w:val="00A72E6A"/>
    <w:rsid w:val="00A8747A"/>
    <w:rsid w:val="00A87D5C"/>
    <w:rsid w:val="00A91562"/>
    <w:rsid w:val="00A93ECC"/>
    <w:rsid w:val="00A94668"/>
    <w:rsid w:val="00A963C3"/>
    <w:rsid w:val="00AA07D5"/>
    <w:rsid w:val="00AA6813"/>
    <w:rsid w:val="00AA6FC6"/>
    <w:rsid w:val="00AB42FD"/>
    <w:rsid w:val="00AD257A"/>
    <w:rsid w:val="00AD4531"/>
    <w:rsid w:val="00AE0583"/>
    <w:rsid w:val="00AE61F3"/>
    <w:rsid w:val="00B02C24"/>
    <w:rsid w:val="00B21CBD"/>
    <w:rsid w:val="00B23F47"/>
    <w:rsid w:val="00B50C20"/>
    <w:rsid w:val="00B52102"/>
    <w:rsid w:val="00B53597"/>
    <w:rsid w:val="00B562AF"/>
    <w:rsid w:val="00B63C56"/>
    <w:rsid w:val="00B82C52"/>
    <w:rsid w:val="00B85207"/>
    <w:rsid w:val="00B959BD"/>
    <w:rsid w:val="00BC7D83"/>
    <w:rsid w:val="00BD2553"/>
    <w:rsid w:val="00BD74FC"/>
    <w:rsid w:val="00C07970"/>
    <w:rsid w:val="00C31320"/>
    <w:rsid w:val="00C343ED"/>
    <w:rsid w:val="00C417F3"/>
    <w:rsid w:val="00C419F6"/>
    <w:rsid w:val="00C5360F"/>
    <w:rsid w:val="00C65DFE"/>
    <w:rsid w:val="00C731CE"/>
    <w:rsid w:val="00C7783A"/>
    <w:rsid w:val="00C81865"/>
    <w:rsid w:val="00C86AD0"/>
    <w:rsid w:val="00C90034"/>
    <w:rsid w:val="00CA01FC"/>
    <w:rsid w:val="00CA2A6E"/>
    <w:rsid w:val="00CA658F"/>
    <w:rsid w:val="00CB1FCF"/>
    <w:rsid w:val="00CB39D2"/>
    <w:rsid w:val="00CC13D2"/>
    <w:rsid w:val="00CC2412"/>
    <w:rsid w:val="00CD4220"/>
    <w:rsid w:val="00CE07A1"/>
    <w:rsid w:val="00CE6B5D"/>
    <w:rsid w:val="00CF2FA7"/>
    <w:rsid w:val="00D05418"/>
    <w:rsid w:val="00D05FE3"/>
    <w:rsid w:val="00D17189"/>
    <w:rsid w:val="00D17C3E"/>
    <w:rsid w:val="00D22CC1"/>
    <w:rsid w:val="00D30873"/>
    <w:rsid w:val="00D31400"/>
    <w:rsid w:val="00D31CF0"/>
    <w:rsid w:val="00D46317"/>
    <w:rsid w:val="00D500B7"/>
    <w:rsid w:val="00D5612D"/>
    <w:rsid w:val="00D561B4"/>
    <w:rsid w:val="00D62666"/>
    <w:rsid w:val="00D7520F"/>
    <w:rsid w:val="00D80F49"/>
    <w:rsid w:val="00D84700"/>
    <w:rsid w:val="00D85282"/>
    <w:rsid w:val="00D86FC8"/>
    <w:rsid w:val="00D9581D"/>
    <w:rsid w:val="00D97DD1"/>
    <w:rsid w:val="00DA14A3"/>
    <w:rsid w:val="00DB07E0"/>
    <w:rsid w:val="00DB1B6E"/>
    <w:rsid w:val="00DB3995"/>
    <w:rsid w:val="00DC795B"/>
    <w:rsid w:val="00DD4FE6"/>
    <w:rsid w:val="00DD7A6B"/>
    <w:rsid w:val="00DD7D9A"/>
    <w:rsid w:val="00DE34A4"/>
    <w:rsid w:val="00DE47AA"/>
    <w:rsid w:val="00DF4606"/>
    <w:rsid w:val="00E034C2"/>
    <w:rsid w:val="00E06536"/>
    <w:rsid w:val="00E1415D"/>
    <w:rsid w:val="00E16184"/>
    <w:rsid w:val="00E2561E"/>
    <w:rsid w:val="00E30321"/>
    <w:rsid w:val="00E3061A"/>
    <w:rsid w:val="00E3309C"/>
    <w:rsid w:val="00E453EE"/>
    <w:rsid w:val="00E52603"/>
    <w:rsid w:val="00E57124"/>
    <w:rsid w:val="00E57CE7"/>
    <w:rsid w:val="00E6187C"/>
    <w:rsid w:val="00E6637C"/>
    <w:rsid w:val="00E703E6"/>
    <w:rsid w:val="00E77287"/>
    <w:rsid w:val="00E77382"/>
    <w:rsid w:val="00E826D6"/>
    <w:rsid w:val="00E841C8"/>
    <w:rsid w:val="00E86A5C"/>
    <w:rsid w:val="00E86A66"/>
    <w:rsid w:val="00E94D2C"/>
    <w:rsid w:val="00E979A3"/>
    <w:rsid w:val="00EA6BC2"/>
    <w:rsid w:val="00EC08F3"/>
    <w:rsid w:val="00EC0DFA"/>
    <w:rsid w:val="00EC3611"/>
    <w:rsid w:val="00EC39DA"/>
    <w:rsid w:val="00EC47B6"/>
    <w:rsid w:val="00EC7DF7"/>
    <w:rsid w:val="00ED07CE"/>
    <w:rsid w:val="00ED3D97"/>
    <w:rsid w:val="00ED535A"/>
    <w:rsid w:val="00EE57AC"/>
    <w:rsid w:val="00EF39BC"/>
    <w:rsid w:val="00F01691"/>
    <w:rsid w:val="00F07DB4"/>
    <w:rsid w:val="00F1170B"/>
    <w:rsid w:val="00F129FF"/>
    <w:rsid w:val="00F20D63"/>
    <w:rsid w:val="00F3119A"/>
    <w:rsid w:val="00F35D4E"/>
    <w:rsid w:val="00F36F09"/>
    <w:rsid w:val="00F40677"/>
    <w:rsid w:val="00F53353"/>
    <w:rsid w:val="00F6093B"/>
    <w:rsid w:val="00F62B9C"/>
    <w:rsid w:val="00F744BE"/>
    <w:rsid w:val="00F77AF4"/>
    <w:rsid w:val="00F901CA"/>
    <w:rsid w:val="00F97128"/>
    <w:rsid w:val="00FB1CB4"/>
    <w:rsid w:val="00FB5E28"/>
    <w:rsid w:val="00FC0675"/>
    <w:rsid w:val="00FD7053"/>
    <w:rsid w:val="00FE4DAB"/>
    <w:rsid w:val="00FE5E4E"/>
    <w:rsid w:val="00FE7F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8F"/>
  </w:style>
  <w:style w:type="paragraph" w:styleId="Ttulo3">
    <w:name w:val="heading 3"/>
    <w:basedOn w:val="Normal"/>
    <w:link w:val="Ttulo3Char"/>
    <w:uiPriority w:val="9"/>
    <w:qFormat/>
    <w:rsid w:val="005472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B1B6E"/>
  </w:style>
  <w:style w:type="character" w:styleId="Hyperlink">
    <w:name w:val="Hyperlink"/>
    <w:basedOn w:val="Fontepargpadro"/>
    <w:uiPriority w:val="99"/>
    <w:semiHidden/>
    <w:unhideWhenUsed/>
    <w:rsid w:val="0041419F"/>
    <w:rPr>
      <w:color w:val="0000FF"/>
      <w:u w:val="single"/>
    </w:rPr>
  </w:style>
  <w:style w:type="paragraph" w:styleId="Textodebalo">
    <w:name w:val="Balloon Text"/>
    <w:basedOn w:val="Normal"/>
    <w:link w:val="TextodebaloChar"/>
    <w:uiPriority w:val="99"/>
    <w:semiHidden/>
    <w:unhideWhenUsed/>
    <w:rsid w:val="00CC13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13D2"/>
    <w:rPr>
      <w:rFonts w:ascii="Tahoma" w:hAnsi="Tahoma" w:cs="Tahoma"/>
      <w:sz w:val="16"/>
      <w:szCs w:val="16"/>
    </w:rPr>
  </w:style>
  <w:style w:type="paragraph" w:styleId="Cabealho">
    <w:name w:val="header"/>
    <w:basedOn w:val="Normal"/>
    <w:link w:val="CabealhoChar"/>
    <w:uiPriority w:val="99"/>
    <w:unhideWhenUsed/>
    <w:rsid w:val="00C778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83A"/>
  </w:style>
  <w:style w:type="paragraph" w:styleId="Rodap">
    <w:name w:val="footer"/>
    <w:basedOn w:val="Normal"/>
    <w:link w:val="RodapChar"/>
    <w:uiPriority w:val="99"/>
    <w:semiHidden/>
    <w:unhideWhenUsed/>
    <w:rsid w:val="00C7783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7783A"/>
  </w:style>
  <w:style w:type="paragraph" w:styleId="PargrafodaLista">
    <w:name w:val="List Paragraph"/>
    <w:basedOn w:val="Normal"/>
    <w:uiPriority w:val="34"/>
    <w:qFormat/>
    <w:rsid w:val="00033DEA"/>
    <w:pPr>
      <w:ind w:left="720"/>
      <w:contextualSpacing/>
    </w:pPr>
    <w:rPr>
      <w:rFonts w:eastAsiaTheme="minorHAnsi"/>
      <w:lang w:eastAsia="en-US"/>
    </w:rPr>
  </w:style>
  <w:style w:type="character" w:customStyle="1" w:styleId="Ttulo3Char">
    <w:name w:val="Título 3 Char"/>
    <w:basedOn w:val="Fontepargpadro"/>
    <w:link w:val="Ttulo3"/>
    <w:uiPriority w:val="9"/>
    <w:rsid w:val="0054726D"/>
    <w:rPr>
      <w:rFonts w:ascii="Times New Roman" w:eastAsia="Times New Roman" w:hAnsi="Times New Roman" w:cs="Times New Roman"/>
      <w:b/>
      <w:bCs/>
      <w:sz w:val="27"/>
      <w:szCs w:val="27"/>
    </w:rPr>
  </w:style>
  <w:style w:type="character" w:styleId="nfase">
    <w:name w:val="Emphasis"/>
    <w:basedOn w:val="Fontepargpadro"/>
    <w:uiPriority w:val="20"/>
    <w:qFormat/>
    <w:rsid w:val="005472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0145524">
      <w:bodyDiv w:val="1"/>
      <w:marLeft w:val="0"/>
      <w:marRight w:val="0"/>
      <w:marTop w:val="0"/>
      <w:marBottom w:val="0"/>
      <w:divBdr>
        <w:top w:val="none" w:sz="0" w:space="0" w:color="auto"/>
        <w:left w:val="none" w:sz="0" w:space="0" w:color="auto"/>
        <w:bottom w:val="none" w:sz="0" w:space="0" w:color="auto"/>
        <w:right w:val="none" w:sz="0" w:space="0" w:color="auto"/>
      </w:divBdr>
    </w:div>
    <w:div w:id="1796213679">
      <w:bodyDiv w:val="1"/>
      <w:marLeft w:val="0"/>
      <w:marRight w:val="0"/>
      <w:marTop w:val="0"/>
      <w:marBottom w:val="0"/>
      <w:divBdr>
        <w:top w:val="none" w:sz="0" w:space="0" w:color="auto"/>
        <w:left w:val="none" w:sz="0" w:space="0" w:color="auto"/>
        <w:bottom w:val="none" w:sz="0" w:space="0" w:color="auto"/>
        <w:right w:val="none" w:sz="0" w:space="0" w:color="auto"/>
      </w:divBdr>
    </w:div>
    <w:div w:id="2080668366">
      <w:bodyDiv w:val="1"/>
      <w:marLeft w:val="0"/>
      <w:marRight w:val="0"/>
      <w:marTop w:val="0"/>
      <w:marBottom w:val="0"/>
      <w:divBdr>
        <w:top w:val="none" w:sz="0" w:space="0" w:color="auto"/>
        <w:left w:val="none" w:sz="0" w:space="0" w:color="auto"/>
        <w:bottom w:val="none" w:sz="0" w:space="0" w:color="auto"/>
        <w:right w:val="none" w:sz="0" w:space="0" w:color="auto"/>
      </w:divBdr>
    </w:div>
    <w:div w:id="2112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www.unod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duardo-vs\Desktop\Relat&#243;rios%20P&#243;s%20Gradua&#231;&#227;o\Levantamento%20de%20Dad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uardo-vs\Desktop\Relat&#243;rios%20P&#243;s%20Gradua&#231;&#227;o\Levantamento%20de%20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duardo-vs\Desktop\Relat&#243;rios%20P&#243;s%20Gradua&#231;&#227;o\Levantamento%20de%20D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duardo-vs\Desktop\Relat&#243;rios%20P&#243;s%20Gradua&#231;&#227;o\Compila&#231;&#227;o%20Dados%20Seguran&#231;a%20P&#250;bl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'Plan1 (2)'!$A$3</c:f>
              <c:strCache>
                <c:ptCount val="1"/>
                <c:pt idx="0">
                  <c:v>Sec. Segurança Pública</c:v>
                </c:pt>
              </c:strCache>
            </c:strRef>
          </c:tx>
          <c:marker>
            <c:symbol val="none"/>
          </c:marker>
          <c:cat>
            <c:strRef>
              <c:f>'Plan1 (2)'!$B$2:$K$2</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(2)'!$B$3:$K$3</c:f>
              <c:numCache>
                <c:formatCode>#,##0</c:formatCode>
                <c:ptCount val="10"/>
                <c:pt idx="0">
                  <c:v>21188141.329999998</c:v>
                </c:pt>
                <c:pt idx="1">
                  <c:v>24341890.329999998</c:v>
                </c:pt>
                <c:pt idx="2">
                  <c:v>28346866.16</c:v>
                </c:pt>
                <c:pt idx="3">
                  <c:v>32278637.469999976</c:v>
                </c:pt>
                <c:pt idx="4">
                  <c:v>60824639.960000001</c:v>
                </c:pt>
                <c:pt idx="5">
                  <c:v>78617430.669999972</c:v>
                </c:pt>
                <c:pt idx="6">
                  <c:v>107964997.91000022</c:v>
                </c:pt>
                <c:pt idx="7">
                  <c:v>123116632.18000001</c:v>
                </c:pt>
                <c:pt idx="8">
                  <c:v>116277754.83</c:v>
                </c:pt>
                <c:pt idx="9">
                  <c:v>111657529.22</c:v>
                </c:pt>
              </c:numCache>
            </c:numRef>
          </c:val>
        </c:ser>
        <c:ser>
          <c:idx val="1"/>
          <c:order val="1"/>
          <c:tx>
            <c:strRef>
              <c:f>'Plan1 (2)'!$A$4</c:f>
              <c:strCache>
                <c:ptCount val="1"/>
                <c:pt idx="0">
                  <c:v>Polícia Militar</c:v>
                </c:pt>
              </c:strCache>
            </c:strRef>
          </c:tx>
          <c:marker>
            <c:symbol val="none"/>
          </c:marker>
          <c:cat>
            <c:strRef>
              <c:f>'Plan1 (2)'!$B$2:$K$2</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(2)'!$B$4:$K$4</c:f>
              <c:numCache>
                <c:formatCode>#,##0</c:formatCode>
                <c:ptCount val="10"/>
                <c:pt idx="0">
                  <c:v>300711504.62</c:v>
                </c:pt>
                <c:pt idx="1">
                  <c:v>281828144.05000001</c:v>
                </c:pt>
                <c:pt idx="2">
                  <c:v>347333877.37</c:v>
                </c:pt>
                <c:pt idx="3">
                  <c:v>456341674.88</c:v>
                </c:pt>
                <c:pt idx="4">
                  <c:v>544471229.58000004</c:v>
                </c:pt>
                <c:pt idx="5">
                  <c:v>545843282.38</c:v>
                </c:pt>
                <c:pt idx="6">
                  <c:v>660134101.82999897</c:v>
                </c:pt>
                <c:pt idx="7">
                  <c:v>770424991.99000001</c:v>
                </c:pt>
                <c:pt idx="8">
                  <c:v>872966064.22000003</c:v>
                </c:pt>
                <c:pt idx="9">
                  <c:v>920816641.39999998</c:v>
                </c:pt>
              </c:numCache>
            </c:numRef>
          </c:val>
        </c:ser>
        <c:ser>
          <c:idx val="2"/>
          <c:order val="2"/>
          <c:tx>
            <c:strRef>
              <c:f>'Plan1 (2)'!$A$5</c:f>
              <c:strCache>
                <c:ptCount val="1"/>
                <c:pt idx="0">
                  <c:v>Polícia Civil</c:v>
                </c:pt>
              </c:strCache>
            </c:strRef>
          </c:tx>
          <c:marker>
            <c:symbol val="none"/>
          </c:marker>
          <c:cat>
            <c:strRef>
              <c:f>'Plan1 (2)'!$B$2:$K$2</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(2)'!$B$5:$K$5</c:f>
              <c:numCache>
                <c:formatCode>#,##0</c:formatCode>
                <c:ptCount val="10"/>
                <c:pt idx="0">
                  <c:v>101852457.7</c:v>
                </c:pt>
                <c:pt idx="1">
                  <c:v>95379354.730000004</c:v>
                </c:pt>
                <c:pt idx="2">
                  <c:v>125163417.09999999</c:v>
                </c:pt>
                <c:pt idx="3">
                  <c:v>167374508.83000001</c:v>
                </c:pt>
                <c:pt idx="4">
                  <c:v>167607280.28999999</c:v>
                </c:pt>
                <c:pt idx="5">
                  <c:v>157731739.41</c:v>
                </c:pt>
                <c:pt idx="6">
                  <c:v>233126681.52000001</c:v>
                </c:pt>
                <c:pt idx="7">
                  <c:v>243400418.38000011</c:v>
                </c:pt>
                <c:pt idx="8">
                  <c:v>273361457.70999974</c:v>
                </c:pt>
                <c:pt idx="9">
                  <c:v>317763786.70999974</c:v>
                </c:pt>
              </c:numCache>
            </c:numRef>
          </c:val>
        </c:ser>
        <c:ser>
          <c:idx val="3"/>
          <c:order val="3"/>
          <c:tx>
            <c:strRef>
              <c:f>'Plan1 (2)'!$A$7</c:f>
              <c:strCache>
                <c:ptCount val="1"/>
                <c:pt idx="0">
                  <c:v>Sec. Adm. Penitenciária</c:v>
                </c:pt>
              </c:strCache>
            </c:strRef>
          </c:tx>
          <c:marker>
            <c:symbol val="none"/>
          </c:marker>
          <c:cat>
            <c:strRef>
              <c:f>'Plan1 (2)'!$B$2:$K$2</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(2)'!$B$7:$K$7</c:f>
              <c:numCache>
                <c:formatCode>#,##0</c:formatCode>
                <c:ptCount val="10"/>
                <c:pt idx="0">
                  <c:v>13657580.270000003</c:v>
                </c:pt>
                <c:pt idx="1">
                  <c:v>15586200.060000002</c:v>
                </c:pt>
                <c:pt idx="2">
                  <c:v>23425824.979999997</c:v>
                </c:pt>
                <c:pt idx="3">
                  <c:v>39174307.030000001</c:v>
                </c:pt>
                <c:pt idx="4">
                  <c:v>17443390.769999996</c:v>
                </c:pt>
                <c:pt idx="5">
                  <c:v>0.21999999880790877</c:v>
                </c:pt>
                <c:pt idx="6">
                  <c:v>0</c:v>
                </c:pt>
                <c:pt idx="7">
                  <c:v>10815180.739999957</c:v>
                </c:pt>
                <c:pt idx="8">
                  <c:v>50151543.82</c:v>
                </c:pt>
                <c:pt idx="9">
                  <c:v>45479655.460000001</c:v>
                </c:pt>
              </c:numCache>
            </c:numRef>
          </c:val>
        </c:ser>
        <c:marker val="1"/>
        <c:axId val="148209024"/>
        <c:axId val="148301312"/>
      </c:lineChart>
      <c:catAx>
        <c:axId val="148209024"/>
        <c:scaling>
          <c:orientation val="minMax"/>
        </c:scaling>
        <c:axPos val="b"/>
        <c:tickLblPos val="nextTo"/>
        <c:txPr>
          <a:bodyPr/>
          <a:lstStyle/>
          <a:p>
            <a:pPr>
              <a:defRPr lang="ru-RU"/>
            </a:pPr>
            <a:endParaRPr lang="pt-BR"/>
          </a:p>
        </c:txPr>
        <c:crossAx val="148301312"/>
        <c:crosses val="autoZero"/>
        <c:auto val="1"/>
        <c:lblAlgn val="ctr"/>
        <c:lblOffset val="100"/>
      </c:catAx>
      <c:valAx>
        <c:axId val="148301312"/>
        <c:scaling>
          <c:orientation val="minMax"/>
        </c:scaling>
        <c:axPos val="l"/>
        <c:majorGridlines/>
        <c:numFmt formatCode="#,##0" sourceLinked="1"/>
        <c:tickLblPos val="nextTo"/>
        <c:txPr>
          <a:bodyPr/>
          <a:lstStyle/>
          <a:p>
            <a:pPr>
              <a:defRPr lang="ru-RU"/>
            </a:pPr>
            <a:endParaRPr lang="pt-BR"/>
          </a:p>
        </c:txPr>
        <c:crossAx val="148209024"/>
        <c:crosses val="autoZero"/>
        <c:crossBetween val="between"/>
      </c:valAx>
    </c:plotArea>
    <c:legend>
      <c:legendPos val="b"/>
      <c:txPr>
        <a:bodyPr/>
        <a:lstStyle/>
        <a:p>
          <a:pPr>
            <a:defRPr lang="ru-RU"/>
          </a:pPr>
          <a:endParaRPr lang="pt-BR"/>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(3)'!$A$6</c:f>
              <c:strCache>
                <c:ptCount val="1"/>
                <c:pt idx="0">
                  <c:v>Taxa de Tentativa de Homicídio</c:v>
                </c:pt>
              </c:strCache>
            </c:strRef>
          </c:tx>
          <c:marker>
            <c:symbol val="none"/>
          </c:marker>
          <c:dLbls>
            <c:txPr>
              <a:bodyPr/>
              <a:lstStyle/>
              <a:p>
                <a:pPr>
                  <a:defRPr lang="ru-RU"/>
                </a:pPr>
                <a:endParaRPr lang="pt-BR"/>
              </a:p>
            </c:txPr>
            <c:showVal val="1"/>
          </c:dLbls>
          <c:cat>
            <c:numRef>
              <c:f>'Estatísticas (3)'!$B$1:$K$1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(3)'!$B$6:$K$6</c:f>
              <c:numCache>
                <c:formatCode>_-* #,##0.00_-;\-* #,##0.00_-;_-* "-"??_-;_-@_-</c:formatCode>
                <c:ptCount val="10"/>
                <c:pt idx="0">
                  <c:v>25.279999999999987</c:v>
                </c:pt>
                <c:pt idx="1">
                  <c:v>26.310000000000031</c:v>
                </c:pt>
                <c:pt idx="2">
                  <c:v>25.3</c:v>
                </c:pt>
                <c:pt idx="3">
                  <c:v>26</c:v>
                </c:pt>
                <c:pt idx="4">
                  <c:v>25</c:v>
                </c:pt>
                <c:pt idx="5">
                  <c:v>24.4</c:v>
                </c:pt>
                <c:pt idx="6">
                  <c:v>21.6</c:v>
                </c:pt>
                <c:pt idx="7">
                  <c:v>24.3</c:v>
                </c:pt>
                <c:pt idx="8">
                  <c:v>42.42</c:v>
                </c:pt>
                <c:pt idx="9">
                  <c:v>44.260000000000012</c:v>
                </c:pt>
              </c:numCache>
            </c:numRef>
          </c:val>
        </c:ser>
        <c:marker val="1"/>
        <c:axId val="156771456"/>
        <c:axId val="156772992"/>
      </c:lineChart>
      <c:catAx>
        <c:axId val="156771456"/>
        <c:scaling>
          <c:orientation val="minMax"/>
        </c:scaling>
        <c:axPos val="b"/>
        <c:numFmt formatCode="General" sourceLinked="1"/>
        <c:tickLblPos val="nextTo"/>
        <c:txPr>
          <a:bodyPr/>
          <a:lstStyle/>
          <a:p>
            <a:pPr>
              <a:defRPr lang="ru-RU"/>
            </a:pPr>
            <a:endParaRPr lang="pt-BR"/>
          </a:p>
        </c:txPr>
        <c:crossAx val="156772992"/>
        <c:crosses val="autoZero"/>
        <c:auto val="1"/>
        <c:lblAlgn val="ctr"/>
        <c:lblOffset val="100"/>
      </c:catAx>
      <c:valAx>
        <c:axId val="156772992"/>
        <c:scaling>
          <c:orientation val="minMax"/>
          <c:max val="50"/>
          <c:min val="20"/>
        </c:scaling>
        <c:axPos val="l"/>
        <c:majorGridlines/>
        <c:numFmt formatCode="_-* #,##0.00_-;\-* #,##0.00_-;_-* &quot;-&quot;??_-;_-@_-" sourceLinked="1"/>
        <c:tickLblPos val="nextTo"/>
        <c:txPr>
          <a:bodyPr/>
          <a:lstStyle/>
          <a:p>
            <a:pPr>
              <a:defRPr lang="ru-RU"/>
            </a:pPr>
            <a:endParaRPr lang="pt-BR"/>
          </a:p>
        </c:txPr>
        <c:crossAx val="156771456"/>
        <c:crosses val="autoZero"/>
        <c:crossBetween val="between"/>
        <c:majorUnit val="5"/>
        <c:minorUnit val="1"/>
      </c:valAx>
    </c:plotArea>
    <c:legend>
      <c:legendPos val="b"/>
      <c:txPr>
        <a:bodyPr/>
        <a:lstStyle/>
        <a:p>
          <a:pPr>
            <a:defRPr lang="ru-RU"/>
          </a:pPr>
          <a:endParaRPr lang="pt-BR"/>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(2)'!$A$11</c:f>
              <c:strCache>
                <c:ptCount val="1"/>
                <c:pt idx="0">
                  <c:v>Roubo de Veículo</c:v>
                </c:pt>
              </c:strCache>
            </c:strRef>
          </c:tx>
          <c:marker>
            <c:symbol val="none"/>
          </c:marker>
          <c:dLbls>
            <c:dLbl>
              <c:idx val="0"/>
              <c:layout>
                <c:manualLayout>
                  <c:x val="-5.6573885494455745E-2"/>
                  <c:y val="-4.6561604584527232E-2"/>
                </c:manualLayout>
              </c:layout>
              <c:showVal val="1"/>
            </c:dLbl>
            <c:dLbl>
              <c:idx val="1"/>
              <c:layout>
                <c:manualLayout>
                  <c:x val="-2.7155465037338764E-2"/>
                  <c:y val="-2.1489971346704852E-2"/>
                </c:manualLayout>
              </c:layout>
              <c:showVal val="1"/>
            </c:dLbl>
            <c:dLbl>
              <c:idx val="8"/>
              <c:layout>
                <c:manualLayout>
                  <c:x val="0"/>
                  <c:y val="3.5816618911174852E-2"/>
                </c:manualLayout>
              </c:layout>
              <c:showVal val="1"/>
            </c:dLbl>
            <c:dLbl>
              <c:idx val="9"/>
              <c:layout>
                <c:manualLayout>
                  <c:x val="-5.3547523427042824E-3"/>
                  <c:y val="-4.2372881355932458E-2"/>
                </c:manualLayout>
              </c:layout>
              <c:showVal val="1"/>
            </c:dLbl>
            <c:txPr>
              <a:bodyPr/>
              <a:lstStyle/>
              <a:p>
                <a:pPr>
                  <a:defRPr lang="ru-RU"/>
                </a:pPr>
                <a:endParaRPr lang="pt-BR"/>
              </a:p>
            </c:txPr>
            <c:showVal val="1"/>
          </c:dLbls>
          <c:cat>
            <c:numRef>
              <c:f>'Estatísticas (2)'!$B$1:$K$1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(2)'!$B$11:$K$11</c:f>
              <c:numCache>
                <c:formatCode>_-* #,##0.00_-;\-* #,##0.00_-;_-* "-"??_-;_-@_-</c:formatCode>
                <c:ptCount val="10"/>
                <c:pt idx="0">
                  <c:v>2272</c:v>
                </c:pt>
                <c:pt idx="1">
                  <c:v>2316</c:v>
                </c:pt>
                <c:pt idx="2">
                  <c:v>2026</c:v>
                </c:pt>
                <c:pt idx="3">
                  <c:v>1553</c:v>
                </c:pt>
                <c:pt idx="4">
                  <c:v>2114</c:v>
                </c:pt>
                <c:pt idx="5">
                  <c:v>3169</c:v>
                </c:pt>
                <c:pt idx="6">
                  <c:v>1992</c:v>
                </c:pt>
                <c:pt idx="7">
                  <c:v>4134</c:v>
                </c:pt>
                <c:pt idx="8">
                  <c:v>7132</c:v>
                </c:pt>
                <c:pt idx="9">
                  <c:v>7151</c:v>
                </c:pt>
              </c:numCache>
            </c:numRef>
          </c:val>
        </c:ser>
        <c:marker val="1"/>
        <c:axId val="156862720"/>
        <c:axId val="156872704"/>
      </c:lineChart>
      <c:catAx>
        <c:axId val="156862720"/>
        <c:scaling>
          <c:orientation val="minMax"/>
        </c:scaling>
        <c:axPos val="b"/>
        <c:numFmt formatCode="General" sourceLinked="1"/>
        <c:tickLblPos val="nextTo"/>
        <c:txPr>
          <a:bodyPr/>
          <a:lstStyle/>
          <a:p>
            <a:pPr>
              <a:defRPr lang="ru-RU"/>
            </a:pPr>
            <a:endParaRPr lang="pt-BR"/>
          </a:p>
        </c:txPr>
        <c:crossAx val="156872704"/>
        <c:crosses val="autoZero"/>
        <c:auto val="1"/>
        <c:lblAlgn val="ctr"/>
        <c:lblOffset val="100"/>
      </c:catAx>
      <c:valAx>
        <c:axId val="156872704"/>
        <c:scaling>
          <c:orientation val="minMax"/>
        </c:scaling>
        <c:axPos val="l"/>
        <c:majorGridlines/>
        <c:numFmt formatCode="_-* #,##0.00_-;\-* #,##0.00_-;_-* &quot;-&quot;??_-;_-@_-" sourceLinked="1"/>
        <c:tickLblPos val="nextTo"/>
        <c:txPr>
          <a:bodyPr/>
          <a:lstStyle/>
          <a:p>
            <a:pPr>
              <a:defRPr lang="ru-RU"/>
            </a:pPr>
            <a:endParaRPr lang="pt-BR"/>
          </a:p>
        </c:txPr>
        <c:crossAx val="156862720"/>
        <c:crosses val="autoZero"/>
        <c:crossBetween val="between"/>
      </c:valAx>
    </c:plotArea>
    <c:legend>
      <c:legendPos val="b"/>
      <c:txPr>
        <a:bodyPr/>
        <a:lstStyle/>
        <a:p>
          <a:pPr>
            <a:defRPr lang="ru-RU"/>
          </a:pPr>
          <a:endParaRPr lang="pt-BR"/>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cked"/>
        <c:ser>
          <c:idx val="0"/>
          <c:order val="0"/>
          <c:tx>
            <c:strRef>
              <c:f>'Estatísticas (3)'!$A$11</c:f>
              <c:strCache>
                <c:ptCount val="1"/>
                <c:pt idx="0">
                  <c:v>Taxa de Roubo de Veículo</c:v>
                </c:pt>
              </c:strCache>
            </c:strRef>
          </c:tx>
          <c:marker>
            <c:symbol val="none"/>
          </c:marker>
          <c:dLbls>
            <c:dLbl>
              <c:idx val="8"/>
              <c:layout>
                <c:manualLayout>
                  <c:x val="-5.4570259208731415E-3"/>
                  <c:y val="7.0351758793969849E-2"/>
                </c:manualLayout>
              </c:layout>
              <c:showVal val="1"/>
            </c:dLbl>
            <c:txPr>
              <a:bodyPr/>
              <a:lstStyle/>
              <a:p>
                <a:pPr>
                  <a:defRPr lang="ru-RU"/>
                </a:pPr>
                <a:endParaRPr lang="pt-BR"/>
              </a:p>
            </c:txPr>
            <c:showVal val="1"/>
          </c:dLbls>
          <c:cat>
            <c:numRef>
              <c:f>'Estatísticas (3)'!$B$1:$K$1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(3)'!$B$11:$K$11</c:f>
              <c:numCache>
                <c:formatCode>_-* #,##0.00_-;\-* #,##0.00_-;_-* "-"??_-;_-@_-</c:formatCode>
                <c:ptCount val="10"/>
                <c:pt idx="0">
                  <c:v>41.08</c:v>
                </c:pt>
                <c:pt idx="1">
                  <c:v>41.88</c:v>
                </c:pt>
                <c:pt idx="2">
                  <c:v>35.4</c:v>
                </c:pt>
                <c:pt idx="3">
                  <c:v>26.6</c:v>
                </c:pt>
                <c:pt idx="4">
                  <c:v>36.200000000000003</c:v>
                </c:pt>
                <c:pt idx="5">
                  <c:v>53.5</c:v>
                </c:pt>
                <c:pt idx="6">
                  <c:v>33.630000000000003</c:v>
                </c:pt>
                <c:pt idx="7">
                  <c:v>69.790000000000006</c:v>
                </c:pt>
                <c:pt idx="8">
                  <c:v>115.86999999999999</c:v>
                </c:pt>
                <c:pt idx="9">
                  <c:v>116.17999999999998</c:v>
                </c:pt>
              </c:numCache>
            </c:numRef>
          </c:val>
        </c:ser>
        <c:marker val="1"/>
        <c:axId val="157035904"/>
        <c:axId val="157041792"/>
      </c:lineChart>
      <c:catAx>
        <c:axId val="157035904"/>
        <c:scaling>
          <c:orientation val="minMax"/>
        </c:scaling>
        <c:axPos val="b"/>
        <c:numFmt formatCode="General" sourceLinked="1"/>
        <c:tickLblPos val="nextTo"/>
        <c:txPr>
          <a:bodyPr/>
          <a:lstStyle/>
          <a:p>
            <a:pPr>
              <a:defRPr lang="ru-RU"/>
            </a:pPr>
            <a:endParaRPr lang="pt-BR"/>
          </a:p>
        </c:txPr>
        <c:crossAx val="157041792"/>
        <c:crosses val="autoZero"/>
        <c:auto val="1"/>
        <c:lblAlgn val="ctr"/>
        <c:lblOffset val="100"/>
      </c:catAx>
      <c:valAx>
        <c:axId val="157041792"/>
        <c:scaling>
          <c:orientation val="minMax"/>
          <c:max val="120"/>
          <c:min val="20"/>
        </c:scaling>
        <c:axPos val="l"/>
        <c:majorGridlines/>
        <c:numFmt formatCode="_-* #,##0.00_-;\-* #,##0.00_-;_-* &quot;-&quot;??_-;_-@_-" sourceLinked="1"/>
        <c:tickLblPos val="nextTo"/>
        <c:txPr>
          <a:bodyPr/>
          <a:lstStyle/>
          <a:p>
            <a:pPr>
              <a:defRPr lang="ru-RU"/>
            </a:pPr>
            <a:endParaRPr lang="pt-BR"/>
          </a:p>
        </c:txPr>
        <c:crossAx val="157035904"/>
        <c:crosses val="autoZero"/>
        <c:crossBetween val="between"/>
      </c:valAx>
    </c:plotArea>
    <c:legend>
      <c:legendPos val="b"/>
      <c:layout>
        <c:manualLayout>
          <c:xMode val="edge"/>
          <c:yMode val="edge"/>
          <c:x val="0.32967857123766076"/>
          <c:y val="0.89129854808990716"/>
          <c:w val="0.34969450101832994"/>
          <c:h val="7.5361172685254316E-2"/>
        </c:manualLayout>
      </c:layout>
      <c:txPr>
        <a:bodyPr/>
        <a:lstStyle/>
        <a:p>
          <a:pPr>
            <a:defRPr lang="ru-RU"/>
          </a:pPr>
          <a:endParaRPr lang="pt-BR"/>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'Efetivo Policial'!$A$2</c:f>
              <c:strCache>
                <c:ptCount val="1"/>
                <c:pt idx="0">
                  <c:v>Policiais Militares</c:v>
                </c:pt>
              </c:strCache>
            </c:strRef>
          </c:tx>
          <c:marker>
            <c:symbol val="none"/>
          </c:marker>
          <c:dLbls>
            <c:txPr>
              <a:bodyPr/>
              <a:lstStyle/>
              <a:p>
                <a:pPr>
                  <a:defRPr lang="ru-RU"/>
                </a:pPr>
                <a:endParaRPr lang="pt-BR"/>
              </a:p>
            </c:txPr>
            <c:showVal val="1"/>
          </c:dLbls>
          <c:cat>
            <c:strRef>
              <c:f>'Efetivo Policial'!$B$1:$I$1</c:f>
              <c:strCache>
                <c:ptCount val="8"/>
                <c:pt idx="0">
                  <c:v>2004</c:v>
                </c:pt>
                <c:pt idx="1">
                  <c:v>2005</c:v>
                </c:pt>
                <c:pt idx="2">
                  <c:v>2006</c:v>
                </c:pt>
                <c:pt idx="3">
                  <c:v>2007</c:v>
                </c:pt>
                <c:pt idx="4">
                  <c:v>2008</c:v>
                </c:pt>
                <c:pt idx="5">
                  <c:v>2009</c:v>
                </c:pt>
                <c:pt idx="6">
                  <c:v>2010</c:v>
                </c:pt>
                <c:pt idx="7">
                  <c:v>2011</c:v>
                </c:pt>
              </c:strCache>
            </c:strRef>
          </c:cat>
          <c:val>
            <c:numRef>
              <c:f>'Efetivo Policial'!$B$2:$I$2</c:f>
              <c:numCache>
                <c:formatCode>_-* #,##0_-;\-* #,##0_-;_-* "-"??_-;_-@_-</c:formatCode>
                <c:ptCount val="8"/>
                <c:pt idx="0">
                  <c:v>12073</c:v>
                </c:pt>
                <c:pt idx="1">
                  <c:v>12304.5</c:v>
                </c:pt>
                <c:pt idx="2">
                  <c:v>12536</c:v>
                </c:pt>
                <c:pt idx="3">
                  <c:v>12695</c:v>
                </c:pt>
                <c:pt idx="4">
                  <c:v>12475</c:v>
                </c:pt>
                <c:pt idx="5">
                  <c:v>12042</c:v>
                </c:pt>
                <c:pt idx="6">
                  <c:v>12878</c:v>
                </c:pt>
                <c:pt idx="7">
                  <c:v>12547</c:v>
                </c:pt>
              </c:numCache>
            </c:numRef>
          </c:val>
        </c:ser>
        <c:ser>
          <c:idx val="1"/>
          <c:order val="1"/>
          <c:tx>
            <c:strRef>
              <c:f>'Efetivo Policial'!$A$3</c:f>
              <c:strCache>
                <c:ptCount val="1"/>
                <c:pt idx="0">
                  <c:v>Policiais Civis</c:v>
                </c:pt>
              </c:strCache>
            </c:strRef>
          </c:tx>
          <c:marker>
            <c:symbol val="none"/>
          </c:marker>
          <c:dLbls>
            <c:txPr>
              <a:bodyPr/>
              <a:lstStyle/>
              <a:p>
                <a:pPr>
                  <a:defRPr lang="ru-RU"/>
                </a:pPr>
                <a:endParaRPr lang="pt-BR"/>
              </a:p>
            </c:txPr>
            <c:showVal val="1"/>
          </c:dLbls>
          <c:cat>
            <c:strRef>
              <c:f>'Efetivo Policial'!$B$1:$I$1</c:f>
              <c:strCache>
                <c:ptCount val="8"/>
                <c:pt idx="0">
                  <c:v>2004</c:v>
                </c:pt>
                <c:pt idx="1">
                  <c:v>2005</c:v>
                </c:pt>
                <c:pt idx="2">
                  <c:v>2006</c:v>
                </c:pt>
                <c:pt idx="3">
                  <c:v>2007</c:v>
                </c:pt>
                <c:pt idx="4">
                  <c:v>2008</c:v>
                </c:pt>
                <c:pt idx="5">
                  <c:v>2009</c:v>
                </c:pt>
                <c:pt idx="6">
                  <c:v>2010</c:v>
                </c:pt>
                <c:pt idx="7">
                  <c:v>2011</c:v>
                </c:pt>
              </c:strCache>
            </c:strRef>
          </c:cat>
          <c:val>
            <c:numRef>
              <c:f>'Efetivo Policial'!$B$3:$I$3</c:f>
              <c:numCache>
                <c:formatCode>_-* #,##0_-;\-* #,##0_-;_-* "-"??_-;_-@_-</c:formatCode>
                <c:ptCount val="8"/>
                <c:pt idx="0">
                  <c:v>3086</c:v>
                </c:pt>
                <c:pt idx="1">
                  <c:v>3268</c:v>
                </c:pt>
                <c:pt idx="2">
                  <c:v>3450</c:v>
                </c:pt>
                <c:pt idx="3">
                  <c:v>3140</c:v>
                </c:pt>
                <c:pt idx="4">
                  <c:v>3098</c:v>
                </c:pt>
                <c:pt idx="5">
                  <c:v>3496</c:v>
                </c:pt>
                <c:pt idx="6">
                  <c:v>3024</c:v>
                </c:pt>
                <c:pt idx="7">
                  <c:v>3362</c:v>
                </c:pt>
              </c:numCache>
            </c:numRef>
          </c:val>
        </c:ser>
        <c:marker val="1"/>
        <c:axId val="156824320"/>
        <c:axId val="156827008"/>
      </c:lineChart>
      <c:catAx>
        <c:axId val="156824320"/>
        <c:scaling>
          <c:orientation val="minMax"/>
        </c:scaling>
        <c:axPos val="b"/>
        <c:tickLblPos val="nextTo"/>
        <c:txPr>
          <a:bodyPr/>
          <a:lstStyle/>
          <a:p>
            <a:pPr>
              <a:defRPr lang="ru-RU"/>
            </a:pPr>
            <a:endParaRPr lang="pt-BR"/>
          </a:p>
        </c:txPr>
        <c:crossAx val="156827008"/>
        <c:crosses val="autoZero"/>
        <c:auto val="1"/>
        <c:lblAlgn val="ctr"/>
        <c:lblOffset val="100"/>
      </c:catAx>
      <c:valAx>
        <c:axId val="156827008"/>
        <c:scaling>
          <c:orientation val="minMax"/>
        </c:scaling>
        <c:axPos val="l"/>
        <c:majorGridlines/>
        <c:numFmt formatCode="_-* #,##0_-;\-* #,##0_-;_-* &quot;-&quot;??_-;_-@_-" sourceLinked="1"/>
        <c:tickLblPos val="nextTo"/>
        <c:txPr>
          <a:bodyPr/>
          <a:lstStyle/>
          <a:p>
            <a:pPr>
              <a:defRPr lang="ru-RU"/>
            </a:pPr>
            <a:endParaRPr lang="pt-BR"/>
          </a:p>
        </c:txPr>
        <c:crossAx val="156824320"/>
        <c:crosses val="autoZero"/>
        <c:crossBetween val="between"/>
      </c:valAx>
    </c:plotArea>
    <c:legend>
      <c:legendPos val="b"/>
      <c:txPr>
        <a:bodyPr/>
        <a:lstStyle/>
        <a:p>
          <a:pPr>
            <a:defRPr lang="ru-RU"/>
          </a:pPr>
          <a:endParaRPr lang="pt-BR"/>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'Plan1 (2)'!$A$11</c:f>
              <c:strCache>
                <c:ptCount val="1"/>
                <c:pt idx="0">
                  <c:v>Sec. Segurança Pública</c:v>
                </c:pt>
              </c:strCache>
            </c:strRef>
          </c:tx>
          <c:marker>
            <c:symbol val="none"/>
          </c:marker>
          <c:cat>
            <c:strRef>
              <c:f>'Plan1 (2)'!$B$10:$K$10</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(2)'!$B$11:$K$11</c:f>
              <c:numCache>
                <c:formatCode>#,##0.00</c:formatCode>
                <c:ptCount val="10"/>
                <c:pt idx="0">
                  <c:v>10208999.43</c:v>
                </c:pt>
                <c:pt idx="1">
                  <c:v>6306774.5</c:v>
                </c:pt>
                <c:pt idx="2">
                  <c:v>5054408.1000000006</c:v>
                </c:pt>
                <c:pt idx="3">
                  <c:v>7267107.0700000003</c:v>
                </c:pt>
                <c:pt idx="4">
                  <c:v>18548164.34</c:v>
                </c:pt>
                <c:pt idx="5">
                  <c:v>34877759.93</c:v>
                </c:pt>
                <c:pt idx="6">
                  <c:v>39649137.210000001</c:v>
                </c:pt>
                <c:pt idx="7">
                  <c:v>19093620.469999976</c:v>
                </c:pt>
                <c:pt idx="8">
                  <c:v>25050894.600000001</c:v>
                </c:pt>
                <c:pt idx="9">
                  <c:v>26437056.309999999</c:v>
                </c:pt>
              </c:numCache>
            </c:numRef>
          </c:val>
        </c:ser>
        <c:ser>
          <c:idx val="1"/>
          <c:order val="1"/>
          <c:tx>
            <c:strRef>
              <c:f>'Plan1 (2)'!$A$12</c:f>
              <c:strCache>
                <c:ptCount val="1"/>
                <c:pt idx="0">
                  <c:v>Polícia Militar</c:v>
                </c:pt>
              </c:strCache>
            </c:strRef>
          </c:tx>
          <c:marker>
            <c:symbol val="none"/>
          </c:marker>
          <c:cat>
            <c:strRef>
              <c:f>'Plan1 (2)'!$B$10:$K$10</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(2)'!$B$12:$K$12</c:f>
              <c:numCache>
                <c:formatCode>#,##0.00</c:formatCode>
                <c:ptCount val="10"/>
                <c:pt idx="0">
                  <c:v>19821713.34</c:v>
                </c:pt>
                <c:pt idx="1">
                  <c:v>22952932.43</c:v>
                </c:pt>
                <c:pt idx="2">
                  <c:v>22167971.399999999</c:v>
                </c:pt>
                <c:pt idx="3">
                  <c:v>25326094.039999999</c:v>
                </c:pt>
                <c:pt idx="4">
                  <c:v>21235993.370000001</c:v>
                </c:pt>
                <c:pt idx="5">
                  <c:v>25555776.789999992</c:v>
                </c:pt>
                <c:pt idx="6">
                  <c:v>24801908.510000005</c:v>
                </c:pt>
                <c:pt idx="7">
                  <c:v>30907507.91</c:v>
                </c:pt>
                <c:pt idx="8">
                  <c:v>27545304.979999997</c:v>
                </c:pt>
                <c:pt idx="9">
                  <c:v>33984379.210000001</c:v>
                </c:pt>
              </c:numCache>
            </c:numRef>
          </c:val>
        </c:ser>
        <c:ser>
          <c:idx val="2"/>
          <c:order val="2"/>
          <c:tx>
            <c:strRef>
              <c:f>'Plan1 (2)'!$A$13</c:f>
              <c:strCache>
                <c:ptCount val="1"/>
                <c:pt idx="0">
                  <c:v>Polícia Civil</c:v>
                </c:pt>
              </c:strCache>
            </c:strRef>
          </c:tx>
          <c:marker>
            <c:symbol val="none"/>
          </c:marker>
          <c:cat>
            <c:strRef>
              <c:f>'Plan1 (2)'!$B$10:$K$10</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(2)'!$B$13:$K$13</c:f>
              <c:numCache>
                <c:formatCode>#,##0.00</c:formatCode>
                <c:ptCount val="10"/>
                <c:pt idx="0">
                  <c:v>8666074.289999973</c:v>
                </c:pt>
                <c:pt idx="1">
                  <c:v>9228285.6099999771</c:v>
                </c:pt>
                <c:pt idx="2">
                  <c:v>8653084.4900000002</c:v>
                </c:pt>
                <c:pt idx="3">
                  <c:v>10342185.43</c:v>
                </c:pt>
                <c:pt idx="4">
                  <c:v>10641967.380000006</c:v>
                </c:pt>
                <c:pt idx="5">
                  <c:v>16603071.49</c:v>
                </c:pt>
                <c:pt idx="6">
                  <c:v>16141393.850000016</c:v>
                </c:pt>
                <c:pt idx="7">
                  <c:v>19832140.23</c:v>
                </c:pt>
                <c:pt idx="8">
                  <c:v>14131782.32</c:v>
                </c:pt>
                <c:pt idx="9">
                  <c:v>22660251.09</c:v>
                </c:pt>
              </c:numCache>
            </c:numRef>
          </c:val>
        </c:ser>
        <c:ser>
          <c:idx val="3"/>
          <c:order val="3"/>
          <c:tx>
            <c:strRef>
              <c:f>'Plan1 (2)'!$A$14</c:f>
              <c:strCache>
                <c:ptCount val="1"/>
                <c:pt idx="0">
                  <c:v>FUNESP</c:v>
                </c:pt>
              </c:strCache>
            </c:strRef>
          </c:tx>
          <c:marker>
            <c:symbol val="none"/>
          </c:marker>
          <c:cat>
            <c:strRef>
              <c:f>'Plan1 (2)'!$B$10:$K$10</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(2)'!$B$14:$K$14</c:f>
              <c:numCache>
                <c:formatCode>#,##0.00</c:formatCode>
                <c:ptCount val="10"/>
                <c:pt idx="0">
                  <c:v>3508168.67</c:v>
                </c:pt>
                <c:pt idx="1">
                  <c:v>5050533.28</c:v>
                </c:pt>
                <c:pt idx="2">
                  <c:v>8101005.0800000001</c:v>
                </c:pt>
                <c:pt idx="3">
                  <c:v>29827429.59</c:v>
                </c:pt>
                <c:pt idx="4">
                  <c:v>29355515.479999997</c:v>
                </c:pt>
                <c:pt idx="5">
                  <c:v>37446897.960000001</c:v>
                </c:pt>
                <c:pt idx="6">
                  <c:v>43974198.830000006</c:v>
                </c:pt>
                <c:pt idx="7">
                  <c:v>46474917.090000011</c:v>
                </c:pt>
                <c:pt idx="8">
                  <c:v>55144960.890000001</c:v>
                </c:pt>
                <c:pt idx="9">
                  <c:v>57883884.630000003</c:v>
                </c:pt>
              </c:numCache>
            </c:numRef>
          </c:val>
        </c:ser>
        <c:ser>
          <c:idx val="4"/>
          <c:order val="4"/>
          <c:tx>
            <c:strRef>
              <c:f>'Plan1 (2)'!$A$15</c:f>
              <c:strCache>
                <c:ptCount val="1"/>
                <c:pt idx="0">
                  <c:v>Sec. Adm. Penitenciária</c:v>
                </c:pt>
              </c:strCache>
            </c:strRef>
          </c:tx>
          <c:spPr>
            <a:ln>
              <a:solidFill>
                <a:schemeClr val="tx1"/>
              </a:solidFill>
            </a:ln>
          </c:spPr>
          <c:marker>
            <c:symbol val="none"/>
          </c:marker>
          <c:cat>
            <c:strRef>
              <c:f>'Plan1 (2)'!$B$10:$K$10</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(2)'!$B$15:$K$15</c:f>
              <c:numCache>
                <c:formatCode>#,##0.00</c:formatCode>
                <c:ptCount val="10"/>
                <c:pt idx="0">
                  <c:v>7396710.1499999994</c:v>
                </c:pt>
                <c:pt idx="1">
                  <c:v>8018347.79</c:v>
                </c:pt>
                <c:pt idx="2">
                  <c:v>8485281.5900000036</c:v>
                </c:pt>
                <c:pt idx="3">
                  <c:v>12980075.760000005</c:v>
                </c:pt>
                <c:pt idx="4">
                  <c:v>1697370.9899999951</c:v>
                </c:pt>
                <c:pt idx="5">
                  <c:v>0</c:v>
                </c:pt>
                <c:pt idx="6">
                  <c:v>0</c:v>
                </c:pt>
                <c:pt idx="7">
                  <c:v>27034921.789999992</c:v>
                </c:pt>
                <c:pt idx="8">
                  <c:v>58607978.600000001</c:v>
                </c:pt>
                <c:pt idx="9">
                  <c:v>23867410.260000002</c:v>
                </c:pt>
              </c:numCache>
            </c:numRef>
          </c:val>
        </c:ser>
        <c:marker val="1"/>
        <c:axId val="148277120"/>
        <c:axId val="148278656"/>
      </c:lineChart>
      <c:catAx>
        <c:axId val="148277120"/>
        <c:scaling>
          <c:orientation val="minMax"/>
        </c:scaling>
        <c:axPos val="b"/>
        <c:tickLblPos val="nextTo"/>
        <c:txPr>
          <a:bodyPr/>
          <a:lstStyle/>
          <a:p>
            <a:pPr>
              <a:defRPr lang="ru-RU"/>
            </a:pPr>
            <a:endParaRPr lang="pt-BR"/>
          </a:p>
        </c:txPr>
        <c:crossAx val="148278656"/>
        <c:crosses val="autoZero"/>
        <c:auto val="1"/>
        <c:lblAlgn val="ctr"/>
        <c:lblOffset val="100"/>
      </c:catAx>
      <c:valAx>
        <c:axId val="148278656"/>
        <c:scaling>
          <c:orientation val="minMax"/>
          <c:max val="60000000.000000007"/>
          <c:min val="0"/>
        </c:scaling>
        <c:axPos val="l"/>
        <c:majorGridlines/>
        <c:numFmt formatCode="#,##0.00" sourceLinked="1"/>
        <c:tickLblPos val="nextTo"/>
        <c:txPr>
          <a:bodyPr/>
          <a:lstStyle/>
          <a:p>
            <a:pPr>
              <a:defRPr lang="ru-RU"/>
            </a:pPr>
            <a:endParaRPr lang="pt-BR"/>
          </a:p>
        </c:txPr>
        <c:crossAx val="148277120"/>
        <c:crosses val="autoZero"/>
        <c:crossBetween val="between"/>
        <c:majorUnit val="10000000"/>
      </c:valAx>
    </c:plotArea>
    <c:legend>
      <c:legendPos val="b"/>
      <c:txPr>
        <a:bodyPr/>
        <a:lstStyle/>
        <a:p>
          <a:pPr>
            <a:defRPr lang="ru-RU"/>
          </a:pPr>
          <a:endParaRPr lang="pt-BR"/>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'Plan1 (2)'!$A$19</c:f>
              <c:strCache>
                <c:ptCount val="1"/>
                <c:pt idx="0">
                  <c:v>Sec. Segurança Pública</c:v>
                </c:pt>
              </c:strCache>
            </c:strRef>
          </c:tx>
          <c:marker>
            <c:symbol val="none"/>
          </c:marker>
          <c:cat>
            <c:strRef>
              <c:f>'Plan1 (2)'!$B$18:$K$18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(2)'!$B$19:$K$19</c:f>
              <c:numCache>
                <c:formatCode>#,##0.00</c:formatCode>
                <c:ptCount val="10"/>
                <c:pt idx="0">
                  <c:v>15556188.27</c:v>
                </c:pt>
                <c:pt idx="1">
                  <c:v>13060462.869999999</c:v>
                </c:pt>
                <c:pt idx="2">
                  <c:v>2008756.3</c:v>
                </c:pt>
                <c:pt idx="3">
                  <c:v>2786783.68</c:v>
                </c:pt>
                <c:pt idx="4">
                  <c:v>4094419.3699999987</c:v>
                </c:pt>
                <c:pt idx="5">
                  <c:v>2731152.44</c:v>
                </c:pt>
                <c:pt idx="6">
                  <c:v>1577319.99</c:v>
                </c:pt>
                <c:pt idx="7">
                  <c:v>4184311.53</c:v>
                </c:pt>
                <c:pt idx="8">
                  <c:v>1405666.58</c:v>
                </c:pt>
                <c:pt idx="9">
                  <c:v>2497205.7200000002</c:v>
                </c:pt>
              </c:numCache>
            </c:numRef>
          </c:val>
        </c:ser>
        <c:ser>
          <c:idx val="1"/>
          <c:order val="1"/>
          <c:tx>
            <c:strRef>
              <c:f>'Plan1 (2)'!$A$20</c:f>
              <c:strCache>
                <c:ptCount val="1"/>
                <c:pt idx="0">
                  <c:v>Polícia Militar</c:v>
                </c:pt>
              </c:strCache>
            </c:strRef>
          </c:tx>
          <c:marker>
            <c:symbol val="none"/>
          </c:marker>
          <c:cat>
            <c:strRef>
              <c:f>'Plan1 (2)'!$B$18:$K$18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(2)'!$B$20:$K$20</c:f>
              <c:numCache>
                <c:formatCode>#,##0.00</c:formatCode>
                <c:ptCount val="10"/>
                <c:pt idx="0">
                  <c:v>115499.6</c:v>
                </c:pt>
                <c:pt idx="1">
                  <c:v>139266</c:v>
                </c:pt>
                <c:pt idx="2" formatCode="General">
                  <c:v>0</c:v>
                </c:pt>
                <c:pt idx="3">
                  <c:v>6093.9</c:v>
                </c:pt>
                <c:pt idx="4">
                  <c:v>304251.58</c:v>
                </c:pt>
                <c:pt idx="5">
                  <c:v>372195.95</c:v>
                </c:pt>
                <c:pt idx="6">
                  <c:v>3625367.44</c:v>
                </c:pt>
                <c:pt idx="7">
                  <c:v>230523.57</c:v>
                </c:pt>
                <c:pt idx="8">
                  <c:v>93182.409999999989</c:v>
                </c:pt>
                <c:pt idx="9">
                  <c:v>2133296.5099999998</c:v>
                </c:pt>
              </c:numCache>
            </c:numRef>
          </c:val>
        </c:ser>
        <c:ser>
          <c:idx val="2"/>
          <c:order val="2"/>
          <c:tx>
            <c:strRef>
              <c:f>'Plan1 (2)'!$A$21</c:f>
              <c:strCache>
                <c:ptCount val="1"/>
                <c:pt idx="0">
                  <c:v>Polícia Civil</c:v>
                </c:pt>
              </c:strCache>
            </c:strRef>
          </c:tx>
          <c:marker>
            <c:symbol val="none"/>
          </c:marker>
          <c:cat>
            <c:strRef>
              <c:f>'Plan1 (2)'!$B$18:$K$18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(2)'!$B$21:$K$21</c:f>
              <c:numCache>
                <c:formatCode>#,##0.00</c:formatCode>
                <c:ptCount val="10"/>
                <c:pt idx="0">
                  <c:v>86685.98</c:v>
                </c:pt>
                <c:pt idx="1">
                  <c:v>2560.6999999999998</c:v>
                </c:pt>
                <c:pt idx="2">
                  <c:v>41188.050000000003</c:v>
                </c:pt>
                <c:pt idx="3">
                  <c:v>139268.01999999999</c:v>
                </c:pt>
                <c:pt idx="4">
                  <c:v>353671.6</c:v>
                </c:pt>
                <c:pt idx="5">
                  <c:v>240245.55</c:v>
                </c:pt>
                <c:pt idx="6">
                  <c:v>170058</c:v>
                </c:pt>
                <c:pt idx="7">
                  <c:v>125614.5</c:v>
                </c:pt>
                <c:pt idx="8">
                  <c:v>1937978.8</c:v>
                </c:pt>
                <c:pt idx="9">
                  <c:v>1411789.6300000001</c:v>
                </c:pt>
              </c:numCache>
            </c:numRef>
          </c:val>
        </c:ser>
        <c:ser>
          <c:idx val="3"/>
          <c:order val="3"/>
          <c:tx>
            <c:strRef>
              <c:f>'Plan1 (2)'!$A$22</c:f>
              <c:strCache>
                <c:ptCount val="1"/>
                <c:pt idx="0">
                  <c:v>FUNESP</c:v>
                </c:pt>
              </c:strCache>
            </c:strRef>
          </c:tx>
          <c:marker>
            <c:symbol val="none"/>
          </c:marker>
          <c:cat>
            <c:strRef>
              <c:f>'Plan1 (2)'!$B$18:$K$18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(2)'!$B$22:$K$22</c:f>
              <c:numCache>
                <c:formatCode>#,##0.00</c:formatCode>
                <c:ptCount val="10"/>
                <c:pt idx="0">
                  <c:v>3661546.7</c:v>
                </c:pt>
                <c:pt idx="1">
                  <c:v>12815274.470000004</c:v>
                </c:pt>
                <c:pt idx="2">
                  <c:v>6955666.04</c:v>
                </c:pt>
                <c:pt idx="3">
                  <c:v>10448361.439999985</c:v>
                </c:pt>
                <c:pt idx="4">
                  <c:v>13633449.18</c:v>
                </c:pt>
                <c:pt idx="5">
                  <c:v>44797825.440000005</c:v>
                </c:pt>
                <c:pt idx="6">
                  <c:v>20216461.43</c:v>
                </c:pt>
                <c:pt idx="7">
                  <c:v>7192722.6599999992</c:v>
                </c:pt>
                <c:pt idx="8">
                  <c:v>14873522.369999999</c:v>
                </c:pt>
                <c:pt idx="9">
                  <c:v>14208700.189999985</c:v>
                </c:pt>
              </c:numCache>
            </c:numRef>
          </c:val>
        </c:ser>
        <c:ser>
          <c:idx val="4"/>
          <c:order val="4"/>
          <c:tx>
            <c:strRef>
              <c:f>'Plan1 (2)'!$A$23</c:f>
              <c:strCache>
                <c:ptCount val="1"/>
                <c:pt idx="0">
                  <c:v>Sec. Adm. Penitenciária</c:v>
                </c:pt>
              </c:strCache>
            </c:strRef>
          </c:tx>
          <c:marker>
            <c:symbol val="none"/>
          </c:marker>
          <c:cat>
            <c:strRef>
              <c:f>'Plan1 (2)'!$B$18:$K$18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'Plan1 (2)'!$B$23:$K$23</c:f>
              <c:numCache>
                <c:formatCode>#,##0.00</c:formatCode>
                <c:ptCount val="10"/>
                <c:pt idx="0">
                  <c:v>1198611.9599999941</c:v>
                </c:pt>
                <c:pt idx="1">
                  <c:v>875883.91000000015</c:v>
                </c:pt>
                <c:pt idx="2">
                  <c:v>582855.23</c:v>
                </c:pt>
                <c:pt idx="3">
                  <c:v>1287801.83</c:v>
                </c:pt>
                <c:pt idx="4">
                  <c:v>603869.46000000043</c:v>
                </c:pt>
                <c:pt idx="5">
                  <c:v>0</c:v>
                </c:pt>
                <c:pt idx="6">
                  <c:v>0</c:v>
                </c:pt>
                <c:pt idx="7">
                  <c:v>1152831.31</c:v>
                </c:pt>
                <c:pt idx="8">
                  <c:v>8071271.1000000006</c:v>
                </c:pt>
                <c:pt idx="9">
                  <c:v>280914.93000000028</c:v>
                </c:pt>
              </c:numCache>
            </c:numRef>
          </c:val>
        </c:ser>
        <c:marker val="1"/>
        <c:axId val="148555648"/>
        <c:axId val="148557184"/>
      </c:lineChart>
      <c:catAx>
        <c:axId val="148555648"/>
        <c:scaling>
          <c:orientation val="minMax"/>
        </c:scaling>
        <c:axPos val="b"/>
        <c:tickLblPos val="nextTo"/>
        <c:txPr>
          <a:bodyPr/>
          <a:lstStyle/>
          <a:p>
            <a:pPr>
              <a:defRPr lang="ru-RU"/>
            </a:pPr>
            <a:endParaRPr lang="pt-BR"/>
          </a:p>
        </c:txPr>
        <c:crossAx val="148557184"/>
        <c:crosses val="autoZero"/>
        <c:auto val="1"/>
        <c:lblAlgn val="ctr"/>
        <c:lblOffset val="100"/>
      </c:catAx>
      <c:valAx>
        <c:axId val="148557184"/>
        <c:scaling>
          <c:orientation val="minMax"/>
        </c:scaling>
        <c:axPos val="l"/>
        <c:majorGridlines/>
        <c:numFmt formatCode="#,##0.00" sourceLinked="1"/>
        <c:tickLblPos val="nextTo"/>
        <c:txPr>
          <a:bodyPr/>
          <a:lstStyle/>
          <a:p>
            <a:pPr>
              <a:defRPr lang="ru-RU"/>
            </a:pPr>
            <a:endParaRPr lang="pt-BR"/>
          </a:p>
        </c:txPr>
        <c:crossAx val="148555648"/>
        <c:crosses val="autoZero"/>
        <c:crossBetween val="between"/>
      </c:valAx>
    </c:plotArea>
    <c:legend>
      <c:legendPos val="b"/>
      <c:txPr>
        <a:bodyPr/>
        <a:lstStyle/>
        <a:p>
          <a:pPr>
            <a:defRPr lang="ru-RU" sz="900"/>
          </a:pPr>
          <a:endParaRPr lang="pt-BR"/>
        </a:p>
      </c:txPr>
    </c:legend>
    <c:plotVisOnly val="1"/>
    <c:dispBlanksAs val="gap"/>
  </c:chart>
  <c:spPr>
    <a:ln w="12700">
      <a:solidFill>
        <a:sysClr val="window" lastClr="FFFFFF">
          <a:lumMod val="50000"/>
        </a:sysClr>
      </a:solidFill>
    </a:ln>
    <a:scene3d>
      <a:camera prst="orthographicFront"/>
      <a:lightRig rig="threePt" dir="t"/>
    </a:scene3d>
    <a:sp3d>
      <a:bevelT w="190500" h="38100"/>
    </a:sp3d>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(2)'!$A$2</c:f>
              <c:strCache>
                <c:ptCount val="1"/>
                <c:pt idx="0">
                  <c:v>Homicídios Dolosos</c:v>
                </c:pt>
              </c:strCache>
            </c:strRef>
          </c:tx>
          <c:marker>
            <c:symbol val="none"/>
          </c:marker>
          <c:dLbls>
            <c:dLbl>
              <c:idx val="4"/>
              <c:layout>
                <c:manualLayout>
                  <c:x val="-2.2634914337542889E-2"/>
                  <c:y val="-6.1569309589880446E-2"/>
                </c:manualLayout>
              </c:layout>
              <c:showVal val="1"/>
            </c:dLbl>
            <c:numFmt formatCode="#,##0" sourceLinked="0"/>
            <c:txPr>
              <a:bodyPr/>
              <a:lstStyle/>
              <a:p>
                <a:pPr>
                  <a:defRPr lang="ru-RU" sz="900"/>
                </a:pPr>
                <a:endParaRPr lang="pt-BR"/>
              </a:p>
            </c:txPr>
            <c:showVal val="1"/>
          </c:dLbls>
          <c:cat>
            <c:numRef>
              <c:f>'Estatísticas (2)'!$B$1:$K$1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(2)'!$B$2:$K$2</c:f>
              <c:numCache>
                <c:formatCode>_-* #,##0.00_-;\-* #,##0.00_-;_-* "-"??_-;_-@_-</c:formatCode>
                <c:ptCount val="10"/>
                <c:pt idx="0">
                  <c:v>1045</c:v>
                </c:pt>
                <c:pt idx="1">
                  <c:v>1124</c:v>
                </c:pt>
                <c:pt idx="2">
                  <c:v>1358</c:v>
                </c:pt>
                <c:pt idx="3">
                  <c:v>1268</c:v>
                </c:pt>
                <c:pt idx="4">
                  <c:v>1493</c:v>
                </c:pt>
                <c:pt idx="5">
                  <c:v>1506</c:v>
                </c:pt>
                <c:pt idx="6">
                  <c:v>1600</c:v>
                </c:pt>
                <c:pt idx="7">
                  <c:v>1984</c:v>
                </c:pt>
                <c:pt idx="8">
                  <c:v>2426</c:v>
                </c:pt>
                <c:pt idx="9">
                  <c:v>2576</c:v>
                </c:pt>
              </c:numCache>
            </c:numRef>
          </c:val>
        </c:ser>
        <c:marker val="1"/>
        <c:axId val="148667392"/>
        <c:axId val="148697856"/>
      </c:lineChart>
      <c:catAx>
        <c:axId val="148667392"/>
        <c:scaling>
          <c:orientation val="minMax"/>
        </c:scaling>
        <c:axPos val="b"/>
        <c:numFmt formatCode="General" sourceLinked="1"/>
        <c:tickLblPos val="nextTo"/>
        <c:txPr>
          <a:bodyPr/>
          <a:lstStyle/>
          <a:p>
            <a:pPr>
              <a:defRPr lang="ru-RU"/>
            </a:pPr>
            <a:endParaRPr lang="pt-BR"/>
          </a:p>
        </c:txPr>
        <c:crossAx val="148697856"/>
        <c:crosses val="autoZero"/>
        <c:auto val="1"/>
        <c:lblAlgn val="ctr"/>
        <c:lblOffset val="100"/>
      </c:catAx>
      <c:valAx>
        <c:axId val="148697856"/>
        <c:scaling>
          <c:orientation val="minMax"/>
          <c:min val="1000"/>
        </c:scaling>
        <c:axPos val="l"/>
        <c:majorGridlines/>
        <c:numFmt formatCode="_-* #,##0_-;\-* #,##0_-;_-* &quot;-&quot;_-;_-@_-" sourceLinked="0"/>
        <c:tickLblPos val="nextTo"/>
        <c:txPr>
          <a:bodyPr/>
          <a:lstStyle/>
          <a:p>
            <a:pPr>
              <a:defRPr lang="ru-RU"/>
            </a:pPr>
            <a:endParaRPr lang="pt-BR"/>
          </a:p>
        </c:txPr>
        <c:crossAx val="148667392"/>
        <c:crosses val="autoZero"/>
        <c:crossBetween val="between"/>
        <c:majorUnit val="500"/>
      </c:valAx>
    </c:plotArea>
    <c:legend>
      <c:legendPos val="b"/>
      <c:txPr>
        <a:bodyPr/>
        <a:lstStyle/>
        <a:p>
          <a:pPr>
            <a:defRPr lang="ru-RU"/>
          </a:pPr>
          <a:endParaRPr lang="pt-BR"/>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(3)'!$A$2</c:f>
              <c:strCache>
                <c:ptCount val="1"/>
                <c:pt idx="0">
                  <c:v>Taxa de Homicídios Dolosos</c:v>
                </c:pt>
              </c:strCache>
            </c:strRef>
          </c:tx>
          <c:marker>
            <c:symbol val="none"/>
          </c:marker>
          <c:dLbls>
            <c:txPr>
              <a:bodyPr/>
              <a:lstStyle/>
              <a:p>
                <a:pPr>
                  <a:defRPr lang="ru-RU"/>
                </a:pPr>
                <a:endParaRPr lang="pt-BR"/>
              </a:p>
            </c:txPr>
            <c:showVal val="1"/>
          </c:dLbls>
          <c:cat>
            <c:numRef>
              <c:f>'Estatísticas (3)'!$B$1:$K$1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(3)'!$B$2:$K$2</c:f>
              <c:numCache>
                <c:formatCode>_-* #,##0.00_-;\-* #,##0.00_-;_-* "-"??_-;_-@_-</c:formatCode>
                <c:ptCount val="10"/>
                <c:pt idx="0">
                  <c:v>19.3</c:v>
                </c:pt>
                <c:pt idx="1">
                  <c:v>20.32</c:v>
                </c:pt>
                <c:pt idx="2">
                  <c:v>23.7</c:v>
                </c:pt>
                <c:pt idx="3">
                  <c:v>21.7</c:v>
                </c:pt>
                <c:pt idx="4">
                  <c:v>25.5</c:v>
                </c:pt>
                <c:pt idx="5">
                  <c:v>25.4</c:v>
                </c:pt>
                <c:pt idx="6">
                  <c:v>16.3</c:v>
                </c:pt>
                <c:pt idx="7">
                  <c:v>16.100000000000001</c:v>
                </c:pt>
                <c:pt idx="8">
                  <c:v>39.42</c:v>
                </c:pt>
                <c:pt idx="9">
                  <c:v>41.849999999999994</c:v>
                </c:pt>
              </c:numCache>
            </c:numRef>
          </c:val>
        </c:ser>
        <c:marker val="1"/>
        <c:axId val="152543616"/>
        <c:axId val="152545152"/>
      </c:lineChart>
      <c:catAx>
        <c:axId val="152543616"/>
        <c:scaling>
          <c:orientation val="minMax"/>
        </c:scaling>
        <c:axPos val="b"/>
        <c:numFmt formatCode="General" sourceLinked="1"/>
        <c:tickLblPos val="nextTo"/>
        <c:txPr>
          <a:bodyPr/>
          <a:lstStyle/>
          <a:p>
            <a:pPr>
              <a:defRPr lang="ru-RU"/>
            </a:pPr>
            <a:endParaRPr lang="pt-BR"/>
          </a:p>
        </c:txPr>
        <c:crossAx val="152545152"/>
        <c:crosses val="autoZero"/>
        <c:auto val="1"/>
        <c:lblAlgn val="ctr"/>
        <c:lblOffset val="100"/>
      </c:catAx>
      <c:valAx>
        <c:axId val="152545152"/>
        <c:scaling>
          <c:orientation val="minMax"/>
          <c:min val="15"/>
        </c:scaling>
        <c:axPos val="l"/>
        <c:majorGridlines/>
        <c:numFmt formatCode="_-* #,##0_-;\-* #,##0_-;_-* &quot;-&quot;_-;_-@_-" sourceLinked="0"/>
        <c:tickLblPos val="nextTo"/>
        <c:txPr>
          <a:bodyPr/>
          <a:lstStyle/>
          <a:p>
            <a:pPr>
              <a:defRPr lang="ru-RU"/>
            </a:pPr>
            <a:endParaRPr lang="pt-BR"/>
          </a:p>
        </c:txPr>
        <c:crossAx val="152543616"/>
        <c:crosses val="autoZero"/>
        <c:crossBetween val="between"/>
      </c:valAx>
    </c:plotArea>
    <c:legend>
      <c:legendPos val="b"/>
      <c:layout>
        <c:manualLayout>
          <c:xMode val="edge"/>
          <c:yMode val="edge"/>
          <c:x val="0.35517430239919295"/>
          <c:y val="0.9026257148320036"/>
          <c:w val="0.37159024524510181"/>
          <c:h val="5.3224174792720395E-2"/>
        </c:manualLayout>
      </c:layout>
      <c:txPr>
        <a:bodyPr/>
        <a:lstStyle/>
        <a:p>
          <a:pPr>
            <a:defRPr lang="ru-RU"/>
          </a:pPr>
          <a:endParaRPr lang="pt-BR"/>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cked"/>
        <c:ser>
          <c:idx val="0"/>
          <c:order val="0"/>
          <c:tx>
            <c:strRef>
              <c:f>'Estatísticas (2)'!$A$3</c:f>
              <c:strCache>
                <c:ptCount val="1"/>
                <c:pt idx="0">
                  <c:v>Latrocínio</c:v>
                </c:pt>
              </c:strCache>
            </c:strRef>
          </c:tx>
          <c:marker>
            <c:symbol val="none"/>
          </c:marker>
          <c:dLbls>
            <c:numFmt formatCode="#,##0" sourceLinked="0"/>
            <c:txPr>
              <a:bodyPr/>
              <a:lstStyle/>
              <a:p>
                <a:pPr>
                  <a:defRPr lang="ru-RU"/>
                </a:pPr>
                <a:endParaRPr lang="pt-BR"/>
              </a:p>
            </c:txPr>
            <c:showVal val="1"/>
          </c:dLbls>
          <c:cat>
            <c:numRef>
              <c:f>'Estatísticas (2)'!$B$1:$K$1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(2)'!$B$3:$K$3</c:f>
              <c:numCache>
                <c:formatCode>_-* #,##0.00_-;\-* #,##0.00_-;_-* "-"??_-;_-@_-</c:formatCode>
                <c:ptCount val="10"/>
                <c:pt idx="0">
                  <c:v>55</c:v>
                </c:pt>
                <c:pt idx="1">
                  <c:v>66</c:v>
                </c:pt>
                <c:pt idx="2">
                  <c:v>72</c:v>
                </c:pt>
                <c:pt idx="3">
                  <c:v>57</c:v>
                </c:pt>
                <c:pt idx="4">
                  <c:v>51</c:v>
                </c:pt>
                <c:pt idx="5">
                  <c:v>60</c:v>
                </c:pt>
                <c:pt idx="6">
                  <c:v>29</c:v>
                </c:pt>
                <c:pt idx="7">
                  <c:v>44</c:v>
                </c:pt>
                <c:pt idx="8">
                  <c:v>84</c:v>
                </c:pt>
                <c:pt idx="9">
                  <c:v>97</c:v>
                </c:pt>
              </c:numCache>
            </c:numRef>
          </c:val>
        </c:ser>
        <c:marker val="1"/>
        <c:axId val="152602112"/>
        <c:axId val="152603648"/>
      </c:lineChart>
      <c:catAx>
        <c:axId val="152602112"/>
        <c:scaling>
          <c:orientation val="minMax"/>
        </c:scaling>
        <c:axPos val="b"/>
        <c:numFmt formatCode="General" sourceLinked="1"/>
        <c:tickLblPos val="nextTo"/>
        <c:txPr>
          <a:bodyPr/>
          <a:lstStyle/>
          <a:p>
            <a:pPr>
              <a:defRPr lang="ru-RU"/>
            </a:pPr>
            <a:endParaRPr lang="pt-BR"/>
          </a:p>
        </c:txPr>
        <c:crossAx val="152603648"/>
        <c:crosses val="autoZero"/>
        <c:auto val="1"/>
        <c:lblAlgn val="ctr"/>
        <c:lblOffset val="100"/>
      </c:catAx>
      <c:valAx>
        <c:axId val="152603648"/>
        <c:scaling>
          <c:orientation val="minMax"/>
          <c:min val="20"/>
        </c:scaling>
        <c:axPos val="l"/>
        <c:majorGridlines/>
        <c:numFmt formatCode="_-* #,##0_-;\-* #,##0_-;_-* &quot;-&quot;_-;_-@_-" sourceLinked="0"/>
        <c:tickLblPos val="nextTo"/>
        <c:txPr>
          <a:bodyPr/>
          <a:lstStyle/>
          <a:p>
            <a:pPr>
              <a:defRPr lang="ru-RU"/>
            </a:pPr>
            <a:endParaRPr lang="pt-BR"/>
          </a:p>
        </c:txPr>
        <c:crossAx val="152602112"/>
        <c:crosses val="autoZero"/>
        <c:crossBetween val="between"/>
      </c:valAx>
    </c:plotArea>
    <c:legend>
      <c:legendPos val="b"/>
      <c:layout>
        <c:manualLayout>
          <c:xMode val="edge"/>
          <c:yMode val="edge"/>
          <c:x val="0.38386738792929626"/>
          <c:y val="0.90693607614593419"/>
          <c:w val="0.22872853094954637"/>
          <c:h val="5.5940954016478812E-2"/>
        </c:manualLayout>
      </c:layout>
      <c:txPr>
        <a:bodyPr/>
        <a:lstStyle/>
        <a:p>
          <a:pPr>
            <a:defRPr lang="ru-RU"/>
          </a:pPr>
          <a:endParaRPr lang="pt-BR"/>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(3)'!$A$3</c:f>
              <c:strCache>
                <c:ptCount val="1"/>
                <c:pt idx="0">
                  <c:v>Taxa de Latrocínio</c:v>
                </c:pt>
              </c:strCache>
            </c:strRef>
          </c:tx>
          <c:marker>
            <c:symbol val="none"/>
          </c:marker>
          <c:dLbls>
            <c:txPr>
              <a:bodyPr/>
              <a:lstStyle/>
              <a:p>
                <a:pPr>
                  <a:defRPr lang="ru-RU"/>
                </a:pPr>
                <a:endParaRPr lang="pt-BR"/>
              </a:p>
            </c:txPr>
            <c:showVal val="1"/>
          </c:dLbls>
          <c:cat>
            <c:numRef>
              <c:f>'Estatísticas (3)'!$B$1:$K$1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(3)'!$B$3:$K$3</c:f>
              <c:numCache>
                <c:formatCode>_-* #,##0.00_-;\-* #,##0.00_-;_-* "-"??_-;_-@_-</c:formatCode>
                <c:ptCount val="10"/>
                <c:pt idx="0">
                  <c:v>1.02</c:v>
                </c:pt>
                <c:pt idx="1">
                  <c:v>1.1900000000000026</c:v>
                </c:pt>
                <c:pt idx="2">
                  <c:v>1.3</c:v>
                </c:pt>
                <c:pt idx="3">
                  <c:v>1</c:v>
                </c:pt>
                <c:pt idx="4">
                  <c:v>0.9</c:v>
                </c:pt>
                <c:pt idx="5">
                  <c:v>1</c:v>
                </c:pt>
                <c:pt idx="6">
                  <c:v>0.5</c:v>
                </c:pt>
                <c:pt idx="7">
                  <c:v>0.70000000000000062</c:v>
                </c:pt>
                <c:pt idx="8">
                  <c:v>1.36</c:v>
                </c:pt>
                <c:pt idx="9">
                  <c:v>1.58</c:v>
                </c:pt>
              </c:numCache>
            </c:numRef>
          </c:val>
        </c:ser>
        <c:marker val="1"/>
        <c:axId val="152623744"/>
        <c:axId val="152772992"/>
      </c:lineChart>
      <c:catAx>
        <c:axId val="152623744"/>
        <c:scaling>
          <c:orientation val="minMax"/>
        </c:scaling>
        <c:axPos val="b"/>
        <c:numFmt formatCode="General" sourceLinked="1"/>
        <c:tickLblPos val="nextTo"/>
        <c:txPr>
          <a:bodyPr/>
          <a:lstStyle/>
          <a:p>
            <a:pPr>
              <a:defRPr lang="ru-RU"/>
            </a:pPr>
            <a:endParaRPr lang="pt-BR"/>
          </a:p>
        </c:txPr>
        <c:crossAx val="152772992"/>
        <c:crosses val="autoZero"/>
        <c:auto val="1"/>
        <c:lblAlgn val="ctr"/>
        <c:lblOffset val="100"/>
      </c:catAx>
      <c:valAx>
        <c:axId val="152772992"/>
        <c:scaling>
          <c:orientation val="minMax"/>
          <c:max val="1.7"/>
          <c:min val="0.4"/>
        </c:scaling>
        <c:axPos val="l"/>
        <c:majorGridlines/>
        <c:numFmt formatCode="_-* #,##0.00_-;\-* #,##0.00_-;_-* &quot;-&quot;??_-;_-@_-" sourceLinked="1"/>
        <c:tickLblPos val="nextTo"/>
        <c:txPr>
          <a:bodyPr/>
          <a:lstStyle/>
          <a:p>
            <a:pPr>
              <a:defRPr lang="ru-RU"/>
            </a:pPr>
            <a:endParaRPr lang="pt-BR"/>
          </a:p>
        </c:txPr>
        <c:crossAx val="152623744"/>
        <c:crosses val="autoZero"/>
        <c:crossBetween val="between"/>
      </c:valAx>
    </c:plotArea>
    <c:legend>
      <c:legendPos val="b"/>
      <c:txPr>
        <a:bodyPr/>
        <a:lstStyle/>
        <a:p>
          <a:pPr>
            <a:defRPr lang="ru-RU"/>
          </a:pPr>
          <a:endParaRPr lang="pt-BR"/>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tx>
            <c:strRef>
              <c:f>'Estatísticas (2)'!$A$6</c:f>
              <c:strCache>
                <c:ptCount val="1"/>
                <c:pt idx="0">
                  <c:v>Tentativa de Homicídio</c:v>
                </c:pt>
              </c:strCache>
            </c:strRef>
          </c:tx>
          <c:marker>
            <c:symbol val="none"/>
          </c:marker>
          <c:dLbls>
            <c:numFmt formatCode="#,##0" sourceLinked="0"/>
            <c:txPr>
              <a:bodyPr/>
              <a:lstStyle/>
              <a:p>
                <a:pPr>
                  <a:defRPr lang="ru-RU" sz="800"/>
                </a:pPr>
                <a:endParaRPr lang="pt-BR"/>
              </a:p>
            </c:txPr>
            <c:showVal val="1"/>
          </c:dLbls>
          <c:cat>
            <c:numRef>
              <c:f>'Estatísticas (2)'!$B$1:$K$1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'Estatísticas (2)'!$B$6:$K$6</c:f>
              <c:numCache>
                <c:formatCode>_-* #,##0.00_-;\-* #,##0.00_-;_-* "-"??_-;_-@_-</c:formatCode>
                <c:ptCount val="10"/>
                <c:pt idx="0">
                  <c:v>1398</c:v>
                </c:pt>
                <c:pt idx="1">
                  <c:v>1455</c:v>
                </c:pt>
                <c:pt idx="2">
                  <c:v>1452</c:v>
                </c:pt>
                <c:pt idx="3">
                  <c:v>1520</c:v>
                </c:pt>
                <c:pt idx="4">
                  <c:v>1459</c:v>
                </c:pt>
                <c:pt idx="5">
                  <c:v>1448</c:v>
                </c:pt>
                <c:pt idx="6">
                  <c:v>1296</c:v>
                </c:pt>
                <c:pt idx="7">
                  <c:v>1477</c:v>
                </c:pt>
                <c:pt idx="8">
                  <c:v>2611</c:v>
                </c:pt>
                <c:pt idx="9">
                  <c:v>2724</c:v>
                </c:pt>
              </c:numCache>
            </c:numRef>
          </c:val>
        </c:ser>
        <c:marker val="1"/>
        <c:axId val="152948736"/>
        <c:axId val="152950272"/>
      </c:lineChart>
      <c:catAx>
        <c:axId val="152948736"/>
        <c:scaling>
          <c:orientation val="minMax"/>
        </c:scaling>
        <c:axPos val="b"/>
        <c:numFmt formatCode="General" sourceLinked="1"/>
        <c:tickLblPos val="nextTo"/>
        <c:txPr>
          <a:bodyPr/>
          <a:lstStyle/>
          <a:p>
            <a:pPr>
              <a:defRPr lang="ru-RU"/>
            </a:pPr>
            <a:endParaRPr lang="pt-BR"/>
          </a:p>
        </c:txPr>
        <c:crossAx val="152950272"/>
        <c:crosses val="autoZero"/>
        <c:auto val="1"/>
        <c:lblAlgn val="ctr"/>
        <c:lblOffset val="100"/>
      </c:catAx>
      <c:valAx>
        <c:axId val="152950272"/>
        <c:scaling>
          <c:orientation val="minMax"/>
          <c:min val="1000"/>
        </c:scaling>
        <c:axPos val="l"/>
        <c:majorGridlines/>
        <c:numFmt formatCode="_-* #,##0_-;\-* #,##0_-;_-* &quot;-&quot;_-;_-@_-" sourceLinked="0"/>
        <c:tickLblPos val="nextTo"/>
        <c:txPr>
          <a:bodyPr/>
          <a:lstStyle/>
          <a:p>
            <a:pPr>
              <a:defRPr lang="ru-RU"/>
            </a:pPr>
            <a:endParaRPr lang="pt-BR"/>
          </a:p>
        </c:txPr>
        <c:crossAx val="152948736"/>
        <c:crosses val="autoZero"/>
        <c:crossBetween val="between"/>
        <c:majorUnit val="500"/>
      </c:valAx>
    </c:plotArea>
    <c:legend>
      <c:legendPos val="b"/>
      <c:txPr>
        <a:bodyPr/>
        <a:lstStyle/>
        <a:p>
          <a:pPr>
            <a:defRPr lang="ru-RU"/>
          </a:pPr>
          <a:endParaRPr lang="pt-BR"/>
        </a:p>
      </c:txP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486A-24F2-4292-B0CF-417C13F3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4414</TotalTime>
  <Pages>22</Pages>
  <Words>5215</Words>
  <Characters>28166</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SEGPLAN</Company>
  <LinksUpToDate>false</LinksUpToDate>
  <CharactersWithSpaces>33315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eduardo-vs</dc:creator>
  <cp:keywords/>
  <dc:description/>
  <cp:lastModifiedBy>eduardo-vs</cp:lastModifiedBy>
  <cp:revision>346</cp:revision>
  <cp:lastPrinted>2014-05-30T12:41:00Z</cp:lastPrinted>
  <dcterms:created xsi:type="dcterms:W3CDTF">2014-05-14T14:42:00Z</dcterms:created>
  <dcterms:modified xsi:type="dcterms:W3CDTF">2014-07-21T13:29:00Z</dcterms:modified>
</cp:coreProperties>
</file>