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GUARDA PARA EFEITOS PREVIDENCIÁRIOS: A PROTEÇÃO DA CRIANÇA E DO ADOLESCENTE</w:t>
      </w:r>
    </w:p>
    <w:p>
      <w:pPr>
        <w:spacing w:before="0" w:after="0" w:line="360"/>
        <w:ind w:right="0" w:left="0" w:firstLine="0"/>
        <w:jc w:val="right"/>
        <w:rPr>
          <w:rFonts w:ascii="Arial" w:hAnsi="Arial" w:cs="Arial" w:eastAsia="Arial"/>
          <w:color w:val="auto"/>
          <w:spacing w:val="0"/>
          <w:position w:val="0"/>
          <w:sz w:val="24"/>
          <w:shd w:fill="auto" w:val="clear"/>
        </w:rPr>
      </w:pPr>
    </w:p>
    <w:p>
      <w:pPr>
        <w:spacing w:before="0" w:after="0" w:line="360"/>
        <w:ind w:right="0" w:left="0" w:firstLine="0"/>
        <w:jc w:val="right"/>
        <w:rPr>
          <w:rFonts w:ascii="Arial" w:hAnsi="Arial" w:cs="Arial" w:eastAsia="Arial"/>
          <w:color w:val="auto"/>
          <w:spacing w:val="0"/>
          <w:position w:val="0"/>
          <w:sz w:val="24"/>
          <w:shd w:fill="auto" w:val="clear"/>
        </w:rPr>
      </w:pPr>
    </w:p>
    <w:p>
      <w:pPr>
        <w:spacing w:before="0" w:after="0" w:line="360"/>
        <w:ind w:right="0" w:left="0" w:firstLine="0"/>
        <w:jc w:val="right"/>
        <w:rPr>
          <w:rFonts w:ascii="Arial" w:hAnsi="Arial" w:cs="Arial" w:eastAsia="Arial"/>
          <w:color w:val="auto"/>
          <w:spacing w:val="0"/>
          <w:position w:val="0"/>
          <w:sz w:val="24"/>
          <w:shd w:fill="auto" w:val="clear"/>
        </w:rPr>
      </w:pPr>
    </w:p>
    <w:p>
      <w:pPr>
        <w:spacing w:before="0" w:after="0" w:line="360"/>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Andréa Peixoto De Melo</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center"/>
        <w:rPr>
          <w:rFonts w:ascii="Arial" w:hAnsi="Arial" w:cs="Arial" w:eastAsia="Arial"/>
          <w:color w:val="auto"/>
          <w:spacing w:val="0"/>
          <w:position w:val="0"/>
          <w:sz w:val="24"/>
          <w:shd w:fill="auto" w:val="clear"/>
        </w:rPr>
      </w:pPr>
    </w:p>
    <w:p>
      <w:pPr>
        <w:spacing w:before="0" w:after="0" w:line="360"/>
        <w:ind w:right="0" w:left="0" w:firstLine="0"/>
        <w:jc w:val="center"/>
        <w:rPr>
          <w:rFonts w:ascii="Arial" w:hAnsi="Arial" w:cs="Arial" w:eastAsia="Arial"/>
          <w:color w:val="auto"/>
          <w:spacing w:val="0"/>
          <w:position w:val="0"/>
          <w:sz w:val="24"/>
          <w:shd w:fill="auto" w:val="clear"/>
        </w:rPr>
      </w:pPr>
    </w:p>
    <w:p>
      <w:pPr>
        <w:spacing w:before="0" w:after="0" w:line="36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RESUMO</w:t>
      </w:r>
    </w:p>
    <w:p>
      <w:pPr>
        <w:spacing w:before="0" w:after="0" w:line="360"/>
        <w:ind w:right="0" w:left="0" w:firstLine="0"/>
        <w:jc w:val="center"/>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Este presente artigo tem como objetivo analisar a questão da guarda de menores para efeitos previdenciários. Analisando os efeitos jurídicos da guarda e suas consequências no campo do direito previdenciário. O Estatuto da criança e do adolescente prevê expressamente a adoção desse princípio, tendo por finalidade assegurar a criança e o adolescente um desenvolvimento saudável e completo. Esta pesquisa pretende ainda mostrar, com base nas Instruções Normativas do Instituto Nacional de Seguro Social que a própria legislação pertinente esteve por um período em divergência quanto a condição de dependente previdenciário do menor sob guarda. Porém, com o advento da Lei n° 9.528/97 o menor sob guarda acabou sendo excluída do rol de dependentes do segurado da previdência social, ignorando assim a proteção integral vinculado a legislação infraconstitucional e à própria Constituição Federal. Para alcançar o objetivo descrito, discorreu-se sobre a proteção integral ao menor e a sua importância para o direito da criança e do adolescente. </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Palavras-chave: Adolescente Infrator, Eficácia, medidas socioeducativas</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1 - INTRODUÇÃO</w:t>
      </w: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24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presente artigo tratará acerca da guarda para efeitos previdenciários. Desta forma tendo como objetivo analisar a aplicabilidade da proteção ao menor no campo do direito previdenciário.</w:t>
      </w:r>
    </w:p>
    <w:p>
      <w:pPr>
        <w:spacing w:before="0" w:after="24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É importante ressaltar quais os efeitos jurídicos da guarda e suas consequências no campo do direito previdenciário. Uma vez que a lei civil estende a obrigação alimentar aos parentes, seja ascendente ou descendente, observando a ordem sucessória.</w:t>
      </w:r>
    </w:p>
    <w:p>
      <w:pPr>
        <w:spacing w:before="0" w:after="24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Ocorre que tal discussão envolve aspectos sociais bem como jurídicos. Abrange ainda o fato de que embora o menor sob guarda não seja considerado dependente para efeitos previdenciários nos termos do artigo 16 da Lei n° 8.213/91 a própria Constituição Federal de 1988 reconhece às crianças e aos adolescentes a garantia de direitos previdenciários. CUSTÓDIO (2014)</w:t>
      </w:r>
    </w:p>
    <w:p>
      <w:pPr>
        <w:spacing w:before="0" w:after="24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Desta forma a Constituição Federal de 1988 garante a criança e ao adolescente a proteção concernente aos direitos previdenciários. Assim, em princípio não admitindo que esses infantes, quando se encontrarem em uma situação desfavorável, não tenham meios de garantir essa proteção preconizada pela nossa Lei Maior no que se refere aos benefícios previdenciários. </w:t>
      </w:r>
    </w:p>
    <w:p>
      <w:pPr>
        <w:spacing w:before="0" w:after="24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Apesar de existir um enorme número de fraudes contra a Previdência Social, é fato que realmente muitos menores vivem sob a condição de guarda, bem como dependência de segurados. Portanto, a guarda para efeitos previdenciários também é um problema social do país.</w:t>
      </w:r>
    </w:p>
    <w:p>
      <w:pPr>
        <w:spacing w:before="0" w:after="24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Nesse contexto, é necessária uma rigorosa aplicação do instituto jurídico da guarda, em atenção à necessidade do infante, que não tem condições de conviver nem de ser sustentado pelos genitores, transferindo assim a responsabilidade de sustento e educação para terceiro, que proverá as necessidades do menor sob guarda.</w:t>
      </w:r>
    </w:p>
    <w:p>
      <w:pPr>
        <w:spacing w:before="0" w:after="24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metodologia utilizada foi à pesquisa bibliográfica, onde utilizou-se preceitos de doutrinadores da área previdenciária e de estudiosos sobre o tema, assim como artigos apresentados em revistas jurídicas e consulta à Constituição Federal e legislação infraconstitucional. </w:t>
      </w:r>
    </w:p>
    <w:p>
      <w:pPr>
        <w:spacing w:before="0" w:after="240" w:line="360"/>
        <w:ind w:right="0" w:left="0" w:firstLine="1134"/>
        <w:jc w:val="both"/>
        <w:rPr>
          <w:rFonts w:ascii="Arial" w:hAnsi="Arial" w:cs="Arial" w:eastAsia="Arial"/>
          <w:color w:val="auto"/>
          <w:spacing w:val="0"/>
          <w:position w:val="0"/>
          <w:sz w:val="24"/>
          <w:shd w:fill="auto" w:val="clear"/>
        </w:rPr>
      </w:pPr>
    </w:p>
    <w:p>
      <w:pPr>
        <w:spacing w:before="0" w:after="240" w:line="360"/>
        <w:ind w:right="0" w:left="0" w:firstLine="1134"/>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2 – REFERENCIAL</w:t>
      </w:r>
    </w:p>
    <w:p>
      <w:pPr>
        <w:spacing w:before="0" w:after="0" w:line="360"/>
        <w:ind w:right="0" w:left="0" w:firstLine="0"/>
        <w:jc w:val="both"/>
        <w:rPr>
          <w:rFonts w:ascii="Arial" w:hAnsi="Arial" w:cs="Arial" w:eastAsia="Arial"/>
          <w:b/>
          <w:color w:val="auto"/>
          <w:spacing w:val="0"/>
          <w:position w:val="0"/>
          <w:sz w:val="28"/>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acordo com o artigo 16 da Lei n° 8.213/91, em sua redação original, constava no rol de dependentes previdenciários o menor sob guarda, que por sua vez, era equiparado a filho juntamente com o enteado e o menor sob tutela do segurado. </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Entretanto, com a edição da Medida Provisória n° 1.523/96, essa equiparação foi restringida, no que diz respeito ao menor sob guarda, acabando assim por lhe retirar essa condição de dependência outrora concedida. </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caso do enteado e o menor tutelado equiparados mediante declaração do segurado permaneceram equiparados a condição de filho, portanto mantém a condição de dependente do segurado.</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Posteriormente, foi editada a Medida Provisória n° 1.523-12/97 a qual manteve a mesma redação da medida provisória supracitada, confirmando assim os requisitos exigidos, bem como a do menor sob guarda do rol de dependentes previdenciários.</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Ressalta-se que a dependência do menor sob guarda era presumida já que era equiparado ao filho. Ocorre que a medida provisória foi convertida na Lei n° 9.528/97, alterando assim a redação original do artigo 16 § 2º da Lei de Benefícios da Previdência Social, ratificando a exclusão dos menores sob guarda do rol de dependentes previdenciários.</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Ocorre que a retirada do menor sob guarda do rol de dependentes se deu em decorrência do grande número de fraude que estava ocorrendo na Previdência Social, sem exercer a posse de fato da criança, causando assim uma lesão ao patrimônio do Instituto Nacional do Seguro Social.</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Destarte, a sociedade com a intenção de desviar a finalidade do instituto da guarda, sem levar em conta os prejuízos maiores que acarretaram tal conduta, contribuiu para tal exclusão, deixando aquele que efetivamente necessita da proteção estatal, a mercê da própria sorte quando do acontecimento dos infortúnios da vida. BRASIL (2014)</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Desta forma o Instituto Nacional do Seguro Social - INSS, desde 1997 (quando da aprovação da Lei n° 9.528/97, norma essa que confirmou a exclusão do menor sob guarda da condição de dependente previdenciário) até 07/06/06, não aceitava a inscrição do menor sob guarda judicial como dependente previdenciário, por falta de previsão legal. </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Atualmente, a jurisprudência dominante no Superior Tribunal de Justiça é de que desde o advento da Lei 9.528/97 o menor sob guarda não pode ser enquadrado como dependente previdenciário. </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Diante do direito previdenciário, assim como todos os ramos da ciência jurídica também é alicerçado por princípios, desse modo no direito os princípios são a linha reguladora, norte, balizas, atuando como condutor no que diz respeito a interpretação das normas jurídicas.</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relação aos princípios previdenciários Leite (2010), no seu trabalho de sistematização e abordagem dos princípios previdenciários preleciona que:</w:t>
      </w:r>
    </w:p>
    <w:p>
      <w:pPr>
        <w:spacing w:before="0" w:after="0" w:line="240"/>
        <w:ind w:right="0" w:left="226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Os princípios são aquele conjunto de ideias, expressas ou não, que estão na origem de toda a nossa conduta e do nosso raciocínio, que nos impulsionam a agir ou a nos omitirmos, sempre na busca de um objetivo que tem valor superior ao dos objetivos meramente pessoais, e razão pela qual deles não pode nos afastar em quaisquer circunstâncias, sendo aquilo que prevalecendo garantirá a paz social, o bem-estar comum de nossa espécie e do nosso Universo.</w:t>
      </w:r>
    </w:p>
    <w:p>
      <w:pPr>
        <w:spacing w:before="0" w:after="200" w:line="240"/>
        <w:ind w:right="0" w:left="2268" w:firstLine="1134"/>
        <w:jc w:val="both"/>
        <w:rPr>
          <w:rFonts w:ascii="Arial" w:hAnsi="Arial" w:cs="Arial" w:eastAsia="Arial"/>
          <w:color w:val="auto"/>
          <w:spacing w:val="0"/>
          <w:position w:val="0"/>
          <w:sz w:val="20"/>
          <w:shd w:fill="auto" w:val="clear"/>
        </w:rPr>
      </w:pP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Através da Constituição Federal em seu artigo. 194,está previsto os princípios aplicáveis á Seguridade Social, os quais são repetidos no artigo 2º da Lei n° 8.213/91, que trata da Previdência Social, são eles: universalidade de participação nos planos previdenciários; uniformidade e equivalência dos benefícios e serviços às populações urbanas e rurais; seletividade e distributividade na prestação dos benefícios e cálculo dos benefícios.</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Segundo previsão da lei n° 8.213/91 que dispõe sobre os Planos de Benefícios da Previdência Social os beneficiários do Regime Geral de Previdência Social se dividem em segurados e dependentes.</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No caso dos segurados que são pessoas físicas filiadas ao Regime Geral de Previdência Social, podendo ser segurados obrigatórios ou facultativos, dependendo se a filiação decorrer do exercício de atividade laboral reconhecimento por lei como tal, ou não. </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Neste mesmo diapasão Leite (2010) diz que a lei previdenciária divide os segurados em obrigatórios e facultativos. No caso do obrigatório é o exercício de atividade remunerada que filia o trabalhador à previdência social, Compreendendo cinco categorias: empregado, empregado doméstico, contribuinte individual, trabalhador avulso e segurado especial. </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Já em relação aos facultativos, por não exerceram atividade remunerada que os filiem obrigatoriamente à previdência social, podem, mediante contribuição, filiarem-se ao Regime Geral de Previdência Social.</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Percebe-se que no caso dos dependentes estas são pessoas  ligadas aos segurados por laços de parentesco ou afinidade tendo também direito a determinadas prestações da previdência social.</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Atualmente a lei previdenciária arrola de forma taxativa como beneficiários, na condição de dependentes do segurado, conforme previsão do artigo 16 da Lei n° 8.213/91: o cônjuge, a companheira, o companheiro e o filho não emancipado, de qualquer condição, menor de 21(vinte e um) anos ou inválido; equiparado a filho (menor tutelado e enteado); os pais; o irmão não emancipado, de qualquer condição, menor de 21(vinte e um) anos ou inválido.</w:t>
      </w:r>
    </w:p>
    <w:p>
      <w:pPr>
        <w:spacing w:before="0" w:after="200" w:line="360"/>
        <w:ind w:right="0" w:left="0" w:firstLine="1134"/>
        <w:jc w:val="both"/>
        <w:rPr>
          <w:rFonts w:ascii="Arial" w:hAnsi="Arial" w:cs="Arial" w:eastAsia="Arial"/>
          <w:color w:val="auto"/>
          <w:spacing w:val="0"/>
          <w:position w:val="0"/>
          <w:sz w:val="24"/>
          <w:shd w:fill="auto" w:val="clear"/>
        </w:rPr>
      </w:pP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Segundo DINIZ (2009) dependente “são beneficiários, ditos indiretos, relacionados com o segurado por dependência econômica, vínculo mais abrangente que aquele resultante dos laços de família civil, critério que se adota em razão das finalidades da proteção social”.</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assim o direito dos dependentes surge em razão da existência de relação jurídica vinculando o segurado e a instituição previdenciária e a dependência, considerada por lei, entre o segurado e o pretendente da prestação.</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Já em contrapartida, para a concessão do auxílio-reclusão além da prisão do segurado em regime fechado ou semi-aberto, que não receber remuneração da empresa nem estiver em gozo de auxílio-doença, de aposentadoria ou de abandono de permanência em serviço.</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Ressalta-se a importância de mencionar que tal benefício é supletivo, ou seja, somente é devido na falta de renda dos dependentes do segurado.Portanto, para concessão desses benefícios é necessário a ocorrência do evento morte do segurado, no caso de pensão por morte bem como a privação de liberdade em regime fechado ou semi-aberto.</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É necessário que essa condição de reclusão do segurado deva ser comprovada por meio de certidão, sentença ou atestado de recolhimento emitido pela autoridade competente.</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Segundo atribuição do serviço social este deve fazer a elaboração de um parecer socioeconômico com a finalidade de suprir a falta de documentação imprescindível à comprovação da dependência econômica, bem como informar aos beneficiários sobre os seus direitos sociais e os meios cabíveis para garanti-los, sendo que tal orientação não se limita às questões internas da Instituição.</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as alterações ocorridas, como o advento da Medida Provisória n° 1.523, de 14/10/96, reeditada e convertida na Lei n° 9.528/98, BRagança informa que “o menor sob guarda deixou de integrar a relação de dependentes para os fins previstos no RGPS, inclusive aquele já inscrito, salvo se o óbito do segurado ocorreu em data anterior.” </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Pouco ou quase nada existe de produção de obra científica, na doutrina pátria, acerca da manutenção do menor sob guarda no rol de dependente para efeitos previdenciários após a modificação legislativa, assim mencionamos a opinião de alguns autores sobre o tema.</w:t>
      </w:r>
    </w:p>
    <w:p>
      <w:pPr>
        <w:spacing w:before="0" w:after="20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Conforme dispõe sobre a exclusão do menor sob guarda do rol de dependentes do artigo 16 da Lei n° 8.213/91 Brasil (2014) expressa que:</w:t>
      </w:r>
    </w:p>
    <w:p>
      <w:pPr>
        <w:spacing w:before="0" w:after="0" w:line="240"/>
        <w:ind w:right="0" w:left="226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Essa restrição representa uma vulneração aos artigos. 6º e 227 da Constituição Federal e às disposições protetivas inseridas no Estatuto da Criança e do Adolescente (Lei 8.060, de 13.7.90). Especialmente porque a guarda, segundo dispõe o art. 33 do Estatuto, obriga à prestação de assistência global e, sobretudo, assegura à criança ou ao adolescente a condição de dependente, para todos os fins e efeitos, inclusive previdenciários.  </w:t>
      </w:r>
    </w:p>
    <w:p>
      <w:pPr>
        <w:spacing w:before="0" w:after="0" w:line="240"/>
        <w:ind w:right="0" w:left="2268" w:firstLine="0"/>
        <w:jc w:val="both"/>
        <w:rPr>
          <w:rFonts w:ascii="Arial" w:hAnsi="Arial" w:cs="Arial" w:eastAsia="Arial"/>
          <w:color w:val="auto"/>
          <w:spacing w:val="0"/>
          <w:position w:val="0"/>
          <w:sz w:val="20"/>
          <w:shd w:fill="auto" w:val="clear"/>
        </w:rPr>
      </w:pPr>
    </w:p>
    <w:p>
      <w:pPr>
        <w:spacing w:before="0" w:after="0" w:line="360"/>
        <w:ind w:right="0" w:left="0" w:firstLine="11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mera dependência econômica da criança em relação a terceiros, comumente os avós, não é hipótese autorizadora da transferência de guarda. Uma vez que se a situação econômica dos pais não for suficiente para suprir as necessidades básicas dos filhos, a obrigação de assistência aos menores pode ser suprida pelos ascendentes de maneira a complementar a renda familiar.</w:t>
      </w:r>
    </w:p>
    <w:p>
      <w:pPr>
        <w:spacing w:before="0" w:after="0" w:line="240"/>
        <w:ind w:right="0" w:left="2268" w:firstLine="0"/>
        <w:jc w:val="both"/>
        <w:rPr>
          <w:rFonts w:ascii="Arial" w:hAnsi="Arial" w:cs="Arial" w:eastAsia="Arial"/>
          <w:color w:val="auto"/>
          <w:spacing w:val="0"/>
          <w:position w:val="0"/>
          <w:sz w:val="20"/>
          <w:shd w:fill="auto" w:val="clear"/>
        </w:rPr>
      </w:pPr>
    </w:p>
    <w:p>
      <w:pPr>
        <w:spacing w:before="0" w:after="0" w:line="240"/>
        <w:ind w:right="0" w:left="2268" w:firstLine="0"/>
        <w:jc w:val="both"/>
        <w:rPr>
          <w:rFonts w:ascii="Arial" w:hAnsi="Arial" w:cs="Arial" w:eastAsia="Arial"/>
          <w:color w:val="auto"/>
          <w:spacing w:val="0"/>
          <w:position w:val="0"/>
          <w:sz w:val="20"/>
          <w:shd w:fill="auto" w:val="clear"/>
        </w:rPr>
      </w:pPr>
    </w:p>
    <w:p>
      <w:pPr>
        <w:spacing w:before="0" w:after="0" w:line="240"/>
        <w:ind w:right="0" w:left="2268" w:firstLine="0"/>
        <w:jc w:val="both"/>
        <w:rPr>
          <w:rFonts w:ascii="Arial" w:hAnsi="Arial" w:cs="Arial" w:eastAsia="Arial"/>
          <w:color w:val="auto"/>
          <w:spacing w:val="0"/>
          <w:position w:val="0"/>
          <w:sz w:val="20"/>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REFERÊNCIAS</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BRASIL, Senado Federal, Subsecretaria de Edições Técnicas. Código De Menores: Lei nº 6.697/79, comparações, anotações, histórico, por Ana Valderez A. N. de Alencar e Carlos Alberto de Souza Lopes. Brasília: Senado Federal, 2009, Disponível em: acesso em 01 de Maio de 2014.</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CUSTÓDIO. André Viana. Teoria da Proteção Integral: pressuposto para a compreensão do direito da criança e do adolescente. Revista do Direito, nº 29, Janeiro/Junho 2008, p 24. Disponível em: acesso em 02 de Maio de 2014.</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MACIEL, Kátia Regina Ferreira Lobo Andrade. Curso de Direito da Criança e do Adolescente: Aspectos Teóricos e Práticos. 3. ed. rev. e atualizada, 2. tiragem, Rio de Janeiro: Lúmen Júris, 2009.p. 14.</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TAVARES, José de Farias. Direito da Infância e da juventude. Belo Horizonte: Del Rey, 2001. p. 55-58 apud obra de MENDES, Moacyr Pereira. A proteção integral do menor: Do pátrio poder ao poder familiar e a influência do direito internacional. p. 03. Disponível em acesso em 08 de Abril de 2014. </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[2]MACIEL, Kátia Regina Ferreira Lobo Andrade (coord.). Curso de Direito da Criança e do Adolescente: Aspectos Teóricos e Práticos. 3. ed. rev. e atualizada, 2. tiragem, Rio de Janeiro: Lumen Júris, 2009.p. 14.</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DIAS, Maria Berenice. Manual de Direito das Famílias. 5. ed., rev, atual e ampl., São Paulo: Revista dos Tribunais, 2011.p. 401.</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BRASIL. Lei nº 10.406, de 10 de janeiro de 2002. Institui o Código Civil. Disponível em. Acesso em: 12 de Abril de 2014.</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LEITE, Eduardo de Oliveira. Famílias Monoparentais. A situação jurídica de pais e mães solteiras, de pais e mães separadas e dos filhos na ruptura da vida conjugal. 2. ed.rev. atual. São Paulo: Revista dos Tribunais: 2010. p. 282.</w:t>
      </w: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DINIZ, Maria Helena. Curso de Direito Civil Brasileiro. Direito de Família. vol.V. 24 ed. reformulada. São Paulo: Saraiva 2009.p. 627.</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0" w:line="360"/>
        <w:ind w:right="0" w:left="0" w:firstLine="0"/>
        <w:jc w:val="center"/>
        <w:rPr>
          <w:rFonts w:ascii="Arial" w:hAnsi="Arial" w:cs="Arial" w:eastAsia="Arial"/>
          <w:b/>
          <w:color w:val="auto"/>
          <w:spacing w:val="0"/>
          <w:position w:val="0"/>
          <w:sz w:val="28"/>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keepNext w:val="true"/>
        <w:keepLines w:val="true"/>
        <w:spacing w:before="480" w:after="0" w:line="276"/>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p>
    <w:p>
      <w:pPr>
        <w:spacing w:before="0" w:after="0" w:line="360"/>
        <w:ind w:right="0" w:left="0" w:firstLine="0"/>
        <w:jc w:val="both"/>
        <w:rPr>
          <w:rFonts w:ascii="Arial" w:hAnsi="Arial" w:cs="Arial" w:eastAsia="Arial"/>
          <w:b/>
          <w:color w:val="auto"/>
          <w:spacing w:val="0"/>
          <w:position w:val="0"/>
          <w:sz w:val="28"/>
          <w:shd w:fill="auto" w:val="clear"/>
        </w:rPr>
      </w:pPr>
    </w:p>
    <w:p>
      <w:pPr>
        <w:spacing w:before="0" w:after="200" w:line="360"/>
        <w:ind w:right="0" w:left="1134"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0" w:line="276"/>
        <w:ind w:right="-397" w:left="0" w:firstLine="0"/>
        <w:jc w:val="right"/>
        <w:rPr>
          <w:rFonts w:ascii="Arial" w:hAnsi="Arial" w:cs="Arial" w:eastAsia="Arial"/>
          <w:color w:val="003366"/>
          <w:spacing w:val="0"/>
          <w:position w:val="0"/>
          <w:sz w:val="20"/>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8"/>
          <w:shd w:fill="auto" w:val="clear"/>
        </w:rPr>
      </w:pPr>
    </w:p>
    <w:p>
      <w:pPr>
        <w:spacing w:before="0" w:after="200" w:line="276"/>
        <w:ind w:right="0" w:left="0" w:firstLine="0"/>
        <w:jc w:val="both"/>
        <w:rPr>
          <w:rFonts w:ascii="Arial" w:hAnsi="Arial" w:cs="Arial" w:eastAsia="Arial"/>
          <w:b/>
          <w:color w:val="auto"/>
          <w:spacing w:val="0"/>
          <w:position w:val="0"/>
          <w:sz w:val="28"/>
          <w:shd w:fill="auto" w:val="clear"/>
        </w:rPr>
      </w:pPr>
    </w:p>
    <w:p>
      <w:pPr>
        <w:spacing w:before="0" w:after="200" w:line="276"/>
        <w:ind w:right="0" w:left="0" w:firstLine="0"/>
        <w:jc w:val="both"/>
        <w:rPr>
          <w:rFonts w:ascii="Arial" w:hAnsi="Arial" w:cs="Arial" w:eastAsia="Arial"/>
          <w:b/>
          <w:color w:val="auto"/>
          <w:spacing w:val="0"/>
          <w:position w:val="0"/>
          <w:sz w:val="28"/>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