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uto"/>
        <w:jc w:val="center"/>
      </w:pPr>
      <w:r>
        <w:rPr>
          <w:rFonts w:ascii="Arial" w:cs="Arial" w:hAnsi="Arial"/>
        </w:rPr>
        <w:t>CENTRO UNIVERSITÁRIO UNIVATES</w:t>
      </w:r>
    </w:p>
    <w:p>
      <w:pPr>
        <w:pStyle w:val="style0"/>
        <w:spacing w:line="360" w:lineRule="auto"/>
        <w:jc w:val="center"/>
      </w:pPr>
      <w:r>
        <w:rPr>
          <w:rFonts w:ascii="Arial" w:cs="Arial" w:hAnsi="Arial"/>
        </w:rPr>
        <w:t>CENTRO DE CIÊNCIAS HUMANAS E JURÍDICAS</w:t>
      </w:r>
    </w:p>
    <w:p>
      <w:pPr>
        <w:pStyle w:val="style0"/>
        <w:spacing w:line="360" w:lineRule="auto"/>
        <w:jc w:val="center"/>
      </w:pPr>
      <w:r>
        <w:rPr>
          <w:rFonts w:ascii="Arial" w:cs="Arial" w:hAnsi="Arial"/>
        </w:rPr>
        <w:t>CURSO DE DIREITO</w:t>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spacing w:line="360" w:lineRule="auto"/>
        <w:jc w:val="center"/>
      </w:pPr>
      <w:r>
        <w:rPr>
          <w:rFonts w:ascii="Arial" w:hAnsi="Arial"/>
          <w:color w:val="FF0000"/>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spacing w:line="360" w:lineRule="auto"/>
        <w:jc w:val="center"/>
      </w:pPr>
      <w:r>
        <w:rPr>
          <w:rFonts w:ascii="Arial" w:cs="Arial" w:hAnsi="Arial"/>
          <w:color w:val="0000FF"/>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spacing w:line="360" w:lineRule="auto"/>
        <w:jc w:val="center"/>
      </w:pPr>
      <w:r>
        <w:rPr>
          <w:rFonts w:ascii="Arial" w:cs="Arial" w:hAnsi="Arial"/>
          <w:b/>
          <w:sz w:val="28"/>
          <w:szCs w:val="28"/>
        </w:rPr>
        <w:t>DIREITO EMPRESARIAL II</w:t>
      </w:r>
      <w:r>
        <w:rPr>
          <w:rFonts w:ascii="Arial" w:cs="Arial" w:hAnsi="Arial"/>
          <w:b/>
          <w:caps/>
          <w:sz w:val="28"/>
          <w:szCs w:val="28"/>
          <w:lang w:eastAsia="ar-SA"/>
        </w:rPr>
        <w:t xml:space="preserve">: </w:t>
      </w:r>
    </w:p>
    <w:p>
      <w:pPr>
        <w:pStyle w:val="style0"/>
        <w:spacing w:line="360" w:lineRule="auto"/>
        <w:jc w:val="center"/>
      </w:pPr>
      <w:r>
        <w:rPr>
          <w:sz w:val="28"/>
          <w:szCs w:val="28"/>
        </w:rPr>
        <w:t>Falências</w:t>
      </w:r>
    </w:p>
    <w:p>
      <w:pPr>
        <w:pStyle w:val="style0"/>
        <w:spacing w:line="360" w:lineRule="auto"/>
      </w:pPr>
      <w:r>
        <w:rPr>
          <w:rFonts w:ascii="Arial" w:cs="Arial" w:hAnsi="Arial"/>
          <w:b/>
        </w:rPr>
      </w:r>
    </w:p>
    <w:p>
      <w:pPr>
        <w:pStyle w:val="style0"/>
        <w:jc w:val="center"/>
      </w:pPr>
      <w:r>
        <w:rPr/>
      </w:r>
    </w:p>
    <w:p>
      <w:pPr>
        <w:pStyle w:val="style0"/>
        <w:jc w:val="center"/>
      </w:pPr>
      <w:r>
        <w:rPr>
          <w:rFonts w:ascii="Arial" w:cs="Arial" w:hAnsi="Arial"/>
        </w:rPr>
        <w:t>Lilian Josie Flach</w:t>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jc w:val="center"/>
      </w:pPr>
      <w:r>
        <w:rPr>
          <w:rFonts w:ascii="Arial" w:cs="Arial" w:hAnsi="Arial"/>
        </w:rPr>
      </w:r>
    </w:p>
    <w:p>
      <w:pPr>
        <w:sectPr>
          <w:type w:val="nextPage"/>
          <w:pgSz w:h="16838" w:w="11906"/>
          <w:pgMar w:bottom="1134" w:footer="0" w:gutter="0" w:header="0" w:left="1701" w:right="1134" w:top="1701"/>
          <w:pgNumType w:fmt="decimal"/>
          <w:formProt w:val="false"/>
          <w:textDirection w:val="lrTb"/>
          <w:docGrid w:charSpace="0" w:linePitch="240" w:type="default"/>
        </w:sectPr>
        <w:pStyle w:val="style0"/>
        <w:jc w:val="center"/>
      </w:pPr>
      <w:r>
        <w:rPr>
          <w:rFonts w:ascii="Arial" w:cs="Arial" w:hAnsi="Arial"/>
        </w:rPr>
        <w:t>Lajeado, 25 outubro de 2013.</w:t>
      </w:r>
    </w:p>
    <w:p>
      <w:pPr>
        <w:pStyle w:val="style0"/>
        <w:spacing w:line="360" w:lineRule="auto"/>
        <w:jc w:val="right"/>
      </w:pPr>
      <w:r>
        <w:rPr>
          <w:rFonts w:ascii="Arial" w:hAnsi="Arial"/>
          <w:bCs/>
          <w:color w:val="FF0000"/>
          <w:sz w:val="22"/>
          <w:szCs w:val="22"/>
        </w:rPr>
      </w:r>
    </w:p>
    <w:p>
      <w:pPr>
        <w:pStyle w:val="style32"/>
        <w:spacing w:after="120" w:before="0"/>
        <w:contextualSpacing w:val="false"/>
      </w:pPr>
      <w:r>
        <w:rPr/>
      </w:r>
    </w:p>
    <w:p>
      <w:pPr>
        <w:pStyle w:val="style0"/>
        <w:spacing w:line="360" w:lineRule="auto"/>
        <w:jc w:val="both"/>
      </w:pPr>
      <w:r>
        <w:rPr>
          <w:rFonts w:ascii="Arial" w:cs="Arial" w:hAnsi="Arial"/>
          <w:b/>
        </w:rPr>
        <w:t>1) Colacione decisões acerca da im (possibilidade) de prorrogação do prazo de suspensão das execuções contra a empresa em recuperação judicial previsto no art. 6º, § 4º, LF.</w:t>
      </w:r>
    </w:p>
    <w:p>
      <w:pPr>
        <w:pStyle w:val="style0"/>
        <w:spacing w:line="360" w:lineRule="auto"/>
        <w:jc w:val="both"/>
      </w:pPr>
      <w:r>
        <w:rPr>
          <w:rFonts w:ascii="Arial" w:cs="Arial" w:hAnsi="Arial"/>
          <w:b/>
        </w:rPr>
      </w:r>
    </w:p>
    <w:p>
      <w:pPr>
        <w:pStyle w:val="style0"/>
        <w:spacing w:line="360" w:lineRule="auto"/>
        <w:ind w:firstLine="851" w:left="0" w:right="0"/>
        <w:jc w:val="both"/>
      </w:pPr>
      <w:r>
        <w:rPr>
          <w:rFonts w:ascii="Arial" w:cs="Arial" w:hAnsi="Arial"/>
        </w:rPr>
        <w:t xml:space="preserve">O artigo 6º, § 4º da Lei de falências é imprescindível quando diz que o prazo de 180 dias não poderá ser prorrogado em hipótese alguma. Entretanto o entendimento dos Tribunais pesquisados admite em algumas hipóteses a dilatação do LAPSO conforme as especificidades de cada caso,  prevalecendo o princípio da relevância do interesse dos credores e o princípio da preservação da empresa. No entanto o prazo somente poderá ser prorrogado se a empresa não deu motivo ao retardamento e sim se for favorável aos credores. </w:t>
      </w:r>
    </w:p>
    <w:p>
      <w:pPr>
        <w:pStyle w:val="style0"/>
        <w:spacing w:line="360" w:lineRule="auto"/>
        <w:ind w:firstLine="851" w:left="0" w:right="0"/>
        <w:jc w:val="both"/>
      </w:pPr>
      <w:r>
        <w:rPr>
          <w:rFonts w:ascii="Arial" w:cs="Arial" w:hAnsi="Arial"/>
        </w:rPr>
        <w:t xml:space="preserve">O prazo de 180 dias de suspensão das ações e execuções contra empresas em recuperação judicial é considerado “improrrogável” pela legislação, mas, na prática, a Justiça tem se mostrado flexível. Não são raros os casos em que o período é estendido, e a jurisprudência começa a se firmar em relação às exceções. </w:t>
      </w:r>
    </w:p>
    <w:p>
      <w:pPr>
        <w:pStyle w:val="style0"/>
        <w:spacing w:line="360" w:lineRule="auto"/>
        <w:ind w:firstLine="851" w:left="0" w:right="0"/>
        <w:jc w:val="both"/>
      </w:pPr>
      <w:r>
        <w:rPr>
          <w:rFonts w:ascii="Arial" w:cs="Arial" w:hAnsi="Arial"/>
        </w:rPr>
        <w:t>A flexibilização do parágrafo 4º do artigo 6º da Lei 11.101/2005 já encontra fundamentação em decisões do Superior Tribunal de Justiça. Casos de conflitos de competência entre os juízos trabalhista e falimentar, que procrastinam a solução empresarial, podem levar à elasticidade do prazo legal, foi o que aconteceu em processo envolvendo a falência da companhia aérea Vasp assim destaca:</w:t>
      </w:r>
    </w:p>
    <w:p>
      <w:pPr>
        <w:pStyle w:val="style0"/>
        <w:ind w:hanging="0" w:left="2268" w:right="0"/>
        <w:jc w:val="both"/>
      </w:pPr>
      <w:r>
        <w:rPr>
          <w:rFonts w:ascii="Arial" w:cs="Arial" w:hAnsi="Arial"/>
          <w:sz w:val="20"/>
          <w:szCs w:val="20"/>
        </w:rPr>
        <w:t>“</w:t>
      </w:r>
      <w:r>
        <w:rPr>
          <w:rFonts w:ascii="Arial" w:cs="Arial" w:hAnsi="Arial"/>
          <w:sz w:val="20"/>
          <w:szCs w:val="20"/>
        </w:rPr>
        <w:t xml:space="preserve">Diante deste quadro, não só é possível, mas também recomendável, a prorrogação do prazo de 180 dias para a sociedade que diligentemente obedeceu aos comandos impostos pela legislação e que não está, direta ou indiretamente, contribuindo para a demora na aprovação do plano que apresentou. A possibilidade de prorrogação, contudo, deve ser examinada com cuidado, considerando as peculiaridades de cada caso concreto,” afirmou a ministra Nancy Andrighi ao votar em Agravo Regimental julgado pelo STJ em 2010. No recurso, os trabalhadores da Vasp, representados pelo sindicato da categoria, tentavam obter a penhora da Fazenda Santa Luzia, da Agropecuária Vale do Araguaia, propriedade do ex-dono da companhia aérea Wagner Canhedo que estava em recuperação judicial. </w:t>
      </w:r>
      <w:r>
        <w:rPr>
          <w:rStyle w:val="style22"/>
          <w:rFonts w:ascii="Arial" w:cs="Arial" w:hAnsi="Arial"/>
          <w:sz w:val="20"/>
          <w:szCs w:val="20"/>
        </w:rPr>
        <w:footnoteReference w:id="2"/>
      </w:r>
    </w:p>
    <w:p>
      <w:pPr>
        <w:pStyle w:val="style0"/>
        <w:spacing w:line="360" w:lineRule="auto"/>
        <w:jc w:val="both"/>
      </w:pPr>
      <w:r>
        <w:rPr>
          <w:rFonts w:ascii="Arial" w:cs="Arial" w:hAnsi="Arial"/>
        </w:rPr>
      </w:r>
    </w:p>
    <w:p>
      <w:pPr>
        <w:pStyle w:val="style0"/>
        <w:spacing w:line="360" w:lineRule="auto"/>
        <w:jc w:val="both"/>
      </w:pPr>
      <w:r>
        <w:rPr>
          <w:rFonts w:ascii="Arial" w:cs="Arial" w:hAnsi="Arial"/>
        </w:rPr>
      </w:r>
    </w:p>
    <w:p>
      <w:pPr>
        <w:pStyle w:val="style0"/>
        <w:spacing w:line="360" w:lineRule="auto"/>
        <w:ind w:firstLine="851" w:left="0" w:right="0"/>
        <w:jc w:val="both"/>
      </w:pPr>
      <w:r>
        <w:rPr>
          <w:rFonts w:ascii="Arial" w:cs="Arial" w:hAnsi="Arial"/>
        </w:rPr>
        <w:t>Nesse sentido seguem jurisprudências colacionadas do Tribunal de Justiça do Estado do Rio Grande do Sul:</w:t>
      </w:r>
    </w:p>
    <w:p>
      <w:pPr>
        <w:pStyle w:val="style0"/>
        <w:spacing w:line="360" w:lineRule="auto"/>
        <w:ind w:firstLine="851" w:left="0" w:right="0"/>
        <w:jc w:val="both"/>
      </w:pPr>
      <w:r>
        <w:rPr>
          <w:rFonts w:ascii="Arial" w:cs="Arial" w:hAnsi="Arial"/>
        </w:rPr>
      </w:r>
    </w:p>
    <w:p>
      <w:pPr>
        <w:pStyle w:val="style0"/>
        <w:ind w:hanging="0" w:left="2268" w:right="0"/>
        <w:jc w:val="both"/>
      </w:pPr>
      <w:r>
        <w:rPr>
          <w:rFonts w:ascii="Arial" w:cs="Arial" w:hAnsi="Arial"/>
          <w:sz w:val="20"/>
          <w:szCs w:val="20"/>
        </w:rPr>
        <w:t xml:space="preserve">Ementa: AGRAVO DE INSTRUMENTO. FALÊNCIA. </w:t>
      </w:r>
    </w:p>
    <w:p>
      <w:pPr>
        <w:pStyle w:val="style0"/>
        <w:ind w:hanging="0" w:left="2268" w:right="0"/>
        <w:jc w:val="both"/>
      </w:pPr>
      <w:r>
        <w:rPr>
          <w:rFonts w:ascii="Arial" w:cs="Arial" w:hAnsi="Arial"/>
          <w:sz w:val="20"/>
          <w:szCs w:val="20"/>
        </w:rPr>
        <w:t>RECUPERAÇÃO JUDICIAL. SUSPENSÃO DO PRAZO DE 180 DIAS DAS AÇÕES E EXECUÇÕES. PRORROGAÇÃO. POSSIBILIDADE. 1.A parte agravante se insurgiu contra a decisão que indeferiu a prorrogação do prazo de suspensão previsto no artigo 6º, § 4º, da Lei 11.101/05. 2.O princípio da preservação da empresa, insculpido no art. 47 da Lei 11.101/2005, dispõe que a recuperação judicial tem por objetivo viabilizar a superação da situação de crise econômico-financeira do devedor, a fim de permitir a manutenção da fonte produtora, do emprego dos trabalhadores e dos interesses dos credores, promovendo, assim, a preservação daquela, sua função social e o estímulo à atividade econômica. 3.Ademais, a recuperação judicial se trata de um favor creditício, de sorte que deve prevalecer o princípio da relevância do interesse dos credores, ou seja, a vontade majoritária destes no sentido de que o custo individual a ser suportado pelos mesmos é menor do que o benefício social que advirá à coletividade, preservando com isso a atividade empresarial, em última análise, o parque industrial ou mercantil de determinada empresa, bem como os empregos que esta mantém para geração da riqueza de um país, ao menos até ser concluído o concurso de observação em tela. 4.</w:t>
      </w:r>
      <w:r>
        <w:rPr>
          <w:rFonts w:ascii="Arial" w:cs="Arial" w:hAnsi="Arial"/>
          <w:b/>
          <w:sz w:val="20"/>
          <w:szCs w:val="20"/>
        </w:rPr>
        <w:t>Inexiste nos autos quaisquer elementos que demonstrem que a conduta da empresa em regime de recuperação judicial tenha contribuído para a morosidade do procedimento, motivo pelo qual deve ser reformada a decisão agravada que indeferiu a prorrogação do prazo de suspensão. Precedentes do STJ e desta Corte.</w:t>
      </w:r>
      <w:r>
        <w:rPr>
          <w:rFonts w:ascii="Arial" w:cs="Arial" w:hAnsi="Arial"/>
          <w:sz w:val="20"/>
          <w:szCs w:val="20"/>
        </w:rPr>
        <w:t xml:space="preserve"> Negado seguimento ao agravo de instrumento. (Agravo de Instrumento Nº 70054030150, Quinta Câmara Cível, Tribunal de Justiça do RS, Relator: Jorge Luiz Lopes do Canto, Julgado em 31/07/2013)(grifado) </w:t>
      </w:r>
      <w:r>
        <w:rPr>
          <w:rStyle w:val="style22"/>
          <w:rFonts w:ascii="Arial" w:cs="Arial" w:hAnsi="Arial"/>
          <w:sz w:val="20"/>
          <w:szCs w:val="20"/>
        </w:rPr>
        <w:footnoteReference w:id="3"/>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sz w:val="20"/>
          <w:szCs w:val="20"/>
        </w:rPr>
        <w:t xml:space="preserve">Ementa: AGRAVO DE INSTRUMENTO. RECUPERAÇÃO JUDICIAL. SUSPENSÃO DO PRAZO DE 180 DIAS DAS AÇÕES E EXECUÇÕES. </w:t>
      </w:r>
      <w:r>
        <w:rPr>
          <w:rFonts w:ascii="Arial" w:cs="Arial" w:hAnsi="Arial"/>
          <w:b/>
          <w:sz w:val="20"/>
          <w:szCs w:val="20"/>
        </w:rPr>
        <w:t>PRORROGAÇÃO DO PRAZO DEFERIDA</w:t>
      </w:r>
      <w:r>
        <w:rPr>
          <w:rFonts w:ascii="Arial" w:cs="Arial" w:hAnsi="Arial"/>
          <w:sz w:val="20"/>
          <w:szCs w:val="20"/>
        </w:rPr>
        <w:t xml:space="preserve">. CASO CONCRETO. INTERPRETAÇÃO DO ARTIGO 6º DA LEI N.º 11.101/2005. APREENSÃO DE BENS ALIENADOS FIDUCIARIAMENTE. IMPOSSIBILIDADE. 1. Da prova coligida aos autos é possível concluir que a recuperanda não contribuiu, no curso do feito, para o retardamento do processo. Hipótese em que a agravada vem cumprindo com as suas obrigações, tendo, não raras vezes, o retardamento do ocorrido por razões outras, como, por exemplo, a dificuldade de arrolamento de todos os valores efetivamente devidos, pois se trata da recuperação judicial de três empresas com inúmeros credores cada uma. 2. Deste modo, na hipótese em comento, e em observância ao princípio da preservação da empresa, deve ser mantida a decisão judicial que deferiu a prorrogação do prazo de suspensão previsto no artigo 6º, §4º, da Lei de Falências, até a realização da Assembleia Geral de Credores. 3. A manutenção com a agravada dos bens objeto da busca e apreensão tem por finalidade assegurar a possibilidade de superação da situação de crise econômico-financeira, permitindo a manutenção da fonte produtora, do emprego dos trabalhadores e dos interesses dos credores, promovendo, assim, a preservação da empresa, sua função social e o estímulo à atividade econômica. RECURSO DESPROVIDO. (Agravo de Instrumento Nº 70051856524, Quinta Câmara Cível, Tribunal de Justiça do RS, Relator: Isabel Dias Almeida, Julgado em 19/12/2012) (grifado) </w:t>
      </w:r>
      <w:r>
        <w:rPr>
          <w:rStyle w:val="style22"/>
          <w:rFonts w:ascii="Arial" w:cs="Arial" w:hAnsi="Arial"/>
          <w:sz w:val="20"/>
          <w:szCs w:val="20"/>
        </w:rPr>
        <w:footnoteReference w:id="4"/>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b/>
          <w:sz w:val="20"/>
          <w:szCs w:val="20"/>
        </w:rPr>
        <w:t>DECISÃO DO TRIBUNAL DE JUSTIÇA DE SANTA CATARINA:</w:t>
      </w:r>
    </w:p>
    <w:p>
      <w:pPr>
        <w:pStyle w:val="style0"/>
        <w:ind w:hanging="0" w:left="2268" w:right="0"/>
        <w:jc w:val="both"/>
      </w:pPr>
      <w:r>
        <w:rPr>
          <w:rFonts w:ascii="Arial" w:cs="Arial" w:hAnsi="Arial"/>
          <w:b/>
          <w:sz w:val="20"/>
          <w:szCs w:val="20"/>
        </w:rPr>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sz w:val="20"/>
          <w:szCs w:val="20"/>
        </w:rPr>
        <w:t xml:space="preserve">AGRAVO DE INSTRUMENTO. EXECUÇÃO DE TÍTULO EXTRAJUDICIAL. RECURSO DO BANCO EXEQUENTE EM FACE DE DECISÃO QUE SUSPENDEU EXECUÇÃO MOVIDA CONTRA SÓCIO AVALISTA DE CÉDULA DE CRÉDITO BANCÁRIO EMITIDA POR PESSOA JURÍDICA QUE SE ENCONTRA EM FASE DE RECUPERAÇÃO JUDICIAL. ALEGAÇÃO DE QUE O PRAZO DE 180 DIAS DE SUSPENSÃO PREVISTO NO ARTIGO 6º, § 4º, DA LEI 11.101/05 É </w:t>
      </w:r>
      <w:r>
        <w:rPr>
          <w:rFonts w:ascii="Arial" w:cs="Arial" w:hAnsi="Arial"/>
          <w:b/>
          <w:i/>
          <w:sz w:val="20"/>
          <w:szCs w:val="20"/>
        </w:rPr>
        <w:t>IMPRORROGÁVEL. PRECEDENTES DO SUPERIOR TRIBUNAL DE JUSTIÇA ADMITINDO A DILAÇÃO DO LAPSO, CONFORME AS ESPECIFICIDADES DE CADA CASO. AUSÊNCIA</w:t>
      </w:r>
      <w:r>
        <w:rPr>
          <w:rFonts w:ascii="Arial" w:cs="Arial" w:hAnsi="Arial"/>
          <w:sz w:val="20"/>
          <w:szCs w:val="20"/>
        </w:rPr>
        <w:t xml:space="preserve"> DE INFORMAÇÕES A RESPEITO DO ANDAMENTO DO PROCESSO DE RECUPERAÇÃO JUDICIAL ACIONADO PELA SOCIEDADE EMPRESÁRIA DEVEDORA, CONTUDO, QUE INVIABILIZA A VERIFICAÇÃO DOS MOTIVOS QUE LEVARAM AO RETARDAMENTO DO PROCEDIMENTO DE RECUPERAÇÃO. REQUERIDA CONTINUIDADE DA EXECUÇÃO CONTRA O AVALISTA. POSSIBILIDADE. PARALISAÇÃO DECORRENTE DO DEFERIMENTO DO PROCESSAMENTO DE RECUPERAÇÃO JUDICIAL QUE CONTEMPLA TÃO SOMENTE AS AÇÕES E EXECUÇÕES AJUIZADAS CONTRA A SOCIEDADE EMPRESÁRIA EM RECUPERAÇÃO, BEM COMO EM FACE DO SÓCIO SOLIDÁRIO. AVALISTA QUE, AINDA QUE SÓCIO DA PESSOA JURÍDICA RECUPERANDA, NÃO É ABRANGIDO PELO REFERIDO SOBRESTAMENTO. PRECEDENTES DO TRIBUNAL DA CIDADANIA E DESTA CORTE. DECISÃO CASSADA. RECURSO CONHECIDO E PARCIALMENTE PROVIDO.(grifado) </w:t>
      </w:r>
      <w:r>
        <w:rPr>
          <w:rStyle w:val="style22"/>
          <w:rFonts w:ascii="Arial" w:cs="Arial" w:hAnsi="Arial"/>
          <w:sz w:val="20"/>
          <w:szCs w:val="20"/>
        </w:rPr>
        <w:footnoteReference w:id="5"/>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b/>
          <w:sz w:val="20"/>
          <w:szCs w:val="20"/>
        </w:rPr>
        <w:t>DECISÃO DO TRIBUNAL DE JUSTIÇA DE SÃO PAULO:</w:t>
      </w:r>
    </w:p>
    <w:p>
      <w:pPr>
        <w:pStyle w:val="style0"/>
        <w:ind w:hanging="0" w:left="2268" w:right="0"/>
        <w:jc w:val="both"/>
      </w:pPr>
      <w:r>
        <w:rPr>
          <w:rFonts w:ascii="Arial" w:cs="Arial" w:hAnsi="Arial"/>
          <w:b/>
          <w:sz w:val="20"/>
          <w:szCs w:val="20"/>
        </w:rPr>
      </w:r>
    </w:p>
    <w:p>
      <w:pPr>
        <w:pStyle w:val="style0"/>
        <w:ind w:hanging="0" w:left="2268" w:right="0"/>
        <w:jc w:val="both"/>
      </w:pPr>
      <w:r>
        <w:rPr>
          <w:rFonts w:ascii="Arial" w:cs="Arial" w:hAnsi="Arial"/>
          <w:sz w:val="20"/>
          <w:szCs w:val="20"/>
        </w:rPr>
        <w:t xml:space="preserve">Ementa: *Recuperação judicial. Prazo de suspensão das ações e execuções movidas contra a recuperanda (artigo 6º, § 4º, Lei nº 11.101/05). </w:t>
      </w:r>
      <w:r>
        <w:rPr>
          <w:rFonts w:ascii="Arial" w:cs="Arial" w:hAnsi="Arial"/>
          <w:b/>
          <w:i/>
          <w:sz w:val="20"/>
          <w:szCs w:val="20"/>
        </w:rPr>
        <w:t>Prorrogação. Admissibilidade. Excepcional flexibilização aplicável ao caso em espécie. Recuperanda que em nenhum momento do processo atuou com desídia no intuito de procrastinar a aprovação do Plano de Recuperação Judicial</w:t>
      </w:r>
      <w:r>
        <w:rPr>
          <w:rFonts w:ascii="Arial" w:cs="Arial" w:hAnsi="Arial"/>
          <w:sz w:val="20"/>
          <w:szCs w:val="20"/>
        </w:rPr>
        <w:t xml:space="preserve">(PRJ), não podendo ser penalizada pelos longos atrasos ocorridos para a publicação dos editais que a precedem (artigos 7º, § 2º, e 53, parágrafo único, da Lei nº 11.101/05). Entendimento consentâneo à firme jurisprudência do Superior Tribunal de Justiça e Enunciado nº 42 do Conselho da Justiça Federal, editado durante a 1ª Jornada de Direito Comercial. Suspensão prorrogada até a data da Assembleia Geral de Credores de deliberação do PRJ. Agravo de instrumento provido.*(grifado) </w:t>
      </w:r>
      <w:r>
        <w:rPr>
          <w:rStyle w:val="style22"/>
          <w:rFonts w:ascii="Arial" w:cs="Arial" w:hAnsi="Arial"/>
          <w:sz w:val="20"/>
          <w:szCs w:val="20"/>
        </w:rPr>
        <w:footnoteReference w:id="6"/>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sz w:val="20"/>
          <w:szCs w:val="20"/>
        </w:rPr>
      </w:r>
    </w:p>
    <w:p>
      <w:pPr>
        <w:pStyle w:val="style0"/>
        <w:ind w:hanging="0" w:left="2268" w:right="0"/>
        <w:jc w:val="both"/>
      </w:pPr>
      <w:r>
        <w:rPr>
          <w:rFonts w:ascii="Arial" w:cs="Arial" w:hAnsi="Arial"/>
          <w:sz w:val="20"/>
          <w:szCs w:val="20"/>
        </w:rPr>
      </w:r>
    </w:p>
    <w:p>
      <w:pPr>
        <w:pStyle w:val="style0"/>
        <w:spacing w:line="360" w:lineRule="auto"/>
        <w:ind w:firstLine="851" w:left="0" w:right="0"/>
        <w:jc w:val="both"/>
      </w:pPr>
      <w:r>
        <w:rPr>
          <w:rFonts w:ascii="Arial" w:cs="Arial" w:hAnsi="Arial"/>
        </w:rPr>
        <w:t>Por fim conclui-se que o prazo de 180 dias para a suspensão das ações e execuções ajuizadas, conforme previsto no art. 6º, § 4º, da Lei 11.101/05, pode ser prorrogado conforme as peculiaridades de cada caso concreto.</w:t>
      </w:r>
    </w:p>
    <w:p>
      <w:pPr>
        <w:pStyle w:val="style0"/>
        <w:spacing w:line="360" w:lineRule="auto"/>
        <w:ind w:firstLine="851" w:left="0" w:right="0"/>
        <w:jc w:val="both"/>
      </w:pPr>
      <w:r>
        <w:rPr>
          <w:rFonts w:ascii="Arial" w:cs="Arial" w:hAnsi="Arial"/>
        </w:rPr>
        <w:t xml:space="preserve">A empresa deve necessariamente comprovar que diligentemente obedeceu aos comandos impostos pela legislação e que não está, direta ou indiretamente, contribuindo para a demora na aprovação do plano de recuperação judicial que apresentou. </w:t>
      </w:r>
    </w:p>
    <w:p>
      <w:pPr>
        <w:pStyle w:val="style0"/>
        <w:spacing w:line="360" w:lineRule="auto"/>
        <w:ind w:firstLine="851" w:left="0" w:right="0"/>
        <w:jc w:val="both"/>
      </w:pPr>
      <w:r>
        <w:rPr>
          <w:rFonts w:ascii="Arial" w:cs="Arial" w:hAnsi="Arial"/>
        </w:rPr>
      </w:r>
    </w:p>
    <w:p>
      <w:pPr>
        <w:pStyle w:val="style0"/>
        <w:spacing w:line="360" w:lineRule="auto"/>
        <w:ind w:firstLine="851" w:left="0" w:right="0"/>
        <w:jc w:val="both"/>
      </w:pPr>
      <w:r>
        <w:rPr>
          <w:rFonts w:ascii="Arial" w:cs="Arial" w:hAnsi="Arial"/>
          <w:b/>
        </w:rPr>
        <w:t>2) Estando o devedor em recuperação judicial é possível ao credor (Instituição Financeira) executar os sócios da empresa se esses prestaram fiança em contrato bancário?</w:t>
      </w:r>
    </w:p>
    <w:p>
      <w:pPr>
        <w:pStyle w:val="style0"/>
        <w:spacing w:line="360" w:lineRule="auto"/>
        <w:ind w:firstLine="851" w:left="0" w:right="0"/>
        <w:jc w:val="both"/>
      </w:pPr>
      <w:r>
        <w:rPr>
          <w:rFonts w:ascii="Helvetica" w:cs="Helvetica" w:hAnsi="Helvetica"/>
          <w:color w:val="404040"/>
        </w:rPr>
      </w:r>
    </w:p>
    <w:p>
      <w:pPr>
        <w:pStyle w:val="style0"/>
        <w:spacing w:line="360" w:lineRule="auto"/>
        <w:ind w:firstLine="851" w:left="0" w:right="0"/>
        <w:jc w:val="both"/>
      </w:pPr>
      <w:r>
        <w:rPr>
          <w:rFonts w:ascii="Helvetica" w:cs="Helvetica" w:hAnsi="Helvetica"/>
        </w:rPr>
        <w:t>A maioria das decisões existentes nos tribunais do país aponta para a responsabilização dos sócios nos casos em que eles são fiadores de empresas em recuperação judicial. O assunto é novo e a jurisprudência sobre o tema ainda é esparsa, mas em geral os juízes têm entendido que, apesar de a Lei de Falências estabelecer a suspensão das ações de execução de dívidas contra as empresas sob planos de recuperação judicial, o mesmo não vale para os sócios dessas companhias que garantiram contratos ou títulos de crédito em favor delas.</w:t>
      </w:r>
      <w:r>
        <w:rPr>
          <w:rStyle w:val="style22"/>
          <w:rFonts w:ascii="Helvetica" w:cs="Helvetica" w:hAnsi="Helvetica"/>
        </w:rPr>
        <w:footnoteReference w:id="7"/>
      </w:r>
    </w:p>
    <w:p>
      <w:pPr>
        <w:pStyle w:val="style0"/>
        <w:spacing w:line="360" w:lineRule="auto"/>
        <w:ind w:firstLine="851" w:left="0" w:right="0"/>
        <w:jc w:val="both"/>
      </w:pPr>
      <w:r>
        <w:rPr>
          <w:rFonts w:ascii="Helvetica" w:cs="Helvetica" w:hAnsi="Helvetica"/>
        </w:rPr>
        <w:t>Neste sentido:</w:t>
      </w:r>
    </w:p>
    <w:p>
      <w:pPr>
        <w:pStyle w:val="style0"/>
        <w:shd w:fill="FFFFFF" w:val="clear"/>
        <w:ind w:hanging="0" w:left="2835" w:right="165"/>
        <w:jc w:val="both"/>
      </w:pPr>
      <w:r>
        <w:rPr>
          <w:rFonts w:ascii="Arial" w:cs="Arial" w:hAnsi="Arial"/>
          <w:b/>
          <w:bCs/>
          <w:color w:val="9D362E"/>
          <w:sz w:val="20"/>
          <w:szCs w:val="20"/>
          <w:lang w:val="pt-PT"/>
        </w:rPr>
        <w:t>STJ mantém execução contra sócio-avalista de empresa submetida à recuperação judicial</w:t>
      </w:r>
    </w:p>
    <w:p>
      <w:pPr>
        <w:pStyle w:val="style0"/>
        <w:shd w:fill="FFFFFF" w:val="clear"/>
        <w:ind w:hanging="0" w:left="2835" w:right="165"/>
        <w:jc w:val="both"/>
      </w:pPr>
      <w:r>
        <w:rPr>
          <w:rFonts w:ascii="Arial" w:cs="Arial" w:hAnsi="Arial"/>
          <w:color w:val="595656"/>
          <w:sz w:val="20"/>
          <w:szCs w:val="20"/>
          <w:lang w:val="pt-PT"/>
        </w:rPr>
        <w:t xml:space="preserve">A Quarta Turma do Superior Tribunal de Justiça (STJ) negou pedido de sócio-avalista de empresa submetida à recuperação judicial para que a execução movida contra ele pelo Banco Mercantil do Brasil fosse suspensa. A tese sustentada pela defesa era a de que o processamento da recuperação judicial suspende o curso da prescrição e de todas as ações e execuções contra o devedor, inclusive aquelas dos credores particulares do sócio. </w:t>
      </w:r>
    </w:p>
    <w:p>
      <w:pPr>
        <w:pStyle w:val="style0"/>
        <w:shd w:fill="FFFFFF" w:val="clear"/>
        <w:ind w:hanging="0" w:left="2835" w:right="165"/>
        <w:jc w:val="both"/>
      </w:pPr>
      <w:r>
        <w:rPr>
          <w:rFonts w:ascii="Arial" w:cs="Arial" w:hAnsi="Arial"/>
          <w:color w:val="595656"/>
          <w:sz w:val="20"/>
          <w:szCs w:val="20"/>
          <w:lang w:val="pt-PT"/>
        </w:rPr>
        <w:t xml:space="preserve">No caso, o juízo da 1ª Vara Cível da Comarca de Arcos (MG) indeferiu a suspensão da execução e determinou a penhora </w:t>
      </w:r>
      <w:r>
        <w:rPr>
          <w:rFonts w:ascii="Arial" w:cs="Arial" w:hAnsi="Arial"/>
          <w:i/>
          <w:iCs/>
          <w:color w:val="595656"/>
          <w:sz w:val="20"/>
          <w:szCs w:val="20"/>
          <w:lang w:val="pt-PT"/>
        </w:rPr>
        <w:t>on-line</w:t>
      </w:r>
      <w:r>
        <w:rPr>
          <w:rFonts w:ascii="Arial" w:cs="Arial" w:hAnsi="Arial"/>
          <w:color w:val="595656"/>
          <w:sz w:val="20"/>
          <w:szCs w:val="20"/>
          <w:lang w:val="pt-PT"/>
        </w:rPr>
        <w:t xml:space="preserve"> de montante suficiente à garantia da execução. Dessa decisão, o avalista interpôs agravo de instrumento, alegando a necessidade de suspensão da execução e também a impropriedade da penhora </w:t>
      </w:r>
      <w:r>
        <w:rPr>
          <w:rFonts w:ascii="Arial" w:cs="Arial" w:hAnsi="Arial"/>
          <w:i/>
          <w:iCs/>
          <w:color w:val="595656"/>
          <w:sz w:val="20"/>
          <w:szCs w:val="20"/>
          <w:lang w:val="pt-PT"/>
        </w:rPr>
        <w:t>on-line</w:t>
      </w:r>
      <w:r>
        <w:rPr>
          <w:rFonts w:ascii="Arial" w:cs="Arial" w:hAnsi="Arial"/>
          <w:color w:val="595656"/>
          <w:sz w:val="20"/>
          <w:szCs w:val="20"/>
          <w:lang w:val="pt-PT"/>
        </w:rPr>
        <w:t xml:space="preserve">, pois existiria meio menos gravoso ao executado. </w:t>
      </w:r>
    </w:p>
    <w:p>
      <w:pPr>
        <w:pStyle w:val="style0"/>
        <w:shd w:fill="FFFFFF" w:val="clear"/>
        <w:ind w:hanging="0" w:left="2835" w:right="165"/>
        <w:jc w:val="both"/>
      </w:pPr>
      <w:r>
        <w:rPr>
          <w:rFonts w:ascii="Arial" w:cs="Arial" w:hAnsi="Arial"/>
          <w:color w:val="595656"/>
          <w:sz w:val="20"/>
          <w:szCs w:val="20"/>
          <w:lang w:val="pt-PT"/>
        </w:rPr>
        <w:t xml:space="preserve">O Tribunal de Justiça de Minas Gerais manteve a decisão, afirmando que a norma excepcional do artigo 6º da Lei 11.101/05 não se estende para suspender a execução contra o sócio já iniciada ou que vier a ser proposta. “Com a entrada em vigor da lei 11.382/06, o bloqueio e, via de consequência, a penhora de dinheiro são meios usualmente utilizados para satisfação do crédito do exequente”, afirmou o tribunal estadual. </w:t>
        <w:br/>
        <w:t xml:space="preserve">No recurso especial, a defesa sustentou que o deferimento do processamento da recuperação judicial da empresa acarreta a suspensão das obrigações do sócio-avalista. Alegou também que a penhora </w:t>
      </w:r>
      <w:r>
        <w:rPr>
          <w:rFonts w:ascii="Arial" w:cs="Arial" w:hAnsi="Arial"/>
          <w:i/>
          <w:iCs/>
          <w:color w:val="595656"/>
          <w:sz w:val="20"/>
          <w:szCs w:val="20"/>
          <w:lang w:val="pt-PT"/>
        </w:rPr>
        <w:t>on-line</w:t>
      </w:r>
      <w:r>
        <w:rPr>
          <w:rFonts w:ascii="Arial" w:cs="Arial" w:hAnsi="Arial"/>
          <w:color w:val="595656"/>
          <w:sz w:val="20"/>
          <w:szCs w:val="20"/>
          <w:lang w:val="pt-PT"/>
        </w:rPr>
        <w:t xml:space="preserve"> pressupõe o esgotamento dos meios aptos a garantir a execução e menos gravosos aos interesses do executado. </w:t>
      </w:r>
    </w:p>
    <w:p>
      <w:pPr>
        <w:pStyle w:val="style0"/>
        <w:shd w:fill="FFFFFF" w:val="clear"/>
        <w:ind w:hanging="0" w:left="2835" w:right="165"/>
        <w:jc w:val="both"/>
      </w:pPr>
      <w:r>
        <w:rPr>
          <w:rFonts w:ascii="Arial" w:cs="Arial" w:hAnsi="Arial"/>
          <w:b/>
          <w:bCs/>
          <w:color w:val="595656"/>
          <w:sz w:val="20"/>
          <w:szCs w:val="20"/>
          <w:lang w:val="pt-PT"/>
        </w:rPr>
        <w:t xml:space="preserve">Sócio </w:t>
      </w:r>
      <w:r>
        <w:rPr>
          <w:rFonts w:ascii="Arial" w:cs="Arial" w:hAnsi="Arial"/>
          <w:b/>
          <w:bCs/>
          <w:i/>
          <w:iCs/>
          <w:color w:val="595656"/>
          <w:sz w:val="20"/>
          <w:szCs w:val="20"/>
          <w:lang w:val="pt-PT"/>
        </w:rPr>
        <w:t>versus</w:t>
      </w:r>
      <w:r>
        <w:rPr>
          <w:rFonts w:ascii="Arial" w:cs="Arial" w:hAnsi="Arial"/>
          <w:b/>
          <w:bCs/>
          <w:color w:val="595656"/>
          <w:sz w:val="20"/>
          <w:szCs w:val="20"/>
          <w:lang w:val="pt-PT"/>
        </w:rPr>
        <w:t xml:space="preserve"> devedor </w:t>
      </w:r>
    </w:p>
    <w:p>
      <w:pPr>
        <w:pStyle w:val="style0"/>
        <w:shd w:fill="FFFFFF" w:val="clear"/>
        <w:ind w:hanging="0" w:left="2835" w:right="165"/>
        <w:jc w:val="both"/>
      </w:pPr>
      <w:r>
        <w:rPr>
          <w:rFonts w:ascii="Arial" w:cs="Arial" w:hAnsi="Arial"/>
          <w:color w:val="595656"/>
          <w:sz w:val="20"/>
          <w:szCs w:val="20"/>
          <w:lang w:val="pt-PT"/>
        </w:rPr>
        <w:t xml:space="preserve">Segundo o relator, ministro Luis Felipe Salomão, a tese apresentada no recurso especial mistura a ideia de sócio solidário com a de devedor solidário e, de fato, não se sustenta. </w:t>
        <w:br/>
        <w:t xml:space="preserve">O ministro ressaltou que a Lei 11.101, no que se refere à suspensão das ações por ocasião do deferimento da recuperação, alcança apenas os sócios solidários, presentes nos tipos societários em que a responsabilidade pessoal dos consorciados não é limitada às suas respectivas quotas ou ações. </w:t>
        <w:br/>
        <w:t xml:space="preserve">“Não se suspendem, porém, as execuções individuais direcionadas aos avalistas de título cujo devedor principal é sociedade em recuperação judicial, pois diferente é a situação do devedor solidário”, acrescentou o relator. </w:t>
      </w:r>
    </w:p>
    <w:p>
      <w:pPr>
        <w:pStyle w:val="style0"/>
        <w:shd w:fill="FFFFFF" w:val="clear"/>
        <w:ind w:hanging="0" w:left="2835" w:right="165"/>
        <w:jc w:val="both"/>
      </w:pPr>
      <w:r>
        <w:rPr>
          <w:rFonts w:ascii="Arial" w:cs="Arial" w:hAnsi="Arial"/>
          <w:color w:val="595656"/>
          <w:sz w:val="20"/>
          <w:szCs w:val="20"/>
          <w:lang w:val="pt-PT"/>
        </w:rPr>
        <w:t>Quanto à penhora via Bacen-Jud, o ministro Salomão afirmou que a mesma não se mostra mais como exceção cabível somente quando esgotados outros meios para a consecução do crédito executado, desde a edição da Lei 11.382, podendo ser utilizada como providência que confere racionalidade e celeridade aos processo executivo.</w:t>
      </w:r>
      <w:r>
        <w:rPr>
          <w:rStyle w:val="style22"/>
          <w:rFonts w:ascii="Arial" w:cs="Arial" w:hAnsi="Arial"/>
          <w:color w:val="595656"/>
          <w:sz w:val="20"/>
          <w:szCs w:val="20"/>
          <w:lang w:val="pt-PT"/>
        </w:rPr>
        <w:footnoteReference w:id="8"/>
      </w:r>
    </w:p>
    <w:p>
      <w:pPr>
        <w:pStyle w:val="style0"/>
        <w:shd w:fill="FFFFFF" w:val="clear"/>
        <w:ind w:hanging="0" w:left="2835" w:right="165"/>
        <w:jc w:val="both"/>
      </w:pPr>
      <w:r>
        <w:rPr>
          <w:rFonts w:ascii="Verdana" w:hAnsi="Verdana"/>
          <w:color w:val="595656"/>
          <w:sz w:val="17"/>
          <w:szCs w:val="17"/>
          <w:lang w:val="pt-PT"/>
        </w:rPr>
      </w:r>
    </w:p>
    <w:p>
      <w:pPr>
        <w:pStyle w:val="style0"/>
        <w:shd w:fill="FFFFFF" w:val="clear"/>
        <w:spacing w:after="240" w:before="28" w:line="360" w:lineRule="auto"/>
        <w:ind w:firstLine="851" w:left="0" w:right="164"/>
        <w:contextualSpacing w:val="false"/>
        <w:jc w:val="both"/>
      </w:pPr>
      <w:r>
        <w:rPr>
          <w:rFonts w:ascii="Arial" w:cs="Arial" w:hAnsi="Arial"/>
        </w:rPr>
        <w:t>A expectativa é de que a responsabilização dos sócios por dívidas de empresas em processo de recuperação judicial seja mantida na corte. Isso porque, o STJ já decidiu diversas vezes no sentido da responsabilização do sócio fiador, nos casos de falências e concordatas regidas pela antiga Lei de Falências, que previa o seguimento das ações de execução contra os sócios avalistas e como nesse aspecto a lei não foi modificada substancialmente, a tendência é que o sócio fiador na recuperação judicial deva ter o mesmo tratamento.</w:t>
      </w:r>
      <w:r>
        <w:rPr>
          <w:rStyle w:val="style22"/>
          <w:rFonts w:ascii="Arial" w:cs="Arial" w:hAnsi="Arial"/>
        </w:rPr>
        <w:footnoteReference w:id="9"/>
      </w:r>
    </w:p>
    <w:p>
      <w:pPr>
        <w:pStyle w:val="style0"/>
        <w:shd w:fill="FFFFFF" w:val="clear"/>
        <w:spacing w:after="240" w:before="28" w:line="360" w:lineRule="auto"/>
        <w:ind w:firstLine="851" w:left="0" w:right="164"/>
        <w:contextualSpacing w:val="false"/>
        <w:jc w:val="both"/>
      </w:pPr>
      <w:r>
        <w:rPr>
          <w:rFonts w:ascii="Arial" w:cs="Arial" w:hAnsi="Arial"/>
        </w:rPr>
        <w:t>Assim, o Egrégio Tribunal de Justiça do Rio Grande do Sul tem posicionamento que a suspensão deve ser tão somente alcançada a empresa, e não aos devedores solidários, conforme segue:</w:t>
      </w:r>
    </w:p>
    <w:tbl>
      <w:tblPr>
        <w:jc w:val="left"/>
        <w:tblInd w:type="dxa" w:w="0"/>
        <w:tblBorders>
          <w:top w:val="none"/>
          <w:left w:val="none"/>
          <w:bottom w:val="none"/>
          <w:insideH w:val="none"/>
          <w:right w:val="none"/>
          <w:insideV w:val="none"/>
        </w:tblBorders>
        <w:tblCellMar>
          <w:top w:type="dxa" w:w="15"/>
          <w:left w:type="dxa" w:w="15"/>
          <w:bottom w:type="dxa" w:w="15"/>
          <w:right w:type="dxa" w:w="15"/>
        </w:tblCellMar>
      </w:tblPr>
      <w:tblGrid>
        <w:gridCol w:w="8594"/>
      </w:tblGrid>
      <w:tr>
        <w:trPr>
          <w:cantSplit w:val="false"/>
        </w:trPr>
        <w:tc>
          <w:tcPr>
            <w:tcW w:type="dxa" w:w="8594"/>
            <w:tcBorders>
              <w:top w:val="none"/>
              <w:left w:val="none"/>
              <w:bottom w:val="none"/>
              <w:right w:val="none"/>
            </w:tcBorders>
            <w:shd w:fill="auto" w:val="clear"/>
            <w:vAlign w:val="center"/>
          </w:tcPr>
          <w:p>
            <w:pPr>
              <w:pStyle w:val="style0"/>
              <w:ind w:hanging="0" w:left="2835" w:right="0"/>
              <w:jc w:val="both"/>
            </w:pPr>
            <w:r>
              <w:rPr>
                <w:rFonts w:ascii="Arial" w:cs="Arial" w:hAnsi="Arial"/>
                <w:sz w:val="20"/>
                <w:szCs w:val="20"/>
              </w:rPr>
              <w:t>“</w:t>
            </w:r>
            <w:r>
              <w:rPr>
                <w:rFonts w:ascii="Arial" w:cs="Arial" w:hAnsi="Arial"/>
                <w:sz w:val="20"/>
                <w:szCs w:val="20"/>
              </w:rPr>
              <w:t xml:space="preserve">AGRAVO DE INSTRUMENTO. </w:t>
            </w:r>
            <w:r>
              <w:rPr>
                <w:rFonts w:ascii="Arial" w:cs="Arial" w:hAnsi="Arial"/>
                <w:bCs/>
                <w:sz w:val="20"/>
                <w:szCs w:val="20"/>
              </w:rPr>
              <w:t>EXECUÇÃO</w:t>
            </w:r>
            <w:r>
              <w:rPr>
                <w:rFonts w:ascii="Arial" w:cs="Arial" w:hAnsi="Arial"/>
                <w:sz w:val="20"/>
                <w:szCs w:val="20"/>
              </w:rPr>
              <w:t xml:space="preserve">. EXCEÇÃO DE PRÉ-EXECUTIVIDADE. A suspensão da </w:t>
            </w:r>
            <w:r>
              <w:rPr>
                <w:rFonts w:ascii="Arial" w:cs="Arial" w:hAnsi="Arial"/>
                <w:bCs/>
                <w:sz w:val="20"/>
                <w:szCs w:val="20"/>
              </w:rPr>
              <w:t>execução</w:t>
            </w:r>
            <w:r>
              <w:rPr>
                <w:rFonts w:ascii="Arial" w:cs="Arial" w:hAnsi="Arial"/>
                <w:sz w:val="20"/>
                <w:szCs w:val="20"/>
              </w:rPr>
              <w:t xml:space="preserve"> ocorre somente em relação à empresa que se encontra em recuperação judicial, </w:t>
            </w:r>
            <w:r>
              <w:rPr>
                <w:rFonts w:ascii="Arial" w:cs="Arial" w:hAnsi="Arial"/>
                <w:b/>
                <w:sz w:val="20"/>
                <w:szCs w:val="20"/>
                <w:u w:val="single"/>
              </w:rPr>
              <w:t xml:space="preserve">não alcançando à pessoa dos </w:t>
            </w:r>
            <w:r>
              <w:rPr>
                <w:rFonts w:ascii="Arial" w:cs="Arial" w:hAnsi="Arial"/>
                <w:b/>
                <w:bCs/>
                <w:sz w:val="20"/>
                <w:szCs w:val="20"/>
                <w:u w:val="single"/>
              </w:rPr>
              <w:t>devedoressolidários</w:t>
            </w:r>
            <w:r>
              <w:rPr>
                <w:rFonts w:ascii="Arial" w:cs="Arial" w:hAnsi="Arial"/>
                <w:b/>
                <w:sz w:val="20"/>
                <w:szCs w:val="20"/>
                <w:u w:val="single"/>
              </w:rPr>
              <w:t xml:space="preserve"> no </w:t>
            </w:r>
            <w:r>
              <w:rPr>
                <w:rFonts w:ascii="Arial" w:cs="Arial" w:hAnsi="Arial"/>
                <w:b/>
                <w:bCs/>
                <w:sz w:val="20"/>
                <w:szCs w:val="20"/>
                <w:u w:val="single"/>
              </w:rPr>
              <w:t>título</w:t>
            </w:r>
            <w:r>
              <w:rPr>
                <w:rFonts w:ascii="Arial" w:cs="Arial" w:hAnsi="Arial"/>
                <w:b/>
                <w:sz w:val="20"/>
                <w:szCs w:val="20"/>
                <w:u w:val="single"/>
              </w:rPr>
              <w:t xml:space="preserve"> executivo.</w:t>
            </w:r>
            <w:r>
              <w:rPr>
                <w:rFonts w:ascii="Arial" w:cs="Arial" w:hAnsi="Arial"/>
                <w:sz w:val="20"/>
                <w:szCs w:val="20"/>
              </w:rPr>
              <w:t xml:space="preserve"> O disposto no art. 6º da </w:t>
            </w:r>
            <w:r>
              <w:rPr>
                <w:rFonts w:ascii="Arial" w:cs="Arial" w:hAnsi="Arial"/>
                <w:bCs/>
                <w:sz w:val="20"/>
                <w:szCs w:val="20"/>
              </w:rPr>
              <w:t>Lei</w:t>
            </w:r>
            <w:r>
              <w:rPr>
                <w:rFonts w:ascii="Arial" w:cs="Arial" w:hAnsi="Arial"/>
                <w:sz w:val="20"/>
                <w:szCs w:val="20"/>
              </w:rPr>
              <w:t xml:space="preserve"> nº 11.101/05 não abrange aos ora agravantes, garantidores </w:t>
            </w:r>
            <w:r>
              <w:rPr>
                <w:rFonts w:ascii="Arial" w:cs="Arial" w:hAnsi="Arial"/>
                <w:bCs/>
                <w:sz w:val="20"/>
                <w:szCs w:val="20"/>
              </w:rPr>
              <w:t>solidários</w:t>
            </w:r>
            <w:r>
              <w:rPr>
                <w:rFonts w:ascii="Arial" w:cs="Arial" w:hAnsi="Arial"/>
                <w:sz w:val="20"/>
                <w:szCs w:val="20"/>
              </w:rPr>
              <w:t xml:space="preserve"> da obrigação. Precedentes do STJ e deste Tribunal de Justiça. AGRAVO DE INSTRUMENTO IMPROVIDO. (Agravo de Instrumento Nº 70048328660, Décima Primeira Câmara Cível, Tribunal de Justiça do RS, Relator: Luiz Roberto Imperatore de Assis Brasil, Julgado em 13/06/2012)”.(acesso em 08.10.2013, http://www.tjrs.jus.br/busca/?q=recupera%E7%E3o+judicial+executar+os+s%F3cios&amp;tb=jurisnova&amp;pesq=ementario&amp;partialfields=tribunal%3ATribunal%2520de%2520Justi%25C3%25A7a%2520do%2520RS.%28TipoDecisao%3Aac%25C3%25B3rd%25C3%25A3o%7CTipoDecisao%3Amonocr%25C3%25A1tica%7CTipoDecisao%3Anull%29&amp;requiredfields=&amp;as_q=)</w:t>
            </w:r>
          </w:p>
        </w:tc>
      </w:tr>
    </w:tbl>
    <w:p>
      <w:pPr>
        <w:pStyle w:val="style0"/>
        <w:shd w:fill="FFFFFF" w:val="clear"/>
        <w:spacing w:after="240" w:before="28" w:line="360" w:lineRule="auto"/>
        <w:ind w:firstLine="851" w:left="0" w:right="164"/>
        <w:contextualSpacing w:val="false"/>
        <w:jc w:val="both"/>
      </w:pPr>
      <w:r>
        <w:rPr>
          <w:rFonts w:ascii="Arial" w:cs="Arial" w:hAnsi="Arial"/>
        </w:rPr>
        <w:t>Enquanto que o posicionamento do TJ de Santa Catarina ataca a ideia de continuidade da execução contra o avalista, como podemos observar:</w:t>
      </w:r>
    </w:p>
    <w:p>
      <w:pPr>
        <w:pStyle w:val="style0"/>
        <w:shd w:fill="FFFFFF" w:val="clear"/>
        <w:ind w:hanging="0" w:left="2835" w:right="164"/>
        <w:jc w:val="both"/>
      </w:pPr>
      <w:r>
        <w:rPr>
          <w:rFonts w:ascii="Arial" w:cs="Arial" w:hAnsi="Arial"/>
          <w:sz w:val="20"/>
          <w:szCs w:val="20"/>
        </w:rPr>
        <w:t>“</w:t>
      </w:r>
      <w:r>
        <w:rPr>
          <w:rFonts w:ascii="Arial" w:cs="Arial" w:hAnsi="Arial"/>
          <w:sz w:val="20"/>
          <w:szCs w:val="20"/>
        </w:rPr>
        <w:t>AGRAVO DE INSTRUMENTO. EXECUÇÃO DE TÍTULO EXTRAJUDICIAL. REC</w:t>
      </w:r>
      <w:r>
        <w:rPr>
          <w:rFonts w:ascii="Arial" w:cs="Arial" w:hAnsi="Arial"/>
          <w:sz w:val="20"/>
          <w:szCs w:val="20"/>
          <w:shd w:fill="FFFFFF" w:val="clear"/>
        </w:rPr>
        <w:t xml:space="preserve">URSO DO BANCO EXEQUENTE EM FACE DE DECISÃO QUE SUSPENDEU EXECUÇÃO MOVIDA CONTRA SÓCIO AVALISTA DE CÉDULA DE CRÉDITO </w:t>
      </w:r>
      <w:r>
        <w:rPr>
          <w:rFonts w:ascii="Arial" w:cs="Arial" w:hAnsi="Arial"/>
          <w:b/>
          <w:bCs/>
          <w:sz w:val="20"/>
          <w:szCs w:val="20"/>
          <w:shd w:fill="FFFFFF" w:val="clear"/>
        </w:rPr>
        <w:t>BANCÁRIO</w:t>
      </w:r>
      <w:r>
        <w:rPr>
          <w:rFonts w:ascii="Arial" w:cs="Arial" w:hAnsi="Arial"/>
          <w:sz w:val="20"/>
          <w:szCs w:val="20"/>
          <w:shd w:fill="FFFFFF" w:val="clear"/>
        </w:rPr>
        <w:t xml:space="preserve"> EMITIDA POR PESSOA JURÍDICA QUE SE ENCONTRA EM FASE DE </w:t>
      </w:r>
      <w:r>
        <w:rPr>
          <w:rFonts w:ascii="Arial" w:cs="Arial" w:hAnsi="Arial"/>
          <w:b/>
          <w:bCs/>
          <w:sz w:val="20"/>
          <w:szCs w:val="20"/>
          <w:shd w:fill="FFFFFF" w:val="clear"/>
        </w:rPr>
        <w:t>RECUPERAÇÃOJUDICIAL.</w:t>
      </w:r>
      <w:r>
        <w:rPr>
          <w:rFonts w:ascii="Arial" w:cs="Arial" w:hAnsi="Arial"/>
          <w:sz w:val="20"/>
          <w:szCs w:val="20"/>
          <w:shd w:fill="FFFFFF" w:val="clear"/>
        </w:rPr>
        <w:t xml:space="preserve"> ALEGAÇÃO DE QUE O PRAZO DE 180 DIAS</w:t>
      </w:r>
      <w:r>
        <w:rPr>
          <w:rFonts w:ascii="Arial" w:cs="Arial" w:hAnsi="Arial"/>
          <w:sz w:val="20"/>
          <w:szCs w:val="20"/>
        </w:rPr>
        <w:t xml:space="preserve"> DE SUSPENSÃO PREVISTO NO ARTIGO 6º, § 4º, DA LEI 11.101/05 É IMPRORROGÁVEL. PRECEDENTES DO SUPERIOR TRIBUNAL DE JUSTIÇA ADMITINDO A DILAÇÃO DO LAPSO, CONFORME AS ESPECIFICIDADES DE CADA CASO. AUSÊNCIA DE INFORMAÇÕES A RES</w:t>
      </w:r>
      <w:r>
        <w:rPr>
          <w:rFonts w:ascii="Arial" w:cs="Arial" w:hAnsi="Arial"/>
          <w:sz w:val="20"/>
          <w:szCs w:val="20"/>
          <w:shd w:fill="FFFFFF" w:val="clear"/>
        </w:rPr>
        <w:t xml:space="preserve">PEITO DO ANDAMENTO DO PROCESSO DE </w:t>
      </w:r>
      <w:r>
        <w:rPr>
          <w:rFonts w:ascii="Arial" w:cs="Arial" w:hAnsi="Arial"/>
          <w:b/>
          <w:bCs/>
          <w:sz w:val="20"/>
          <w:szCs w:val="20"/>
          <w:shd w:fill="FFFFFF" w:val="clear"/>
        </w:rPr>
        <w:t>RECUPERAÇÃOJUDICIAL</w:t>
      </w:r>
      <w:r>
        <w:rPr>
          <w:rFonts w:ascii="Arial" w:cs="Arial" w:hAnsi="Arial"/>
          <w:sz w:val="20"/>
          <w:szCs w:val="20"/>
          <w:shd w:fill="FFFFFF" w:val="clear"/>
        </w:rPr>
        <w:t xml:space="preserve"> ACIONADO PELA SOCIEDADE EMPRESÁRIA DEVEDORA, CONTUDO, QUE INVIABILIZA A VERIFICAÇÃO DOS MOTIVOS QUE LEVARAM AO RETARDAMENTO DO PROCEDIMENTO DE </w:t>
      </w:r>
      <w:r>
        <w:rPr>
          <w:rFonts w:ascii="Arial" w:cs="Arial" w:hAnsi="Arial"/>
          <w:b/>
          <w:bCs/>
          <w:sz w:val="20"/>
          <w:szCs w:val="20"/>
          <w:shd w:fill="FFFFFF" w:val="clear"/>
        </w:rPr>
        <w:t>RECUPERAÇÃO.</w:t>
      </w:r>
      <w:r>
        <w:rPr>
          <w:rFonts w:ascii="Arial" w:cs="Arial" w:hAnsi="Arial"/>
          <w:sz w:val="20"/>
          <w:szCs w:val="20"/>
        </w:rPr>
        <w:t xml:space="preserve">REQUERIDA CONTINUIDADE DA EXECUÇÃO CONTRA O AVALISTA. POSSIBILIDADE. PARALISAÇÃO DECORRENTE DO DEFERIMENTO DO PROCESSAMENTO DE </w:t>
      </w:r>
      <w:r>
        <w:rPr>
          <w:rFonts w:ascii="Arial" w:cs="Arial" w:hAnsi="Arial"/>
          <w:b/>
          <w:bCs/>
          <w:sz w:val="20"/>
          <w:szCs w:val="20"/>
          <w:shd w:fill="FFFFFF" w:val="clear"/>
        </w:rPr>
        <w:t>RECUPERAÇÃOJUDICIAL</w:t>
      </w:r>
      <w:r>
        <w:rPr>
          <w:rFonts w:ascii="Arial" w:cs="Arial" w:hAnsi="Arial"/>
          <w:sz w:val="20"/>
          <w:szCs w:val="20"/>
        </w:rPr>
        <w:t xml:space="preserve"> QUE CONTEMPLA TÃO SOMENTE AS AÇÕES E EXECUÇÕES AJUIZADAS CONTRA A SOCIEDADE EMPRESÁRIA EM </w:t>
      </w:r>
      <w:r>
        <w:rPr>
          <w:rFonts w:ascii="Arial" w:cs="Arial" w:hAnsi="Arial"/>
          <w:b/>
          <w:bCs/>
          <w:sz w:val="20"/>
          <w:szCs w:val="20"/>
          <w:shd w:fill="FFFFFF" w:val="clear"/>
        </w:rPr>
        <w:t>RECUPERAÇÃO,</w:t>
      </w:r>
      <w:r>
        <w:rPr>
          <w:rFonts w:ascii="Arial" w:cs="Arial" w:hAnsi="Arial"/>
          <w:sz w:val="20"/>
          <w:szCs w:val="20"/>
        </w:rPr>
        <w:t xml:space="preserve"> BEM COMO EM FACE DO SÓCIO SOLIDÁRIO. AVALISTA QUE, AINDA QUE SÓCIO DA PESSOA JURÍDICA RECUPERANDA, NÃO É ABRANGIDO PELO REFERIDO SOBRESTAMENTO. PRECEDENTES DO TRIBUNAL DA CIDADANIA E DESTA CORTE. DECISÃO CASSADA. RECURSO CONHECIDO E PARCIALMENTE PROVIDO. (</w:t>
      </w:r>
      <w:hyperlink r:id="rId2">
        <w:r>
          <w:rPr>
            <w:rStyle w:val="style19"/>
            <w:rFonts w:ascii="Arial" w:cs="Arial" w:hAnsi="Arial"/>
            <w:color w:val="00000A"/>
            <w:sz w:val="20"/>
            <w:szCs w:val="20"/>
          </w:rPr>
          <w:t>2012.035788-9 (Acórdão)</w:t>
        </w:r>
      </w:hyperlink>
    </w:p>
    <w:p>
      <w:pPr>
        <w:pStyle w:val="style0"/>
        <w:shd w:fill="FFFFFF" w:val="clear"/>
        <w:ind w:hanging="0" w:left="2835" w:right="164"/>
        <w:jc w:val="both"/>
      </w:pPr>
      <w:r>
        <w:rPr>
          <w:rFonts w:ascii="Arial" w:cs="Arial" w:hAnsi="Arial"/>
          <w:sz w:val="20"/>
          <w:szCs w:val="20"/>
        </w:rPr>
        <w:t>Relator: Tulio Pinheiro</w:t>
      </w:r>
    </w:p>
    <w:p>
      <w:pPr>
        <w:pStyle w:val="style0"/>
        <w:shd w:fill="FFFFFF" w:val="clear"/>
        <w:ind w:hanging="0" w:left="2835" w:right="164"/>
        <w:jc w:val="both"/>
      </w:pPr>
      <w:r>
        <w:rPr>
          <w:rFonts w:ascii="Arial" w:cs="Arial" w:hAnsi="Arial"/>
          <w:sz w:val="20"/>
          <w:szCs w:val="20"/>
        </w:rPr>
        <w:t>Origem: Guaramirim</w:t>
      </w:r>
    </w:p>
    <w:p>
      <w:pPr>
        <w:pStyle w:val="style0"/>
        <w:shd w:fill="FFFFFF" w:val="clear"/>
        <w:ind w:hanging="0" w:left="2835" w:right="164"/>
        <w:jc w:val="both"/>
      </w:pPr>
      <w:r>
        <w:rPr>
          <w:rFonts w:ascii="Arial" w:cs="Arial" w:hAnsi="Arial"/>
          <w:sz w:val="20"/>
          <w:szCs w:val="20"/>
        </w:rPr>
        <w:t>Orgão Julgador: Terceira Câmara de Direito Comercial</w:t>
        <w:br/>
        <w:t xml:space="preserve">Julgado em: 12/09/2013). Acesso em 24.10.2013, </w:t>
      </w:r>
      <w:r>
        <w:fldChar w:fldCharType="begin"/>
      </w:r>
      <w:r>
        <w:instrText> HYPERLINK "http://app.tjsc.jus.br/jurisprudencia/busca.do" \l "resultado_ancora"</w:instrText>
      </w:r>
      <w:r>
        <w:fldChar w:fldCharType="separate"/>
      </w:r>
      <w:r>
        <w:rPr>
          <w:rStyle w:val="style19"/>
          <w:rFonts w:ascii="Arial" w:cs="Arial" w:hAnsi="Arial"/>
          <w:color w:val="00000A"/>
          <w:sz w:val="20"/>
          <w:szCs w:val="20"/>
        </w:rPr>
        <w:t>http://app.tjsc.jus.br/jurisprudencia/busca.do#resultado_ancora</w:t>
      </w:r>
      <w:r>
        <w:fldChar w:fldCharType="end"/>
      </w:r>
      <w:r>
        <w:rPr>
          <w:rFonts w:ascii="Arial" w:cs="Arial" w:hAnsi="Arial"/>
          <w:sz w:val="20"/>
          <w:szCs w:val="20"/>
        </w:rPr>
        <w:t xml:space="preserve">).CÉDULAS DE </w:t>
      </w:r>
      <w:r>
        <w:rPr>
          <w:rFonts w:ascii="Arial" w:cs="Arial" w:hAnsi="Arial"/>
          <w:sz w:val="20"/>
          <w:szCs w:val="20"/>
          <w:shd w:fill="FFFFFF" w:val="clear"/>
        </w:rPr>
        <w:t xml:space="preserve">CRÉDITO </w:t>
      </w:r>
      <w:r>
        <w:rPr>
          <w:rFonts w:ascii="Arial" w:cs="Arial" w:hAnsi="Arial"/>
          <w:b/>
          <w:bCs/>
          <w:sz w:val="20"/>
          <w:szCs w:val="20"/>
          <w:shd w:fill="FFFFFF" w:val="clear"/>
        </w:rPr>
        <w:t>BANCÁRIO.</w:t>
      </w:r>
      <w:r>
        <w:rPr>
          <w:rFonts w:ascii="Arial" w:cs="Arial" w:hAnsi="Arial"/>
          <w:sz w:val="20"/>
          <w:szCs w:val="20"/>
          <w:shd w:fill="FFFFFF" w:val="clear"/>
        </w:rPr>
        <w:t xml:space="preserve"> Execução. Embargos improcedentes. Inconformismo. Extinção da demanda ou suspensão. Devedora principal em </w:t>
      </w:r>
      <w:r>
        <w:rPr>
          <w:rFonts w:ascii="Arial" w:cs="Arial" w:hAnsi="Arial"/>
          <w:b/>
          <w:bCs/>
          <w:sz w:val="20"/>
          <w:szCs w:val="20"/>
          <w:shd w:fill="FFFFFF" w:val="clear"/>
        </w:rPr>
        <w:t>recuperaçãojudicial.</w:t>
      </w:r>
      <w:r>
        <w:rPr>
          <w:rFonts w:ascii="Arial" w:cs="Arial" w:hAnsi="Arial"/>
          <w:sz w:val="20"/>
          <w:szCs w:val="20"/>
          <w:shd w:fill="FFFFFF" w:val="clear"/>
        </w:rPr>
        <w:t xml:space="preserve"> Inaplicabilidade dos efeitos desta medida ao garante ora executado. Títulos inexequíveis. Alegação</w:t>
      </w:r>
      <w:r>
        <w:rPr>
          <w:rFonts w:ascii="Arial" w:cs="Arial" w:hAnsi="Arial"/>
          <w:sz w:val="20"/>
          <w:szCs w:val="20"/>
        </w:rPr>
        <w:t xml:space="preserve"> rejeitada. Ajustes acompanhados de demonstrativo do débito. Modalidade contratual regida por norma específica. Requisitos atendidos. Declaração incidental de inconstitucionalidade. Pedido inacolhido. Recurso desprovido. (Processo: </w:t>
      </w:r>
      <w:hyperlink r:id="rId3">
        <w:r>
          <w:rPr>
            <w:rStyle w:val="style19"/>
            <w:rFonts w:ascii="Arial" w:cs="Arial" w:hAnsi="Arial"/>
            <w:color w:val="00000A"/>
            <w:sz w:val="20"/>
            <w:szCs w:val="20"/>
          </w:rPr>
          <w:t>2012.059983-4 (Acórdão)</w:t>
        </w:r>
      </w:hyperlink>
    </w:p>
    <w:p>
      <w:pPr>
        <w:pStyle w:val="style0"/>
        <w:shd w:fill="FFFFFF" w:val="clear"/>
        <w:ind w:hanging="0" w:left="2835" w:right="164"/>
        <w:jc w:val="both"/>
      </w:pPr>
      <w:r>
        <w:rPr>
          <w:rFonts w:ascii="Arial" w:cs="Arial" w:hAnsi="Arial"/>
          <w:sz w:val="20"/>
          <w:szCs w:val="20"/>
        </w:rPr>
        <w:t>Relator:JoséInacioSchaefer</w:t>
        <w:br/>
        <w:t>Origem: Fraiburgo</w:t>
      </w:r>
    </w:p>
    <w:p>
      <w:pPr>
        <w:pStyle w:val="style0"/>
        <w:shd w:fill="FFFFFF" w:val="clear"/>
        <w:ind w:hanging="0" w:left="2835" w:right="164"/>
        <w:jc w:val="both"/>
      </w:pPr>
      <w:r>
        <w:rPr>
          <w:rFonts w:ascii="Arial" w:cs="Arial" w:hAnsi="Arial"/>
          <w:sz w:val="20"/>
          <w:szCs w:val="20"/>
        </w:rPr>
        <w:t>Orgão Julgador: Quarta Câmara de Direito Comercial</w:t>
        <w:br/>
        <w:t xml:space="preserve">Julgado em: 25/06/2013. (acesso em 24.10.2013, </w:t>
      </w:r>
      <w:r>
        <w:fldChar w:fldCharType="begin"/>
      </w:r>
      <w:r>
        <w:instrText> HYPERLINK "http://app.tjsc.jus.br/jurisprudencia/busca.do" \l "resultado_ancora"</w:instrText>
      </w:r>
      <w:r>
        <w:fldChar w:fldCharType="separate"/>
      </w:r>
      <w:r>
        <w:rPr>
          <w:rStyle w:val="style19"/>
          <w:rFonts w:ascii="Arial" w:cs="Arial" w:hAnsi="Arial"/>
          <w:color w:val="00000A"/>
          <w:sz w:val="20"/>
          <w:szCs w:val="20"/>
        </w:rPr>
        <w:t>http://app.tjsc.jus.br/jurisprudencia/busca.do#resultado_ancora</w:t>
      </w:r>
      <w:r>
        <w:fldChar w:fldCharType="end"/>
      </w:r>
      <w:r>
        <w:rPr>
          <w:rFonts w:ascii="Arial" w:cs="Arial" w:hAnsi="Arial"/>
          <w:sz w:val="20"/>
          <w:szCs w:val="20"/>
        </w:rPr>
        <w:t>)</w:t>
      </w:r>
    </w:p>
    <w:p>
      <w:pPr>
        <w:pStyle w:val="style0"/>
        <w:shd w:fill="FFFFFF" w:val="clear"/>
        <w:ind w:hanging="0" w:left="2835" w:right="164"/>
        <w:jc w:val="both"/>
      </w:pPr>
      <w:r>
        <w:rPr>
          <w:rFonts w:ascii="Arial" w:cs="Arial" w:hAnsi="Arial"/>
          <w:sz w:val="20"/>
          <w:szCs w:val="20"/>
        </w:rPr>
      </w:r>
    </w:p>
    <w:p>
      <w:pPr>
        <w:pStyle w:val="style31"/>
        <w:spacing w:after="28" w:before="28" w:line="360" w:lineRule="auto"/>
        <w:ind w:firstLine="851" w:left="0" w:right="0"/>
        <w:contextualSpacing w:val="false"/>
        <w:jc w:val="both"/>
      </w:pPr>
      <w:r>
        <w:rPr>
          <w:rFonts w:ascii="Arial" w:cs="Arial" w:hAnsi="Arial"/>
          <w:sz w:val="24"/>
          <w:szCs w:val="24"/>
        </w:rPr>
        <w:t>Contudo, pela regra do artigo 49, § 1º da Lei nº 11.101/2005, a instituição financeira normalmente ostenta a condição de credora extraconcursal, ou seja, não se sujeita aos efeitos da recuperação judicial e da falência.Nesse a instituição financeira pode ajuizar ação contra os devedores solidários, fiadores ou avalistas, já que a recuperação judicial ou falência não isenta os avalistas de responderem individualmente pelas dívidas assumidas, pois os avalistas nessa situação já estão comprometidos com diversas obrigações e não há patrimônio suficiente. Já nos casos em que há hipoteca no nome do sócio avalista, o banco continua entrando com ações de execução quando há recuperação judicial, diante de uma maior eficácia na satisfação da dívida.</w:t>
      </w:r>
    </w:p>
    <w:p>
      <w:pPr>
        <w:pStyle w:val="style31"/>
        <w:spacing w:after="28" w:before="28" w:line="360" w:lineRule="auto"/>
        <w:ind w:firstLine="851" w:left="0" w:right="0"/>
        <w:contextualSpacing w:val="false"/>
        <w:jc w:val="both"/>
      </w:pPr>
      <w:r>
        <w:rPr>
          <w:rFonts w:ascii="Arial" w:cs="Arial" w:hAnsi="Arial"/>
          <w:sz w:val="24"/>
          <w:szCs w:val="24"/>
        </w:rPr>
        <w:t>Concentra-se este ensaio na interpretação da expressão sócio solidário contida no caput do artigo 6º da Lei n. 11.101/05 que assim dispõe:</w:t>
      </w:r>
    </w:p>
    <w:p>
      <w:pPr>
        <w:pStyle w:val="style0"/>
        <w:ind w:hanging="0" w:left="3402" w:right="0"/>
        <w:jc w:val="both"/>
      </w:pPr>
      <w:r>
        <w:rPr>
          <w:rFonts w:ascii="Arial" w:cs="Arial" w:hAnsi="Arial"/>
          <w:b/>
          <w:bCs/>
          <w:i/>
          <w:iCs/>
          <w:sz w:val="20"/>
          <w:szCs w:val="20"/>
        </w:rPr>
        <w:t>"A decretação da falência ou o deferimento do processamento da recuperação judicial suspende o curso da prescrição em face do devedor, inclusive aquelas dos credores particulares do sócio solidário."</w:t>
      </w:r>
    </w:p>
    <w:p>
      <w:pPr>
        <w:pStyle w:val="style0"/>
        <w:spacing w:after="0" w:before="28" w:line="360" w:lineRule="auto"/>
        <w:ind w:firstLine="851" w:left="0" w:right="0"/>
        <w:contextualSpacing w:val="false"/>
        <w:jc w:val="both"/>
      </w:pPr>
      <w:r>
        <w:rPr>
          <w:rFonts w:ascii="Arial" w:cs="Arial" w:hAnsi="Arial"/>
        </w:rPr>
        <w:t>Como ponto de partida tem-se a recente decisão do TJ/SP que incluiu na expressão sócio solidário a figura do sócio avalista da sociedade em recuperação judicial</w:t>
      </w:r>
      <w:r>
        <w:rPr>
          <w:rStyle w:val="style22"/>
          <w:rFonts w:ascii="Arial" w:cs="Arial" w:hAnsi="Arial"/>
        </w:rPr>
        <w:footnoteReference w:id="10"/>
      </w:r>
      <w:r>
        <w:rPr>
          <w:rFonts w:ascii="Arial" w:cs="Arial" w:hAnsi="Arial"/>
        </w:rPr>
        <w:t>:</w:t>
      </w:r>
    </w:p>
    <w:p>
      <w:pPr>
        <w:pStyle w:val="style0"/>
        <w:ind w:hanging="0" w:left="3402" w:right="0"/>
        <w:jc w:val="both"/>
      </w:pPr>
      <w:r>
        <w:rPr>
          <w:rFonts w:ascii="Arial" w:cs="Arial" w:hAnsi="Arial"/>
          <w:i/>
          <w:iCs/>
          <w:sz w:val="20"/>
          <w:szCs w:val="20"/>
        </w:rPr>
        <w:t xml:space="preserve">"Execução por título extrajudicial - Ação dirigida contra pessoa jurídica e contra os sócios desta, devedores solidários – Recuperação judicial homologada –Benefício legal que torna inexigível o título tanto para a devedora principal, quanto para os garantes, em razão de serem sócios da empresa em recuperação judicial – Análise do artigo 49, § 1º, da Lei 11.101/2005, combinado com o artigo 739-A do CPC (clique aqui) – Recurso provido." (TJ/SP, 21ª Câmara de Direito Privado, Apelação n. 7.166.479-6, relator Des. Souza Lopes). </w:t>
      </w:r>
    </w:p>
    <w:p>
      <w:pPr>
        <w:pStyle w:val="style0"/>
        <w:spacing w:after="240" w:before="28" w:line="360" w:lineRule="auto"/>
        <w:ind w:firstLine="851" w:left="0" w:right="0"/>
        <w:contextualSpacing w:val="false"/>
        <w:jc w:val="both"/>
      </w:pPr>
      <w:r>
        <w:rPr>
          <w:rFonts w:ascii="Arial" w:cs="Arial" w:hAnsi="Arial"/>
        </w:rPr>
        <w:t>Brilhantemente o advogado Alfredo Pacheco Neto, acerca do tema, aduz que a decisão que suspende a execução contra o devedor seria a posição mais acertada ao considerar o processo de recuperação judicial. Segundo ele, a não-suspensão das execuções contra sócios cria um entrave para a recuperação efetiva da empresa. Isso porque, se o sócio avalista paga a dívida, ele mesmo se torna credor da sua empresa, "o que torna, muitas vezes, a recuperação inviável". Para o advogado, a tendência é a de que o STJ também mantenha essas execuções, mas isso irá na contramão do espírito da lei de permitir a recuperação das empresas em dificuldades. "O espírito da lei foi um, mas sua redação foi outra, e se o STJ seguir a interpretação predominante deve ser a favor da execução dos sócios avalistas, o que é ruim para o processo de recuperação", diz.</w:t>
      </w:r>
      <w:r>
        <w:rPr>
          <w:rStyle w:val="style22"/>
          <w:rFonts w:ascii="Arial" w:cs="Arial" w:hAnsi="Arial"/>
        </w:rPr>
        <w:footnoteReference w:id="11"/>
      </w:r>
    </w:p>
    <w:p>
      <w:pPr>
        <w:pStyle w:val="style0"/>
        <w:spacing w:after="240" w:before="28" w:line="360" w:lineRule="auto"/>
        <w:ind w:firstLine="851" w:left="0" w:right="0"/>
        <w:contextualSpacing w:val="false"/>
        <w:jc w:val="both"/>
      </w:pPr>
      <w:r>
        <w:rPr>
          <w:rFonts w:ascii="Arial" w:cs="Arial" w:hAnsi="Arial"/>
        </w:rPr>
        <w:t>Assim, o Tribunal Catarinense quanto a suspensão da execução:</w:t>
      </w:r>
    </w:p>
    <w:p>
      <w:pPr>
        <w:pStyle w:val="style0"/>
        <w:ind w:hanging="0" w:left="2835" w:right="0"/>
        <w:jc w:val="both"/>
      </w:pPr>
      <w:r>
        <w:rPr>
          <w:rFonts w:ascii="Tahoma" w:cs="Tahoma" w:hAnsi="Tahoma"/>
          <w:color w:val="666666"/>
          <w:sz w:val="20"/>
          <w:szCs w:val="20"/>
        </w:rPr>
        <w:t>APELAÇÃO</w:t>
      </w:r>
      <w:r>
        <w:rPr>
          <w:rFonts w:ascii="Tahoma" w:cs="Tahoma" w:hAnsi="Tahoma"/>
          <w:color w:val="666666"/>
          <w:sz w:val="20"/>
          <w:szCs w:val="20"/>
          <w:shd w:fill="FFFFFF" w:val="clear"/>
        </w:rPr>
        <w:t xml:space="preserve"> CÍVEL. EMBARGOS À EXECUÇÃO DE CÉDULA DE </w:t>
      </w:r>
      <w:r>
        <w:rPr>
          <w:rFonts w:ascii="Arial" w:cs="Arial" w:hAnsi="Arial"/>
          <w:color w:val="666666"/>
          <w:sz w:val="20"/>
          <w:szCs w:val="20"/>
          <w:shd w:fill="FFFFFF" w:val="clear"/>
        </w:rPr>
        <w:t xml:space="preserve">CRÉDITO </w:t>
      </w:r>
      <w:r>
        <w:rPr>
          <w:rFonts w:ascii="Arial" w:cs="Arial" w:hAnsi="Arial"/>
          <w:b/>
          <w:bCs/>
          <w:color w:val="666666"/>
          <w:sz w:val="20"/>
          <w:szCs w:val="20"/>
          <w:shd w:fill="FFFFFF" w:val="clear"/>
        </w:rPr>
        <w:t>BANCÁRIO.</w:t>
      </w:r>
      <w:r>
        <w:rPr>
          <w:rFonts w:ascii="Arial" w:cs="Arial" w:hAnsi="Arial"/>
          <w:color w:val="666666"/>
          <w:sz w:val="20"/>
          <w:szCs w:val="20"/>
          <w:shd w:fill="FFFFFF" w:val="clear"/>
        </w:rPr>
        <w:t xml:space="preserve"> REVISÃO DOS ENCARGOS ABUSIVOS. IMPROCEDÊNCIA DO PEDIDO. IRRESIGNAÇÃO DO EMBARGANTE.</w:t>
      </w:r>
      <w:r>
        <w:rPr>
          <w:rFonts w:ascii="Arial" w:cs="Arial" w:hAnsi="Arial"/>
          <w:b/>
          <w:color w:val="666666"/>
          <w:sz w:val="20"/>
          <w:szCs w:val="20"/>
          <w:u w:val="single"/>
          <w:shd w:fill="FFFFFF" w:val="clear"/>
        </w:rPr>
        <w:t xml:space="preserve">IMPOSSIBILIDADE DE SUSPENSÃO DA EXECUÇÃO EM FACE DA CONCESSÃO DE </w:t>
      </w:r>
      <w:r>
        <w:rPr>
          <w:rFonts w:ascii="Arial" w:cs="Arial" w:hAnsi="Arial"/>
          <w:b/>
          <w:bCs/>
          <w:color w:val="666666"/>
          <w:sz w:val="20"/>
          <w:szCs w:val="20"/>
          <w:u w:val="single"/>
          <w:shd w:fill="FFFFFF" w:val="clear"/>
        </w:rPr>
        <w:t>RECUPERAÇÃOJUDICIAL</w:t>
      </w:r>
      <w:r>
        <w:rPr>
          <w:rFonts w:ascii="Arial" w:cs="Arial" w:hAnsi="Arial"/>
          <w:b/>
          <w:color w:val="666666"/>
          <w:sz w:val="20"/>
          <w:szCs w:val="20"/>
          <w:u w:val="single"/>
        </w:rPr>
        <w:t xml:space="preserve"> À DEVEDORA PRINCIPAL. EMBARGANTE QUE É AVALISTA DO TÍTULO DE CRÉDITO. INTELIGÊNCIA DO DISPOSTO NO § 1º DO ART. 49 da Lei n. 11.101/05.</w:t>
      </w:r>
      <w:r>
        <w:rPr>
          <w:rFonts w:ascii="Arial" w:cs="Arial" w:hAnsi="Arial"/>
          <w:color w:val="666666"/>
          <w:sz w:val="20"/>
          <w:szCs w:val="20"/>
        </w:rPr>
        <w:br/>
        <w:t>INCIDÊNCIA DO CÓDIGO DE DEFESA DO CONSUMIDOR. EXEGESE DA SÚMULA 297 DO STJ. POSSIBILIDADE DA REVISÃO DAS CLÁUSULAS CONTRATUAIS. INTELIGÊNCIA DOS ARTS. 6º, V, E 51, IV, DO CDC. INVERSÃO DO ÔNUS DA PROVA. MITIGAÇÃO DO PACTA SUNT SERVANDA.</w:t>
        <w:br/>
        <w:t xml:space="preserve">ALEGAÇÃO DE CERCEAMENTO DE DEFESA. POSTULADA A PRODUÇÃO DE PROVA PERICIAL. DESNECESSIDADE. POSSIBILIDADE DE VERIFICAÇÃO DE EVENTUAIS ABUSIVIDADES ATRAVÉS DO EXAME DAS CLÁUSULAS DO CONTRATO. </w:t>
        <w:br/>
        <w:t>IMPOSSIBILIDADE DE CONCESSÃO DO BENEFÍCIO DE ORDEM AO APELANTE, POIS ESTE É INSTITUTO PRÓPRIO DA FIANÇA. O AVAL É GARANTIA PESSOAL QUE RESULTA EM RESPONSABILIDADE SOLIDÁRIA PELO CUMPRIMENTO DA OBRIGAÇÃO ASSUMIDA.</w:t>
      </w:r>
    </w:p>
    <w:p>
      <w:pPr>
        <w:pStyle w:val="style0"/>
        <w:ind w:hanging="0" w:left="2835" w:right="0"/>
        <w:jc w:val="both"/>
      </w:pPr>
      <w:r>
        <w:rPr>
          <w:rFonts w:ascii="Arial" w:cs="Arial" w:hAnsi="Arial"/>
          <w:color w:val="666666"/>
          <w:sz w:val="20"/>
          <w:szCs w:val="20"/>
        </w:rPr>
        <w:t>TARIFAS ADMINISTRATIVAS. AUSÊNCIA DE INTERESSE RECURSAL. INEXISTÊNCIA DE CLÁUSULA CONTRATUAL PREVENDO A COBRANÇA DOS ALUDIDOS ENCARGOS.</w:t>
        <w:br/>
        <w:t xml:space="preserve">SUCUMBÊNCIA MANTIDA. </w:t>
        <w:br/>
        <w:t>RECURSO CONHECIDO EM PARTE E IMPROVIDO. Processo:2013.034164-5 (Acórdão)</w:t>
        <w:br/>
        <w:t>Relator: Altamiro de Oliveira</w:t>
        <w:br/>
        <w:t>Origem: Lages</w:t>
        <w:br/>
        <w:t>Orgão Julgador: Quarta Câmara de Direito Comercial</w:t>
        <w:br/>
        <w:t>Julgado em: 24/09/2013).</w:t>
      </w:r>
    </w:p>
    <w:p>
      <w:pPr>
        <w:pStyle w:val="style0"/>
        <w:ind w:hanging="0" w:left="2835" w:right="0"/>
        <w:jc w:val="both"/>
      </w:pPr>
      <w:r>
        <w:rPr>
          <w:rFonts w:ascii="Arial" w:cs="Arial" w:hAnsi="Arial"/>
        </w:rPr>
      </w:r>
    </w:p>
    <w:p>
      <w:pPr>
        <w:pStyle w:val="style0"/>
        <w:spacing w:after="240" w:before="0" w:line="360" w:lineRule="auto"/>
        <w:ind w:firstLine="851" w:left="0" w:right="0"/>
        <w:contextualSpacing w:val="false"/>
        <w:jc w:val="both"/>
      </w:pPr>
      <w:r>
        <w:rPr>
          <w:rFonts w:ascii="Arial" w:cs="Arial" w:hAnsi="Arial"/>
        </w:rPr>
        <w:t>Por sua vez, o Tribunal de Justiça do Rio de Janeiro, em recente julgado, entende ser inaplicável o disposto no §1º, do artigo 49 da Lei de Falências:</w:t>
      </w:r>
    </w:p>
    <w:tbl>
      <w:tblPr>
        <w:jc w:val="left"/>
        <w:tblInd w:type="dxa" w:w="0"/>
        <w:tblBorders>
          <w:top w:val="none"/>
          <w:left w:val="none"/>
          <w:bottom w:val="none"/>
          <w:insideH w:val="none"/>
          <w:right w:val="none"/>
          <w:insideV w:val="none"/>
        </w:tblBorders>
        <w:tblCellMar>
          <w:top w:type="dxa" w:w="0"/>
          <w:left w:type="dxa" w:w="0"/>
          <w:bottom w:type="dxa" w:w="0"/>
          <w:right w:type="dxa" w:w="0"/>
        </w:tblCellMar>
      </w:tblPr>
      <w:tblGrid>
        <w:gridCol w:w="8652"/>
      </w:tblGrid>
      <w:tr>
        <w:trPr>
          <w:cantSplit w:val="false"/>
        </w:trPr>
        <w:tc>
          <w:tcPr>
            <w:tcW w:type="dxa" w:w="8652"/>
            <w:tcBorders>
              <w:top w:val="none"/>
              <w:left w:val="none"/>
              <w:bottom w:val="none"/>
              <w:right w:val="none"/>
            </w:tcBorders>
            <w:shd w:fill="auto" w:val="clear"/>
            <w:vAlign w:val="center"/>
          </w:tcPr>
          <w:p>
            <w:pPr>
              <w:pStyle w:val="style0"/>
            </w:pPr>
            <w:r>
              <w:rPr>
                <w:b/>
                <w:bCs/>
                <w:sz w:val="20"/>
                <w:szCs w:val="20"/>
              </w:rPr>
            </w:r>
          </w:p>
        </w:tc>
      </w:tr>
      <w:tr>
        <w:trPr>
          <w:cantSplit w:val="false"/>
        </w:trPr>
        <w:tc>
          <w:tcPr>
            <w:tcW w:type="dxa" w:w="8652"/>
            <w:tcBorders>
              <w:top w:val="none"/>
              <w:left w:val="none"/>
              <w:bottom w:val="none"/>
              <w:right w:val="none"/>
            </w:tcBorders>
            <w:shd w:fill="auto" w:val="clear"/>
            <w:vAlign w:val="center"/>
          </w:tcPr>
          <w:p>
            <w:pPr>
              <w:pStyle w:val="style0"/>
              <w:spacing w:after="240" w:before="0"/>
              <w:ind w:hanging="0" w:left="2835" w:right="0"/>
              <w:contextualSpacing w:val="false"/>
              <w:jc w:val="both"/>
            </w:pPr>
            <w:r>
              <w:rPr>
                <w:rFonts w:ascii="Arial" w:cs="Arial" w:hAnsi="Arial"/>
                <w:bCs/>
                <w:sz w:val="20"/>
                <w:szCs w:val="20"/>
              </w:rPr>
              <w:t>“</w:t>
            </w:r>
            <w:r>
              <w:rPr>
                <w:rFonts w:ascii="Arial" w:cs="Arial" w:hAnsi="Arial"/>
                <w:bCs/>
                <w:sz w:val="20"/>
                <w:szCs w:val="20"/>
              </w:rPr>
              <w:t>Embargos de declaração. Ação de cobrança. Certificado de Depósitos Bancários (CDBs). Liquidação extrajudicial da instituição financeira. Recebimento dos valores em ação autônoma. Impossibilidade. Inaplicabilidade do §1º, do artigo 49, da Lei nº 11.101/05. Necessidade de participação no Quadro Geral de Credores. Inteligência do artigo 25 da Lei nº 6.024/74. As disposições contidas na Lei nº 11.101/2005, incidirão na presente demanda, no que couber, conforme o disposto no artigo 197, da Lei nº 11.101/2005</w:t>
            </w:r>
            <w:r>
              <w:rPr>
                <w:rFonts w:ascii="Arial" w:cs="Arial" w:hAnsi="Arial"/>
                <w:bCs/>
                <w:sz w:val="20"/>
                <w:szCs w:val="20"/>
                <w:u w:val="single"/>
              </w:rPr>
              <w:t>. Com efeito, na legislação que disciplina a intervenção e liquidação extrajudicial das instituições financeiras (Lei nº 6.024/74), não há fase de recuperação judicial, e, portanto, ao contrário do pretendido pelo agravante, não se aplica ao presente, o privilégio preconizado no §3º, do artigo 49, da Lei nº 11.101/2005</w:t>
            </w:r>
            <w:r>
              <w:rPr>
                <w:rFonts w:ascii="Arial" w:cs="Arial" w:hAnsi="Arial"/>
                <w:bCs/>
                <w:sz w:val="20"/>
                <w:szCs w:val="20"/>
              </w:rPr>
              <w:t>. Inexistência de omissão, contradição e obscuridade. Embargos de declaração rejeitados. (grifo meu)(</w:t>
            </w:r>
            <w:r>
              <w:rPr>
                <w:rFonts w:ascii="Arial" w:cs="Arial" w:hAnsi="Arial"/>
                <w:sz w:val="20"/>
                <w:szCs w:val="20"/>
              </w:rPr>
              <w:t>Data de Julgamento: 09/10/2013 (*),</w:t>
            </w:r>
            <w:hyperlink r:id="rId4">
              <w:r>
                <w:rPr>
                  <w:rStyle w:val="style19"/>
                  <w:rFonts w:ascii="Arial" w:cs="Arial" w:hAnsi="Arial"/>
                  <w:bCs/>
                  <w:sz w:val="20"/>
                  <w:szCs w:val="20"/>
                </w:rPr>
                <w:t>0371224-34.2011.8.19.0001</w:t>
              </w:r>
            </w:hyperlink>
            <w:r>
              <w:rPr>
                <w:rFonts w:ascii="Arial" w:cs="Arial" w:hAnsi="Arial"/>
                <w:bCs/>
                <w:sz w:val="20"/>
                <w:szCs w:val="20"/>
              </w:rPr>
              <w:t>- APELACAO, DES. HELDA LIMA MEIRELES - Julgamento: 09/10/2013 - TERCEIRA CAMARA CIVEL) Acesso em 25.10.2013 http://www.tjrj.jus.br/scripts/weblink.mgw</w:t>
            </w:r>
          </w:p>
          <w:p>
            <w:pPr>
              <w:pStyle w:val="style31"/>
              <w:ind w:firstLine="851" w:left="0" w:right="0"/>
              <w:jc w:val="both"/>
            </w:pPr>
            <w:r>
              <w:rPr>
                <w:bCs/>
                <w:sz w:val="24"/>
                <w:szCs w:val="24"/>
              </w:rPr>
              <w:t>Conforme pode-se observar, trata-</w:t>
            </w:r>
            <w:bookmarkStart w:id="0" w:name="_GoBack"/>
            <w:bookmarkEnd w:id="0"/>
            <w:r>
              <w:rPr>
                <w:bCs/>
                <w:sz w:val="24"/>
                <w:szCs w:val="24"/>
              </w:rPr>
              <w:t xml:space="preserve">se de matéria que há duplo posicionamento, posto que alguns tribunais aduzem ser possível </w:t>
            </w:r>
            <w:r>
              <w:rPr>
                <w:sz w:val="24"/>
                <w:szCs w:val="24"/>
              </w:rPr>
              <w:t>executar os sócios da empresa se esses prestaram fiança em contrato bancário, enquanto que outra parte dos colegiados entende que a suspensão deve ser alcançada também quanto a execução dos sócios que prestaram fiança.</w:t>
            </w:r>
          </w:p>
          <w:tbl>
            <w:tblPr>
              <w:jc w:val="left"/>
              <w:tblInd w:type="dxa" w:w="0"/>
              <w:tblBorders>
                <w:top w:val="none"/>
                <w:left w:val="none"/>
                <w:bottom w:val="none"/>
                <w:insideH w:val="none"/>
                <w:right w:val="none"/>
                <w:insideV w:val="none"/>
              </w:tblBorders>
              <w:tblCellMar>
                <w:top w:type="dxa" w:w="0"/>
                <w:left w:type="dxa" w:w="0"/>
                <w:bottom w:type="dxa" w:w="0"/>
                <w:right w:type="dxa" w:w="0"/>
              </w:tblCellMar>
            </w:tblPr>
            <w:tblGrid>
              <w:gridCol w:w="8504"/>
            </w:tblGrid>
            <w:tr>
              <w:trPr>
                <w:cantSplit w:val="false"/>
              </w:trPr>
              <w:tc>
                <w:tcPr>
                  <w:tcW w:type="dxa" w:w="8504"/>
                  <w:tcBorders>
                    <w:top w:val="none"/>
                    <w:left w:val="none"/>
                    <w:bottom w:val="none"/>
                    <w:right w:val="none"/>
                  </w:tcBorders>
                  <w:shd w:fill="auto" w:val="clear"/>
                  <w:vAlign w:val="center"/>
                </w:tcPr>
                <w:p>
                  <w:pPr>
                    <w:pStyle w:val="style0"/>
                  </w:pPr>
                  <w:r>
                    <w:rPr>
                      <w:sz w:val="20"/>
                      <w:szCs w:val="20"/>
                    </w:rPr>
                  </w:r>
                </w:p>
              </w:tc>
            </w:tr>
          </w:tbl>
          <w:p>
            <w:pPr>
              <w:pStyle w:val="style0"/>
            </w:pPr>
            <w:r>
              <w:rPr>
                <w:b/>
                <w:bCs/>
                <w:sz w:val="20"/>
                <w:szCs w:val="20"/>
              </w:rPr>
            </w:r>
          </w:p>
        </w:tc>
      </w:tr>
    </w:tbl>
    <w:p>
      <w:pPr>
        <w:pStyle w:val="style0"/>
        <w:spacing w:after="240" w:before="28" w:line="360" w:lineRule="auto"/>
        <w:ind w:firstLine="851" w:left="0" w:right="0"/>
        <w:contextualSpacing w:val="false"/>
        <w:jc w:val="both"/>
      </w:pPr>
      <w:r>
        <w:rPr>
          <w:rFonts w:ascii="Arial" w:cs="Arial" w:hAnsi="Arial"/>
        </w:rPr>
      </w:r>
    </w:p>
    <w:p>
      <w:pPr>
        <w:pStyle w:val="style0"/>
        <w:spacing w:line="360" w:lineRule="auto"/>
        <w:ind w:firstLine="851" w:left="0" w:right="0"/>
        <w:jc w:val="both"/>
      </w:pPr>
      <w:r>
        <w:rPr/>
      </w:r>
    </w:p>
    <w:sectPr>
      <w:footnotePr>
        <w:numFmt w:val="decimal"/>
      </w:footnote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Helvetica">
    <w:altName w:val="Arial"/>
    <w:charset w:val="00"/>
    <w:family w:val="roman"/>
    <w:pitch w:val="variable"/>
  </w:font>
  <w:font w:name="Verdana">
    <w:charset w:val="00"/>
    <w:family w:val="roman"/>
    <w:pitch w:val="variable"/>
  </w:font>
  <w:font w:name="Tahoma">
    <w:charset w:val="00"/>
    <w:family w:val="roman"/>
    <w:pitch w:val="variable"/>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30"/>
      </w:pPr>
      <w:r>
        <w:rPr>
          <w:rStyle w:val="style18"/>
        </w:rPr>
        <w:footnoteRef/>
        <w:tab/>
      </w:r>
      <w:r>
        <w:rPr/>
        <w:t xml:space="preserve"> </w:t>
      </w:r>
      <w:r>
        <w:rPr/>
        <w:t>http://www.conjur.com.br/2012-jun-23/empresas-recuperacao-esticar-prazo-suspensao-execucoes</w:t>
      </w:r>
    </w:p>
  </w:footnote>
  <w:footnote w:id="3">
    <w:p>
      <w:pPr>
        <w:pStyle w:val="style30"/>
      </w:pPr>
      <w:r>
        <w:rPr>
          <w:rStyle w:val="style18"/>
        </w:rPr>
        <w:footnoteRef/>
        <w:tab/>
      </w:r>
      <w:r>
        <w:rPr/>
        <w:t>http://www.tjrs.jus.br/busca/?q=suspensao+execu%E7%F5es+art.+6%BA+lei+de+falencias&amp;tb=jurisnova&amp;pesq=ementario&amp;partialfields=tribunal%3ATribunal%2520de%2520Justi%25C3%25A7a%2520do%2520RS.%28TipoDecisao%3Aac%25C3%25B3rd%25C3%25A3o%7CTipoDecisao%3Amonocr%25C3%25A1tica%7CTipoDecisao%3Anull%29&amp;requiredfields=&amp;as_q=</w:t>
      </w:r>
    </w:p>
  </w:footnote>
  <w:footnote w:id="4">
    <w:p>
      <w:pPr>
        <w:pStyle w:val="style30"/>
      </w:pPr>
      <w:r>
        <w:rPr>
          <w:rStyle w:val="style18"/>
        </w:rPr>
        <w:footnoteRef/>
        <w:tab/>
      </w:r>
      <w:r>
        <w:rPr/>
        <w:t>http://www.tjrs.jus.br/busca/?q=FAL%CANCIA.+RECUPERA%C7%C3O+JUDICIAL.+SUSPENS%C3O+DO+PRAZO+DE+180+DIAS+DAS+A%C7%D5ES+E+EXECU%C7%D5ES.+PRORROGA%C7%C3O.+POSSIBILIDADE.+&amp;tb=jurisnova&amp;pesq=ementario&amp;partialfields=tribunal%3ATribunal%2520de%2520Justi%25C3%25A7a%2520do%2520RS.%28TipoDecisao%3Aac%25C3%25B3rd%25C3%25A3o%7CTipoDecisao%3Amonocr%25C3%25A1tica%7CTipoDecisao%3Anull%29&amp;requiredfields=&amp;as_q=</w:t>
      </w:r>
    </w:p>
  </w:footnote>
  <w:footnote w:id="5">
    <w:p>
      <w:pPr>
        <w:pStyle w:val="style30"/>
      </w:pPr>
      <w:r>
        <w:rPr>
          <w:rStyle w:val="style18"/>
        </w:rPr>
        <w:footnoteRef/>
        <w:tab/>
      </w:r>
      <w:r>
        <w:rPr/>
        <w:t>http://app.tjsc.jus.br/jurisprudencia/busca.do#resultado_ancora</w:t>
      </w:r>
    </w:p>
  </w:footnote>
  <w:footnote w:id="6">
    <w:p>
      <w:pPr>
        <w:pStyle w:val="style30"/>
      </w:pPr>
      <w:r>
        <w:rPr>
          <w:rStyle w:val="style18"/>
        </w:rPr>
        <w:footnoteRef/>
        <w:tab/>
      </w:r>
      <w:r>
        <w:rPr/>
        <w:t>http://esaj.tjsp.jus.br/cjsg/getArquivo.do?cdAcordao=7062249&amp;vlCaptcha=JpEWw</w:t>
      </w:r>
    </w:p>
  </w:footnote>
  <w:footnote w:id="7">
    <w:p>
      <w:pPr>
        <w:pStyle w:val="style30"/>
      </w:pPr>
      <w:r>
        <w:rPr>
          <w:rStyle w:val="style18"/>
        </w:rPr>
        <w:footnoteRef/>
        <w:tab/>
      </w:r>
      <w:hyperlink r:id="rId1">
        <w:r>
          <w:rPr>
            <w:rStyle w:val="style19"/>
          </w:rPr>
          <w:t>http://atualidadesdodireito.com.br/jeancarlosfernandes/2013/10/11/a-responsabilidade-do-avalista-na-recuperacao-judicial-da-empresa/</w:t>
        </w:r>
      </w:hyperlink>
    </w:p>
  </w:footnote>
  <w:footnote w:id="8">
    <w:p>
      <w:pPr>
        <w:pStyle w:val="style30"/>
      </w:pPr>
      <w:r>
        <w:rPr>
          <w:rStyle w:val="style18"/>
        </w:rPr>
        <w:footnoteRef/>
        <w:tab/>
      </w:r>
      <w:r>
        <w:rPr/>
        <w:t>http://www.stj.gov.br/portal_stj/publicacao/engine.wsp?tmp.area=398&amp;tmp.texto=108229</w:t>
      </w:r>
    </w:p>
  </w:footnote>
  <w:footnote w:id="9">
    <w:p>
      <w:pPr>
        <w:pStyle w:val="style30"/>
      </w:pPr>
      <w:r>
        <w:rPr>
          <w:rStyle w:val="style18"/>
        </w:rPr>
        <w:footnoteRef/>
        <w:tab/>
      </w:r>
      <w:hyperlink r:id="rId2">
        <w:r>
          <w:rPr>
            <w:rStyle w:val="style19"/>
          </w:rPr>
          <w:t>http://atualidadesdodireito.com.br/jeancarlosfernandes/2013/10/11/a-responsabilidade-do-avalista-na-recuperacao-judicial-da-empresa/</w:t>
        </w:r>
      </w:hyperlink>
    </w:p>
  </w:footnote>
  <w:footnote w:id="10">
    <w:p>
      <w:pPr>
        <w:pStyle w:val="style30"/>
      </w:pPr>
      <w:r>
        <w:rPr>
          <w:rStyle w:val="style18"/>
        </w:rPr>
        <w:footnoteRef/>
        <w:tab/>
      </w:r>
      <w:r>
        <w:rPr/>
        <w:t>http://www.migalhas.com.br/mobile/mig_materia.aspx?cod=78464</w:t>
      </w:r>
    </w:p>
  </w:footnote>
  <w:footnote w:id="11">
    <w:p>
      <w:pPr>
        <w:pStyle w:val="style30"/>
      </w:pPr>
      <w:r>
        <w:rPr>
          <w:rStyle w:val="style18"/>
        </w:rPr>
        <w:footnoteRef/>
        <w:tab/>
      </w:r>
      <w:r>
        <w:rPr/>
        <w:t>http://oab-rj.jusbrasil.com.br/noticias/127424/tjs-mantem-cobranca-de-socios-durante-recuperacao-judicial</w:t>
      </w:r>
    </w:p>
  </w:footnote>
</w:footnotes>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style w:styleId="style0" w:type="paragraph">
    <w:name w:val="Estilo padrão"/>
    <w:next w:val="style0"/>
    <w:pPr>
      <w:widowControl/>
      <w:suppressAutoHyphens w:val="true"/>
      <w:spacing w:after="0" w:before="0" w:line="100" w:lineRule="atLeast"/>
      <w:contextualSpacing w:val="false"/>
    </w:pPr>
    <w:rPr>
      <w:rFonts w:ascii="Times New Roman" w:cs="Times New Roman" w:eastAsia="Times New Roman" w:hAnsi="Times New Roman"/>
      <w:color w:val="auto"/>
      <w:sz w:val="24"/>
      <w:szCs w:val="24"/>
      <w:lang w:bidi="ar-SA" w:eastAsia="pt-BR" w:val="pt-BR"/>
    </w:rPr>
  </w:style>
  <w:style w:styleId="style15" w:type="character">
    <w:name w:val="Default Paragraph Font"/>
    <w:next w:val="style15"/>
    <w:rPr/>
  </w:style>
  <w:style w:styleId="style16" w:type="character">
    <w:name w:val="Texto de nota de rodapé Char"/>
    <w:basedOn w:val="style15"/>
    <w:next w:val="style16"/>
    <w:rPr/>
  </w:style>
  <w:style w:styleId="style17" w:type="character">
    <w:name w:val="Texto de nota de rodapé Char1"/>
    <w:basedOn w:val="style15"/>
    <w:next w:val="style17"/>
    <w:rPr>
      <w:rFonts w:ascii="Times New Roman" w:cs="Times New Roman" w:eastAsia="Times New Roman" w:hAnsi="Times New Roman"/>
      <w:sz w:val="20"/>
      <w:szCs w:val="20"/>
      <w:lang w:eastAsia="pt-BR"/>
    </w:rPr>
  </w:style>
  <w:style w:styleId="style18" w:type="character">
    <w:name w:val="footnote reference"/>
    <w:next w:val="style18"/>
    <w:rPr>
      <w:vertAlign w:val="superscript"/>
    </w:rPr>
  </w:style>
  <w:style w:styleId="style19" w:type="character">
    <w:name w:val="Link da Internet"/>
    <w:basedOn w:val="style15"/>
    <w:next w:val="style19"/>
    <w:rPr>
      <w:color w:val="0000FF"/>
      <w:u w:val="single"/>
      <w:lang w:bidi="zxx-" w:eastAsia="zxx-" w:val="zxx-"/>
    </w:rPr>
  </w:style>
  <w:style w:styleId="style20" w:type="character">
    <w:name w:val="Ênfase forte"/>
    <w:basedOn w:val="style15"/>
    <w:next w:val="style20"/>
    <w:rPr>
      <w:b/>
      <w:bCs/>
    </w:rPr>
  </w:style>
  <w:style w:styleId="style21" w:type="character">
    <w:name w:val="Caracteres de nota de rodapé"/>
    <w:next w:val="style21"/>
    <w:rPr/>
  </w:style>
  <w:style w:styleId="style22" w:type="character">
    <w:name w:val="Âncora da nota de rodapé"/>
    <w:next w:val="style22"/>
    <w:rPr>
      <w:vertAlign w:val="superscript"/>
    </w:rPr>
  </w:style>
  <w:style w:styleId="style23" w:type="character">
    <w:name w:val="Âncora da nota de fim"/>
    <w:next w:val="style23"/>
    <w:rPr>
      <w:vertAlign w:val="superscript"/>
    </w:rPr>
  </w:style>
  <w:style w:styleId="style24" w:type="character">
    <w:name w:val="Caracteres de nota de fim"/>
    <w:next w:val="style24"/>
    <w:rPr/>
  </w:style>
  <w:style w:styleId="style25" w:type="paragraph">
    <w:name w:val="Título"/>
    <w:basedOn w:val="style0"/>
    <w:next w:val="style26"/>
    <w:pPr>
      <w:keepNext/>
      <w:spacing w:after="120" w:before="240"/>
      <w:contextualSpacing w:val="false"/>
    </w:pPr>
    <w:rPr>
      <w:rFonts w:ascii="Arial" w:cs="Mangal" w:eastAsia="Arial Unicode MS" w:hAnsi="Arial"/>
      <w:sz w:val="28"/>
      <w:szCs w:val="28"/>
    </w:rPr>
  </w:style>
  <w:style w:styleId="style26" w:type="paragraph">
    <w:name w:val="Corpo do texto"/>
    <w:basedOn w:val="style0"/>
    <w:next w:val="style26"/>
    <w:pPr>
      <w:spacing w:after="120" w:before="0"/>
      <w:contextualSpacing w:val="false"/>
    </w:pPr>
    <w:rPr/>
  </w:style>
  <w:style w:styleId="style27" w:type="paragraph">
    <w:name w:val="Lista"/>
    <w:basedOn w:val="style26"/>
    <w:next w:val="style27"/>
    <w:pPr/>
    <w:rPr>
      <w:rFonts w:cs="Mangal"/>
    </w:rPr>
  </w:style>
  <w:style w:styleId="style28" w:type="paragraph">
    <w:name w:val="Legenda"/>
    <w:basedOn w:val="style0"/>
    <w:next w:val="style28"/>
    <w:pPr>
      <w:suppressLineNumbers/>
      <w:spacing w:after="120" w:before="120"/>
      <w:contextualSpacing w:val="false"/>
    </w:pPr>
    <w:rPr>
      <w:rFonts w:cs="Mangal"/>
      <w:i/>
      <w:iCs/>
      <w:sz w:val="24"/>
      <w:szCs w:val="24"/>
    </w:rPr>
  </w:style>
  <w:style w:styleId="style29" w:type="paragraph">
    <w:name w:val="Índice"/>
    <w:basedOn w:val="style0"/>
    <w:next w:val="style29"/>
    <w:pPr>
      <w:suppressLineNumbers/>
    </w:pPr>
    <w:rPr>
      <w:rFonts w:cs="Mangal"/>
    </w:rPr>
  </w:style>
  <w:style w:styleId="style30" w:type="paragraph">
    <w:name w:val="footnote text"/>
    <w:basedOn w:val="style0"/>
    <w:next w:val="style30"/>
    <w:pPr/>
    <w:rPr>
      <w:rFonts w:ascii="Calibri" w:cs="Calibri" w:hAnsi="Calibri"/>
      <w:sz w:val="22"/>
      <w:szCs w:val="22"/>
      <w:lang w:eastAsia="en-US"/>
    </w:rPr>
  </w:style>
  <w:style w:styleId="style31" w:type="paragraph">
    <w:name w:val="Normal (Web)"/>
    <w:basedOn w:val="style0"/>
    <w:next w:val="style31"/>
    <w:pPr>
      <w:spacing w:after="28" w:before="28" w:line="270" w:lineRule="atLeast"/>
      <w:contextualSpacing w:val="false"/>
    </w:pPr>
    <w:rPr>
      <w:sz w:val="18"/>
      <w:szCs w:val="18"/>
    </w:rPr>
  </w:style>
  <w:style w:styleId="style32" w:type="paragraph">
    <w:name w:val="Conteúdo do quadro"/>
    <w:basedOn w:val="style26"/>
    <w:next w:val="style32"/>
    <w:pPr/>
    <w:rPr/>
  </w:style>
  <w:style w:styleId="style33" w:type="paragraph">
    <w:name w:val="Nota de rodapé"/>
    <w:basedOn w:val="style0"/>
    <w:next w:val="style3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pp.tjsc.jus.br/jurisprudencia/busca.do" TargetMode="External"/><Relationship Id="rId3" Type="http://schemas.openxmlformats.org/officeDocument/2006/relationships/hyperlink" Target="http://app.tjsc.jus.br/jurisprudencia/busca.do" TargetMode="External"/><Relationship Id="rId4" Type="http://schemas.openxmlformats.org/officeDocument/2006/relationships/hyperlink" Target="http://www4.tjrj.jus.br/ejud/ConsultaProcesso.aspx?N=201300133024" TargetMode="Externa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atualidadesdodireito.com.br/jeancarlosfernandes/2013/10/11/a-responsabilidade-do-avalista-na-recuperacao-judicial-da-empresa/" TargetMode="External"/><Relationship Id="rId2" Type="http://schemas.openxmlformats.org/officeDocument/2006/relationships/hyperlink" Target="http://atualidadesdodireito.com.br/jeancarlosfernandes/2013/10/11/a-responsabilidade-do-avalista-na-recuperacao-judicial-da-empresa/" TargetMode="External"/>
</Relationships>
</file>

<file path=docProps/app.xml><?xml version="1.0" encoding="utf-8"?>
<Properties xmlns="http://schemas.openxmlformats.org/officeDocument/2006/extended-properties" xmlns:vt="http://schemas.openxmlformats.org/officeDocument/2006/docPropsVTypes">
  <Template>Normal</Template>
  <TotalTime>20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2013-10-25T11:52:00.00Z</dcterms:created>
  <dc:creator>Lilian Flach</dc:creator>
  <cp:lastModifiedBy>Lilian Flach</cp:lastModifiedBy>
  <dcterms:modified xsi:type="dcterms:W3CDTF">2013-10-25T20:28:00.00Z</dcterms:modified>
  <cp:revision>6</cp:revision>
</cp:coreProperties>
</file>