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A5" w:rsidRDefault="004249A5" w:rsidP="0042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9A5">
        <w:rPr>
          <w:rFonts w:ascii="Times New Roman" w:hAnsi="Times New Roman" w:cs="Times New Roman"/>
          <w:b/>
          <w:sz w:val="24"/>
          <w:szCs w:val="24"/>
        </w:rPr>
        <w:t>LIMITAÇÕES AO PODER DE TRIBUTAR:</w:t>
      </w:r>
      <w:r w:rsidR="00663C7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munidade </w:t>
      </w:r>
      <w:r w:rsidR="00D10A52">
        <w:rPr>
          <w:rFonts w:ascii="Times New Roman" w:hAnsi="Times New Roman" w:cs="Times New Roman"/>
          <w:sz w:val="24"/>
          <w:szCs w:val="24"/>
        </w:rPr>
        <w:t xml:space="preserve">geral e </w:t>
      </w:r>
      <w:r>
        <w:rPr>
          <w:rFonts w:ascii="Times New Roman" w:hAnsi="Times New Roman" w:cs="Times New Roman"/>
          <w:sz w:val="24"/>
          <w:szCs w:val="24"/>
        </w:rPr>
        <w:t>recíproca</w:t>
      </w:r>
      <w:r w:rsidR="00764C9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4249A5" w:rsidRDefault="004249A5" w:rsidP="0042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9A5" w:rsidRDefault="004249A5" w:rsidP="00424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49A5" w:rsidRDefault="004249A5" w:rsidP="00424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Bárbara R. Revil Torres Ferreira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proofErr w:type="gramEnd"/>
    </w:p>
    <w:p w:rsidR="004249A5" w:rsidRPr="00500502" w:rsidRDefault="004249A5" w:rsidP="00424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Camila Andréia Nunes Pacífico de Paula</w:t>
      </w:r>
    </w:p>
    <w:p w:rsidR="004249A5" w:rsidRDefault="004249A5" w:rsidP="0081164B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764C9B" w:rsidRDefault="00764C9B" w:rsidP="0081164B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4249A5" w:rsidRPr="00764C9B" w:rsidRDefault="00D53830" w:rsidP="00764C9B">
      <w:pPr>
        <w:pStyle w:val="NormalWeb"/>
        <w:spacing w:before="0" w:beforeAutospacing="0" w:after="0" w:afterAutospacing="0"/>
        <w:ind w:left="2268"/>
        <w:jc w:val="both"/>
      </w:pPr>
      <w:r w:rsidRPr="00D53830">
        <w:rPr>
          <w:b/>
        </w:rPr>
        <w:t>Sumário</w:t>
      </w:r>
      <w:r w:rsidR="00764C9B">
        <w:rPr>
          <w:b/>
        </w:rPr>
        <w:t xml:space="preserve">: </w:t>
      </w:r>
      <w:r w:rsidR="00764C9B">
        <w:t xml:space="preserve">Introdução; </w:t>
      </w:r>
      <w:proofErr w:type="gramStart"/>
      <w:r w:rsidR="00764C9B">
        <w:t>1</w:t>
      </w:r>
      <w:proofErr w:type="gramEnd"/>
      <w:r w:rsidR="00764C9B">
        <w:t xml:space="preserve"> Limitações ao poder de tributar; 2 Imunidade </w:t>
      </w:r>
      <w:r w:rsidR="00D10A52">
        <w:t>geral 3 Imunidade recíproca; 4</w:t>
      </w:r>
      <w:r w:rsidR="00764C9B">
        <w:t xml:space="preserve"> Análise jurisprudencial no Estado do Maranhão 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</w:p>
    <w:p w:rsidR="00764C9B" w:rsidRPr="00D53830" w:rsidRDefault="00764C9B" w:rsidP="00D53830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</w:p>
    <w:p w:rsidR="00D53830" w:rsidRPr="00D53830" w:rsidRDefault="00D53830" w:rsidP="00D5383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D53830">
        <w:rPr>
          <w:b/>
        </w:rPr>
        <w:t>RESUMO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jc w:val="both"/>
      </w:pPr>
      <w:r>
        <w:t>O presente trabalho tem como finalidade explicitar as imunidades tributárias gerais, que são aquela</w:t>
      </w:r>
      <w:r w:rsidR="00F907EF">
        <w:t>s contidas no art. 150, inc. VI</w:t>
      </w:r>
      <w:r>
        <w:t>, com ênfase na imunidade recíproca (alínea a). As demais imunidades previstas no texto constitucional não serão objeto do presente trabalho. Será discorrido sobre a imunidade da alínea a (imunidade recíproca), de “patrimônio, renda ou serviço, uns dos outros”</w:t>
      </w:r>
      <w:r w:rsidR="00F907EF">
        <w:t xml:space="preserve"> no que tange aos impostos indiretos</w:t>
      </w:r>
      <w:r>
        <w:t>. Finalmente, será feita uma análise juri</w:t>
      </w:r>
      <w:r w:rsidR="00F907EF">
        <w:t xml:space="preserve">sprudencial de como o Tribunal Maranhense </w:t>
      </w:r>
      <w:r>
        <w:t xml:space="preserve">tem aplicado a presente imunidade. 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jc w:val="both"/>
      </w:pPr>
    </w:p>
    <w:p w:rsidR="00764C9B" w:rsidRDefault="00764C9B" w:rsidP="00764C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764C9B" w:rsidRPr="001079D1" w:rsidRDefault="00764C9B" w:rsidP="00764C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Limitações ao poder de tributar</w:t>
      </w:r>
      <w:r w:rsidRPr="00383C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Imunidade Recíproca. Impostos indiretos. Privilégio Tributário. 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jc w:val="both"/>
      </w:pPr>
    </w:p>
    <w:p w:rsidR="00D53830" w:rsidRPr="00F907EF" w:rsidRDefault="00D53830" w:rsidP="00D5383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907EF">
        <w:rPr>
          <w:b/>
        </w:rPr>
        <w:t>INTRODUÇÃO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jc w:val="both"/>
      </w:pPr>
    </w:p>
    <w:p w:rsidR="002F7AFE" w:rsidRPr="002F7AFE" w:rsidRDefault="00DA40CD" w:rsidP="002F7AF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AFE">
        <w:rPr>
          <w:rFonts w:ascii="Times New Roman" w:hAnsi="Times New Roman" w:cs="Times New Roman"/>
          <w:sz w:val="24"/>
          <w:szCs w:val="24"/>
        </w:rPr>
        <w:t>De primeiro, é preciso dizer que o Estado, enquanto órgão soberano</w:t>
      </w:r>
      <w:proofErr w:type="gramStart"/>
      <w:r w:rsidRPr="002F7AFE">
        <w:rPr>
          <w:rFonts w:ascii="Times New Roman" w:hAnsi="Times New Roman" w:cs="Times New Roman"/>
          <w:sz w:val="24"/>
          <w:szCs w:val="24"/>
        </w:rPr>
        <w:t>, possui</w:t>
      </w:r>
      <w:proofErr w:type="gramEnd"/>
      <w:r w:rsidRPr="002F7AFE">
        <w:rPr>
          <w:rFonts w:ascii="Times New Roman" w:hAnsi="Times New Roman" w:cs="Times New Roman"/>
          <w:sz w:val="24"/>
          <w:szCs w:val="24"/>
        </w:rPr>
        <w:t xml:space="preserve"> o poder de exigir tributos aos cidadãos. </w:t>
      </w:r>
      <w:r w:rsidR="001E6959" w:rsidRPr="002F7AFE">
        <w:rPr>
          <w:rFonts w:ascii="Times New Roman" w:hAnsi="Times New Roman" w:cs="Times New Roman"/>
          <w:sz w:val="24"/>
          <w:szCs w:val="24"/>
        </w:rPr>
        <w:t>Isso por que tal órgão para desenvolver de maneira efetiv</w:t>
      </w:r>
      <w:r w:rsidR="0076530E" w:rsidRPr="002F7AFE">
        <w:rPr>
          <w:rFonts w:ascii="Times New Roman" w:hAnsi="Times New Roman" w:cs="Times New Roman"/>
          <w:sz w:val="24"/>
          <w:szCs w:val="24"/>
        </w:rPr>
        <w:t>a</w:t>
      </w:r>
      <w:r w:rsidR="001E6959" w:rsidRPr="002F7AFE">
        <w:rPr>
          <w:rFonts w:ascii="Times New Roman" w:hAnsi="Times New Roman" w:cs="Times New Roman"/>
          <w:sz w:val="24"/>
          <w:szCs w:val="24"/>
        </w:rPr>
        <w:t xml:space="preserve"> suas incumbências carece de recursos</w:t>
      </w:r>
      <w:r w:rsidR="0076530E" w:rsidRPr="002F7AFE">
        <w:rPr>
          <w:rFonts w:ascii="Times New Roman" w:hAnsi="Times New Roman" w:cs="Times New Roman"/>
          <w:sz w:val="24"/>
          <w:szCs w:val="24"/>
        </w:rPr>
        <w:t>, buscada através tanto de atividades de natureza tributária quanto econômica</w:t>
      </w:r>
      <w:r w:rsidR="001E6959" w:rsidRPr="002F7AFE">
        <w:rPr>
          <w:rFonts w:ascii="Times New Roman" w:hAnsi="Times New Roman" w:cs="Times New Roman"/>
          <w:sz w:val="24"/>
          <w:szCs w:val="24"/>
        </w:rPr>
        <w:t>.</w:t>
      </w:r>
      <w:r w:rsidR="0076530E" w:rsidRPr="002F7AFE">
        <w:rPr>
          <w:rFonts w:ascii="Times New Roman" w:hAnsi="Times New Roman" w:cs="Times New Roman"/>
          <w:sz w:val="24"/>
          <w:szCs w:val="24"/>
        </w:rPr>
        <w:t xml:space="preserve"> No entanto, o artigo 173 da carta pátria abrevia o envolvimento do Estado Brasileiro em atividades econômicas, </w:t>
      </w:r>
      <w:r w:rsidR="0076530E" w:rsidRPr="002F7AFE">
        <w:rPr>
          <w:rFonts w:ascii="Times New Roman" w:hAnsi="Times New Roman" w:cs="Times New Roman"/>
          <w:sz w:val="24"/>
          <w:szCs w:val="24"/>
        </w:rPr>
        <w:lastRenderedPageBreak/>
        <w:t xml:space="preserve">restringindo esta a situações que versam sobre casos de imperativo da segurança nacional ou relevante interesse coletivo. </w:t>
      </w:r>
      <w:r w:rsidR="002F7AFE">
        <w:rPr>
          <w:rFonts w:ascii="Times New Roman" w:hAnsi="Times New Roman" w:cs="Times New Roman"/>
          <w:sz w:val="24"/>
          <w:szCs w:val="24"/>
        </w:rPr>
        <w:t>(NOGUEIRA, 2004, p. 11 e 12)</w:t>
      </w:r>
    </w:p>
    <w:p w:rsidR="0076530E" w:rsidRPr="002F7AFE" w:rsidRDefault="0076530E" w:rsidP="002F7AF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7AFE">
        <w:rPr>
          <w:rFonts w:ascii="Times New Roman" w:hAnsi="Times New Roman" w:cs="Times New Roman"/>
          <w:sz w:val="24"/>
          <w:szCs w:val="24"/>
        </w:rPr>
        <w:t xml:space="preserve">Nesse sentido, a arrecadação pública fica subordinada a coleta de tributos. </w:t>
      </w:r>
      <w:r w:rsidR="002F7AFE" w:rsidRPr="002F7AFE">
        <w:rPr>
          <w:rFonts w:ascii="Times New Roman" w:hAnsi="Times New Roman" w:cs="Times New Roman"/>
          <w:sz w:val="24"/>
          <w:szCs w:val="24"/>
        </w:rPr>
        <w:t xml:space="preserve">Para tanto, antes era atribuído ao Estado o poder de tributar, resultante da soberania nacional. No entanto, atualmente, a relação tributária se expande ao meio jurídico, em que o Estado pode se valer do direito de exigir tributos de seu povo, porém deve se sujeitar a limites normativamente impostos.  </w:t>
      </w:r>
      <w:r w:rsidRPr="002F7AFE">
        <w:rPr>
          <w:rFonts w:ascii="Times New Roman" w:hAnsi="Times New Roman" w:cs="Times New Roman"/>
          <w:sz w:val="24"/>
          <w:szCs w:val="24"/>
        </w:rPr>
        <w:t>(NOGUEIRA, 2004, p. 11</w:t>
      </w:r>
      <w:r w:rsidR="002F7AFE" w:rsidRPr="002F7AFE">
        <w:rPr>
          <w:rFonts w:ascii="Times New Roman" w:hAnsi="Times New Roman" w:cs="Times New Roman"/>
          <w:sz w:val="24"/>
          <w:szCs w:val="24"/>
        </w:rPr>
        <w:t xml:space="preserve"> e 12</w:t>
      </w:r>
      <w:r w:rsidRPr="002F7AFE">
        <w:rPr>
          <w:rFonts w:ascii="Times New Roman" w:hAnsi="Times New Roman" w:cs="Times New Roman"/>
          <w:sz w:val="24"/>
          <w:szCs w:val="24"/>
        </w:rPr>
        <w:t>)</w:t>
      </w:r>
    </w:p>
    <w:p w:rsidR="00D10A52" w:rsidRDefault="002F7AFE" w:rsidP="00574A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caminho, tal relação</w:t>
      </w:r>
      <w:r w:rsidR="0076530E">
        <w:rPr>
          <w:rFonts w:ascii="Times New Roman" w:hAnsi="Times New Roman" w:cs="Times New Roman"/>
          <w:sz w:val="24"/>
          <w:szCs w:val="24"/>
        </w:rPr>
        <w:t xml:space="preserve"> deve ser </w:t>
      </w:r>
      <w:r w:rsidR="00574A57" w:rsidRPr="0050769B">
        <w:rPr>
          <w:rFonts w:ascii="Times New Roman" w:hAnsi="Times New Roman" w:cs="Times New Roman"/>
          <w:sz w:val="24"/>
          <w:szCs w:val="24"/>
        </w:rPr>
        <w:t xml:space="preserve">vista de forma bilateral, </w:t>
      </w:r>
      <w:r>
        <w:rPr>
          <w:rFonts w:ascii="Times New Roman" w:hAnsi="Times New Roman" w:cs="Times New Roman"/>
          <w:sz w:val="24"/>
          <w:szCs w:val="24"/>
        </w:rPr>
        <w:t>pois a</w:t>
      </w:r>
      <w:r w:rsidR="00DA40CD" w:rsidRPr="0050769B">
        <w:rPr>
          <w:rFonts w:ascii="Times New Roman" w:hAnsi="Times New Roman" w:cs="Times New Roman"/>
          <w:sz w:val="24"/>
          <w:szCs w:val="24"/>
        </w:rPr>
        <w:t xml:space="preserve">ssim está </w:t>
      </w:r>
      <w:proofErr w:type="gramStart"/>
      <w:r w:rsidR="00DA40CD" w:rsidRPr="0050769B">
        <w:rPr>
          <w:rFonts w:ascii="Times New Roman" w:hAnsi="Times New Roman" w:cs="Times New Roman"/>
          <w:sz w:val="24"/>
          <w:szCs w:val="24"/>
        </w:rPr>
        <w:t>posicionado na</w:t>
      </w:r>
      <w:r w:rsidR="004F3BE0" w:rsidRPr="0050769B">
        <w:rPr>
          <w:rFonts w:ascii="Times New Roman" w:hAnsi="Times New Roman" w:cs="Times New Roman"/>
          <w:sz w:val="24"/>
          <w:szCs w:val="24"/>
        </w:rPr>
        <w:t xml:space="preserve"> C</w:t>
      </w:r>
      <w:r w:rsidR="00DA40CD" w:rsidRPr="0050769B">
        <w:rPr>
          <w:rFonts w:ascii="Times New Roman" w:hAnsi="Times New Roman" w:cs="Times New Roman"/>
          <w:sz w:val="24"/>
          <w:szCs w:val="24"/>
        </w:rPr>
        <w:t xml:space="preserve">arta Magna, que </w:t>
      </w:r>
      <w:r w:rsidR="00574A57" w:rsidRPr="0050769B">
        <w:rPr>
          <w:rFonts w:ascii="Times New Roman" w:hAnsi="Times New Roman" w:cs="Times New Roman"/>
          <w:sz w:val="24"/>
          <w:szCs w:val="24"/>
        </w:rPr>
        <w:t>concede</w:t>
      </w:r>
      <w:r w:rsidR="004F3BE0" w:rsidRPr="0050769B">
        <w:rPr>
          <w:rFonts w:ascii="Times New Roman" w:hAnsi="Times New Roman" w:cs="Times New Roman"/>
          <w:sz w:val="24"/>
          <w:szCs w:val="24"/>
        </w:rPr>
        <w:t xml:space="preserve"> </w:t>
      </w:r>
      <w:r w:rsidR="00574A57" w:rsidRPr="0050769B">
        <w:rPr>
          <w:rFonts w:ascii="Times New Roman" w:hAnsi="Times New Roman" w:cs="Times New Roman"/>
          <w:sz w:val="24"/>
          <w:szCs w:val="24"/>
        </w:rPr>
        <w:t>autoridade</w:t>
      </w:r>
      <w:proofErr w:type="gramEnd"/>
      <w:r w:rsidR="004F3BE0" w:rsidRPr="0050769B">
        <w:rPr>
          <w:rFonts w:ascii="Times New Roman" w:hAnsi="Times New Roman" w:cs="Times New Roman"/>
          <w:sz w:val="24"/>
          <w:szCs w:val="24"/>
        </w:rPr>
        <w:t xml:space="preserve"> aos entes federativos </w:t>
      </w:r>
      <w:r w:rsidR="00574A57" w:rsidRPr="0050769B">
        <w:rPr>
          <w:rFonts w:ascii="Times New Roman" w:hAnsi="Times New Roman" w:cs="Times New Roman"/>
          <w:sz w:val="24"/>
          <w:szCs w:val="24"/>
        </w:rPr>
        <w:t>-</w:t>
      </w:r>
      <w:r w:rsidR="004F3BE0" w:rsidRPr="0050769B">
        <w:rPr>
          <w:rFonts w:ascii="Times New Roman" w:hAnsi="Times New Roman" w:cs="Times New Roman"/>
          <w:sz w:val="24"/>
          <w:szCs w:val="24"/>
        </w:rPr>
        <w:t>União,</w:t>
      </w:r>
      <w:r w:rsidR="00574A57" w:rsidRPr="0050769B">
        <w:rPr>
          <w:rFonts w:ascii="Times New Roman" w:hAnsi="Times New Roman" w:cs="Times New Roman"/>
          <w:sz w:val="24"/>
          <w:szCs w:val="24"/>
        </w:rPr>
        <w:t xml:space="preserve"> </w:t>
      </w:r>
      <w:r w:rsidR="004F3BE0" w:rsidRPr="0050769B">
        <w:rPr>
          <w:rFonts w:ascii="Times New Roman" w:hAnsi="Times New Roman" w:cs="Times New Roman"/>
          <w:sz w:val="24"/>
          <w:szCs w:val="24"/>
        </w:rPr>
        <w:t>Estados, Distrito Federal e Municípios</w:t>
      </w:r>
      <w:r w:rsidR="00574A57" w:rsidRPr="0050769B">
        <w:rPr>
          <w:rFonts w:ascii="Times New Roman" w:hAnsi="Times New Roman" w:cs="Times New Roman"/>
          <w:sz w:val="24"/>
          <w:szCs w:val="24"/>
        </w:rPr>
        <w:t>- incumbindo os mesmos de competências tributárias</w:t>
      </w:r>
      <w:r w:rsidR="004F3BE0" w:rsidRPr="0050769B">
        <w:rPr>
          <w:rFonts w:ascii="Times New Roman" w:hAnsi="Times New Roman" w:cs="Times New Roman"/>
          <w:sz w:val="24"/>
          <w:szCs w:val="24"/>
        </w:rPr>
        <w:t>,</w:t>
      </w:r>
      <w:r w:rsidR="00D1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seguido de</w:t>
      </w:r>
      <w:r w:rsidR="00D10A52">
        <w:rPr>
          <w:rFonts w:ascii="Times New Roman" w:hAnsi="Times New Roman" w:cs="Times New Roman"/>
          <w:sz w:val="24"/>
          <w:szCs w:val="24"/>
        </w:rPr>
        <w:t xml:space="preserve"> restrições a</w:t>
      </w:r>
      <w:r>
        <w:rPr>
          <w:rFonts w:ascii="Times New Roman" w:hAnsi="Times New Roman" w:cs="Times New Roman"/>
          <w:sz w:val="24"/>
          <w:szCs w:val="24"/>
        </w:rPr>
        <w:t xml:space="preserve"> figura d</w:t>
      </w:r>
      <w:r w:rsidR="00D10A52">
        <w:rPr>
          <w:rFonts w:ascii="Times New Roman" w:hAnsi="Times New Roman" w:cs="Times New Roman"/>
          <w:sz w:val="24"/>
          <w:szCs w:val="24"/>
        </w:rPr>
        <w:t>o legislador infraconstitucional</w:t>
      </w:r>
      <w:r w:rsidR="001E6959">
        <w:rPr>
          <w:rFonts w:ascii="Times New Roman" w:hAnsi="Times New Roman" w:cs="Times New Roman"/>
          <w:sz w:val="24"/>
          <w:szCs w:val="24"/>
        </w:rPr>
        <w:t>, quais sejam as imunidades tributárias.</w:t>
      </w:r>
    </w:p>
    <w:p w:rsidR="00574A57" w:rsidRPr="0050769B" w:rsidRDefault="00DA40CD" w:rsidP="00574A5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69B">
        <w:rPr>
          <w:rFonts w:ascii="Times New Roman" w:hAnsi="Times New Roman" w:cs="Times New Roman"/>
          <w:sz w:val="24"/>
          <w:szCs w:val="24"/>
        </w:rPr>
        <w:t>Nesse lócus,</w:t>
      </w:r>
      <w:r w:rsidR="00574A57" w:rsidRPr="0050769B">
        <w:rPr>
          <w:rFonts w:ascii="Times New Roman" w:hAnsi="Times New Roman" w:cs="Times New Roman"/>
          <w:sz w:val="24"/>
          <w:szCs w:val="24"/>
        </w:rPr>
        <w:t xml:space="preserve"> define </w:t>
      </w:r>
      <w:r w:rsidR="00574A57" w:rsidRPr="0050769B">
        <w:rPr>
          <w:rFonts w:ascii="Times New Roman" w:hAnsi="Times New Roman" w:cs="Times New Roman"/>
          <w:color w:val="FF0000"/>
          <w:sz w:val="24"/>
          <w:szCs w:val="24"/>
        </w:rPr>
        <w:t>Edgard Neves da Silva (2010, p. 300)</w:t>
      </w:r>
      <w:r w:rsidR="00574A57" w:rsidRPr="0050769B">
        <w:rPr>
          <w:rFonts w:ascii="Times New Roman" w:hAnsi="Times New Roman" w:cs="Times New Roman"/>
          <w:sz w:val="24"/>
          <w:szCs w:val="24"/>
        </w:rPr>
        <w:t xml:space="preserve"> que a competência tributária “é a faculdade outorgada às pessoas jurídicas de direito público interno, pela Constituição, atendidos seus princípios e regras e dentro do campo de sua atuação, para instituir, pelo instrumento legal designado, seus tributos, o que significa, em resumo, legislar sobre o regime jurídico, regulando-o e estruturando-o”.</w:t>
      </w:r>
    </w:p>
    <w:p w:rsidR="0033394E" w:rsidRDefault="001E6959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</w:t>
      </w:r>
      <w:r w:rsidR="002F7AFE">
        <w:rPr>
          <w:rFonts w:ascii="Times New Roman" w:hAnsi="Times New Roman" w:cs="Times New Roman"/>
          <w:sz w:val="24"/>
          <w:szCs w:val="24"/>
        </w:rPr>
        <w:t>deslinde</w:t>
      </w:r>
      <w:r>
        <w:rPr>
          <w:rFonts w:ascii="Times New Roman" w:hAnsi="Times New Roman" w:cs="Times New Roman"/>
          <w:sz w:val="24"/>
          <w:szCs w:val="24"/>
        </w:rPr>
        <w:t>, impelida d</w:t>
      </w:r>
      <w:r w:rsidR="00DA40CD" w:rsidRPr="0050769B">
        <w:rPr>
          <w:rFonts w:ascii="Times New Roman" w:hAnsi="Times New Roman" w:cs="Times New Roman"/>
          <w:sz w:val="24"/>
          <w:szCs w:val="24"/>
        </w:rPr>
        <w:t xml:space="preserve">o intuito de equilibrar tal relação afim de que a mesma não se torne </w:t>
      </w:r>
      <w:r w:rsidR="00A84F66" w:rsidRPr="0050769B">
        <w:rPr>
          <w:rFonts w:ascii="Times New Roman" w:hAnsi="Times New Roman" w:cs="Times New Roman"/>
          <w:sz w:val="24"/>
          <w:szCs w:val="24"/>
        </w:rPr>
        <w:t>díspar e, por conseguinte, conter possíveis abusos tributários por parte dos entes federativos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4F66" w:rsidRPr="0050769B">
        <w:rPr>
          <w:rFonts w:ascii="Times New Roman" w:hAnsi="Times New Roman" w:cs="Times New Roman"/>
          <w:sz w:val="24"/>
          <w:szCs w:val="24"/>
        </w:rPr>
        <w:t xml:space="preserve"> a Constituição Pátria em seu artigo 150, </w:t>
      </w:r>
      <w:r w:rsidR="004F3BE0" w:rsidRPr="0050769B">
        <w:rPr>
          <w:rFonts w:ascii="Times New Roman" w:hAnsi="Times New Roman" w:cs="Times New Roman"/>
          <w:sz w:val="24"/>
          <w:szCs w:val="24"/>
        </w:rPr>
        <w:t>VI e</w:t>
      </w:r>
      <w:r w:rsidR="00A84F66" w:rsidRPr="0050769B">
        <w:rPr>
          <w:rFonts w:ascii="Times New Roman" w:hAnsi="Times New Roman" w:cs="Times New Roman"/>
          <w:sz w:val="24"/>
          <w:szCs w:val="24"/>
        </w:rPr>
        <w:t xml:space="preserve"> </w:t>
      </w:r>
      <w:r w:rsidR="004F3BE0" w:rsidRPr="0050769B">
        <w:rPr>
          <w:rFonts w:ascii="Times New Roman" w:hAnsi="Times New Roman" w:cs="Times New Roman"/>
          <w:sz w:val="24"/>
          <w:szCs w:val="24"/>
        </w:rPr>
        <w:t xml:space="preserve">alíneas, </w:t>
      </w:r>
      <w:r w:rsidR="00A84F66" w:rsidRPr="0050769B">
        <w:rPr>
          <w:rFonts w:ascii="Times New Roman" w:hAnsi="Times New Roman" w:cs="Times New Roman"/>
          <w:sz w:val="24"/>
          <w:szCs w:val="24"/>
        </w:rPr>
        <w:t xml:space="preserve">prevê </w:t>
      </w:r>
      <w:r>
        <w:rPr>
          <w:rFonts w:ascii="Times New Roman" w:hAnsi="Times New Roman" w:cs="Times New Roman"/>
          <w:sz w:val="24"/>
          <w:szCs w:val="24"/>
        </w:rPr>
        <w:t>limitações ao poder de tributar</w:t>
      </w:r>
      <w:r w:rsidR="00A84F66" w:rsidRPr="00507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94E" w:rsidRPr="0050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CFA" w:rsidRDefault="00763CFA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18C2" w:rsidRPr="007418C2" w:rsidRDefault="007418C2" w:rsidP="007418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8C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418C2">
        <w:rPr>
          <w:rFonts w:ascii="Times New Roman" w:hAnsi="Times New Roman" w:cs="Times New Roman"/>
          <w:b/>
          <w:sz w:val="24"/>
          <w:szCs w:val="24"/>
        </w:rPr>
        <w:t xml:space="preserve"> IMUNIDADE GERAL</w:t>
      </w:r>
    </w:p>
    <w:p w:rsidR="007418C2" w:rsidRDefault="007418C2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concerne a imunidades tributárias há que se falar, de início, que esta funciona como uma delimitação negativa da competência tributária. Assim, </w:t>
      </w:r>
      <w:r w:rsidR="004667E3">
        <w:rPr>
          <w:rFonts w:ascii="Times New Roman" w:hAnsi="Times New Roman" w:cs="Times New Roman"/>
          <w:sz w:val="24"/>
          <w:szCs w:val="24"/>
        </w:rPr>
        <w:t xml:space="preserve">segundo profere Eduardo </w:t>
      </w:r>
      <w:proofErr w:type="spellStart"/>
      <w:r w:rsidR="004667E3">
        <w:rPr>
          <w:rFonts w:ascii="Times New Roman" w:hAnsi="Times New Roman" w:cs="Times New Roman"/>
          <w:sz w:val="24"/>
          <w:szCs w:val="24"/>
        </w:rPr>
        <w:t>Sabbag</w:t>
      </w:r>
      <w:proofErr w:type="spellEnd"/>
      <w:r w:rsidR="004667E3">
        <w:rPr>
          <w:rFonts w:ascii="Times New Roman" w:hAnsi="Times New Roman" w:cs="Times New Roman"/>
          <w:sz w:val="24"/>
          <w:szCs w:val="24"/>
        </w:rPr>
        <w:t xml:space="preserve"> (2012, p. 284) </w:t>
      </w:r>
      <w:r>
        <w:rPr>
          <w:rFonts w:ascii="Times New Roman" w:hAnsi="Times New Roman" w:cs="Times New Roman"/>
          <w:sz w:val="24"/>
          <w:szCs w:val="24"/>
        </w:rPr>
        <w:t xml:space="preserve">a Constituição abordou em seu texto </w:t>
      </w:r>
      <w:r w:rsidR="004667E3">
        <w:rPr>
          <w:rFonts w:ascii="Times New Roman" w:hAnsi="Times New Roman" w:cs="Times New Roman"/>
          <w:sz w:val="24"/>
          <w:szCs w:val="24"/>
        </w:rPr>
        <w:t xml:space="preserve">o exercício relativo a essa competência, retirando do legislador ordinário a subjetividade de definir livremente o alcance das normas jurídicas que </w:t>
      </w:r>
      <w:proofErr w:type="gramStart"/>
      <w:r w:rsidR="004667E3">
        <w:rPr>
          <w:rFonts w:ascii="Times New Roman" w:hAnsi="Times New Roman" w:cs="Times New Roman"/>
          <w:sz w:val="24"/>
          <w:szCs w:val="24"/>
        </w:rPr>
        <w:t>criam,</w:t>
      </w:r>
      <w:proofErr w:type="gramEnd"/>
      <w:r w:rsidR="004667E3">
        <w:rPr>
          <w:rFonts w:ascii="Times New Roman" w:hAnsi="Times New Roman" w:cs="Times New Roman"/>
          <w:sz w:val="24"/>
          <w:szCs w:val="24"/>
        </w:rPr>
        <w:t xml:space="preserve"> </w:t>
      </w:r>
      <w:r w:rsidR="004667E3" w:rsidRPr="004667E3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667E3" w:rsidRPr="004667E3">
        <w:rPr>
          <w:rFonts w:ascii="Times New Roman" w:hAnsi="Times New Roman" w:cs="Times New Roman"/>
          <w:i/>
          <w:sz w:val="24"/>
          <w:szCs w:val="24"/>
        </w:rPr>
        <w:t>abstracto</w:t>
      </w:r>
      <w:proofErr w:type="spellEnd"/>
      <w:r w:rsidR="004667E3">
        <w:rPr>
          <w:rFonts w:ascii="Times New Roman" w:hAnsi="Times New Roman" w:cs="Times New Roman"/>
          <w:sz w:val="24"/>
          <w:szCs w:val="24"/>
        </w:rPr>
        <w:t>, os tributos (normas jurídicas tributárias).</w:t>
      </w:r>
    </w:p>
    <w:p w:rsidR="0033394E" w:rsidRPr="0050769B" w:rsidRDefault="0050769B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69B">
        <w:rPr>
          <w:rFonts w:ascii="Times New Roman" w:hAnsi="Times New Roman" w:cs="Times New Roman"/>
          <w:sz w:val="24"/>
          <w:szCs w:val="24"/>
        </w:rPr>
        <w:t>Nesse deslinde</w:t>
      </w:r>
      <w:r w:rsidR="0033394E" w:rsidRPr="0050769B">
        <w:rPr>
          <w:rFonts w:ascii="Times New Roman" w:hAnsi="Times New Roman" w:cs="Times New Roman"/>
          <w:sz w:val="24"/>
          <w:szCs w:val="24"/>
        </w:rPr>
        <w:t xml:space="preserve">, cumpre pontuar que as imunidades tributárias previstas na Constituição Federal advêm de princípios e garantias constitucionais voltados a limitar o poder de tributar com o objetivo de resguardar valores religiosos, éticos, políticos e sociais e, por conseguinte, colocando a salvo da tributação determinadas pessoas e </w:t>
      </w:r>
      <w:r w:rsidR="0033394E" w:rsidRPr="0050769B">
        <w:rPr>
          <w:rFonts w:ascii="Times New Roman" w:hAnsi="Times New Roman" w:cs="Times New Roman"/>
          <w:sz w:val="24"/>
          <w:szCs w:val="24"/>
        </w:rPr>
        <w:lastRenderedPageBreak/>
        <w:t>situações. Ou seja, há determinadas estruturas essenciais ao regime não serão tributadas, em observância à norma imunizadora</w:t>
      </w:r>
      <w:r w:rsidRPr="0050769B">
        <w:rPr>
          <w:rFonts w:ascii="Times New Roman" w:hAnsi="Times New Roman" w:cs="Times New Roman"/>
          <w:sz w:val="24"/>
          <w:szCs w:val="24"/>
        </w:rPr>
        <w:t xml:space="preserve"> (</w:t>
      </w:r>
      <w:r w:rsidRPr="0050769B">
        <w:rPr>
          <w:rFonts w:ascii="Times New Roman" w:hAnsi="Times New Roman" w:cs="Times New Roman"/>
          <w:color w:val="FF0000"/>
          <w:sz w:val="24"/>
          <w:szCs w:val="24"/>
        </w:rPr>
        <w:t>SABAGG, 2012</w:t>
      </w:r>
      <w:r w:rsidRPr="0050769B">
        <w:rPr>
          <w:rFonts w:ascii="Times New Roman" w:hAnsi="Times New Roman" w:cs="Times New Roman"/>
          <w:sz w:val="24"/>
          <w:szCs w:val="24"/>
        </w:rPr>
        <w:t>).</w:t>
      </w:r>
    </w:p>
    <w:p w:rsidR="00575A3B" w:rsidRDefault="0033394E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69B">
        <w:rPr>
          <w:rFonts w:ascii="Times New Roman" w:hAnsi="Times New Roman" w:cs="Times New Roman"/>
          <w:sz w:val="24"/>
          <w:szCs w:val="24"/>
        </w:rPr>
        <w:t>Com relação ao conceito de imunidade, Amílcar de Araújo Falcão (</w:t>
      </w:r>
      <w:r w:rsidRPr="0050769B">
        <w:rPr>
          <w:rFonts w:ascii="Times New Roman" w:hAnsi="Times New Roman" w:cs="Times New Roman"/>
          <w:i/>
          <w:sz w:val="24"/>
          <w:szCs w:val="24"/>
        </w:rPr>
        <w:t>apud</w:t>
      </w:r>
      <w:r w:rsidRPr="0050769B">
        <w:rPr>
          <w:rFonts w:ascii="Times New Roman" w:hAnsi="Times New Roman" w:cs="Times New Roman"/>
          <w:sz w:val="24"/>
          <w:szCs w:val="24"/>
        </w:rPr>
        <w:t xml:space="preserve"> SABAGG 2012, p. 284) a define como “uma forma qualificada ou especial de não incidência, por supressão, na Constituição, da competência impositiva ou do poder de tributar, quando se configuram certos pressupostos, situaç</w:t>
      </w:r>
      <w:r w:rsidR="00575A3B">
        <w:rPr>
          <w:rFonts w:ascii="Times New Roman" w:hAnsi="Times New Roman" w:cs="Times New Roman"/>
          <w:sz w:val="24"/>
          <w:szCs w:val="24"/>
        </w:rPr>
        <w:t xml:space="preserve">ões ou circunstâncias previstas </w:t>
      </w:r>
      <w:r w:rsidRPr="0050769B">
        <w:rPr>
          <w:rFonts w:ascii="Times New Roman" w:hAnsi="Times New Roman" w:cs="Times New Roman"/>
          <w:sz w:val="24"/>
          <w:szCs w:val="24"/>
        </w:rPr>
        <w:t xml:space="preserve">pelo estatuto supremo”. </w:t>
      </w:r>
    </w:p>
    <w:p w:rsidR="0044314D" w:rsidRDefault="0033394E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69B">
        <w:rPr>
          <w:rFonts w:ascii="Times New Roman" w:hAnsi="Times New Roman" w:cs="Times New Roman"/>
          <w:sz w:val="24"/>
          <w:szCs w:val="24"/>
        </w:rPr>
        <w:t xml:space="preserve">Já </w:t>
      </w:r>
      <w:r w:rsidRPr="0050769B">
        <w:rPr>
          <w:rFonts w:ascii="Times New Roman" w:hAnsi="Times New Roman" w:cs="Times New Roman"/>
          <w:color w:val="FF0000"/>
          <w:sz w:val="24"/>
          <w:szCs w:val="24"/>
        </w:rPr>
        <w:t xml:space="preserve">Paulo de Barros Carvalho (2007, p. 181) </w:t>
      </w:r>
      <w:r w:rsidRPr="0050769B">
        <w:rPr>
          <w:rFonts w:ascii="Times New Roman" w:hAnsi="Times New Roman" w:cs="Times New Roman"/>
          <w:sz w:val="24"/>
          <w:szCs w:val="24"/>
        </w:rPr>
        <w:t xml:space="preserve">a define como sendo </w:t>
      </w:r>
      <w:proofErr w:type="gramStart"/>
      <w:r w:rsidRPr="0050769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EC6C84" w:rsidRDefault="0033394E" w:rsidP="0044314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314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4314D">
        <w:rPr>
          <w:rFonts w:ascii="Times New Roman" w:hAnsi="Times New Roman" w:cs="Times New Roman"/>
          <w:sz w:val="20"/>
          <w:szCs w:val="20"/>
        </w:rPr>
        <w:t xml:space="preserve"> classe finita e imediatamente determinável de normas jurídicas, contidas no texto da Constituição Federal, e que estabelecem, de modo expresso, a incompetência das pessoas políticas de direito constitucional interno para expedir regras instituidoras de tributos que alcancem situações específicas e suficientemente caracterizadas. </w:t>
      </w:r>
    </w:p>
    <w:p w:rsidR="0044314D" w:rsidRPr="0044314D" w:rsidRDefault="0044314D" w:rsidP="0044314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C6C84" w:rsidRPr="0050769B" w:rsidRDefault="00EC6C84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769B">
        <w:rPr>
          <w:rFonts w:ascii="Times New Roman" w:hAnsi="Times New Roman" w:cs="Times New Roman"/>
          <w:sz w:val="24"/>
          <w:szCs w:val="24"/>
        </w:rPr>
        <w:t>Tendo em vista esse conceito, o referido autor aponta cinco características fundamentais relativas ao tema, quais sejam:</w:t>
      </w:r>
    </w:p>
    <w:p w:rsidR="0050769B" w:rsidRDefault="0050769B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0769B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)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>É uma classe finita e imediatamente determinável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769B">
        <w:rPr>
          <w:rFonts w:ascii="Times New Roman" w:hAnsi="Times New Roman" w:cs="Times New Roman"/>
          <w:sz w:val="20"/>
          <w:szCs w:val="20"/>
        </w:rPr>
        <w:t>A cláusula é relevante para demonstrar que as imunidades tributárias são somente aquelas explicitadas na Carta Magna, compondo um grupo de elementos que, a qualquer momento, pode ser determinado nas suas várias imunidades. [...]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0769B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)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>De normas jurídicas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769B">
        <w:rPr>
          <w:rFonts w:ascii="Times New Roman" w:hAnsi="Times New Roman" w:cs="Times New Roman"/>
          <w:sz w:val="20"/>
          <w:szCs w:val="20"/>
        </w:rPr>
        <w:t xml:space="preserve">[...] Com aludir que as imunidades são normas jurídicas, estaremos afastando a </w:t>
      </w:r>
      <w:proofErr w:type="spellStart"/>
      <w:r w:rsidRPr="0050769B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Pr="0050769B">
        <w:rPr>
          <w:rFonts w:ascii="Times New Roman" w:hAnsi="Times New Roman" w:cs="Times New Roman"/>
          <w:sz w:val="20"/>
          <w:szCs w:val="20"/>
        </w:rPr>
        <w:t xml:space="preserve"> de imiscuirmos no seu conceito a infinidade de vedações tácitas, originadas pela lembrança do princípio ontológico mediante o qual o que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>não estiver permitido estará proibido</w:t>
      </w:r>
      <w:r w:rsidRPr="0050769B">
        <w:rPr>
          <w:rFonts w:ascii="Times New Roman" w:hAnsi="Times New Roman" w:cs="Times New Roman"/>
          <w:sz w:val="20"/>
          <w:szCs w:val="20"/>
        </w:rPr>
        <w:t>, aplicável à disciplina do direito público. [...]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0769B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)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>Contidas no texto da Constituição Federal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769B">
        <w:rPr>
          <w:rFonts w:ascii="Times New Roman" w:hAnsi="Times New Roman" w:cs="Times New Roman"/>
          <w:sz w:val="20"/>
          <w:szCs w:val="20"/>
        </w:rPr>
        <w:t xml:space="preserve">[...] Tão somente aquelas [normas ou regras] que irromperem do próprio texto da Lei Fundamental, entretanto, </w:t>
      </w:r>
      <w:proofErr w:type="gramStart"/>
      <w:r w:rsidRPr="0050769B">
        <w:rPr>
          <w:rFonts w:ascii="Times New Roman" w:hAnsi="Times New Roman" w:cs="Times New Roman"/>
          <w:sz w:val="20"/>
          <w:szCs w:val="20"/>
        </w:rPr>
        <w:t>guardarão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 a fisionomia jurídica de normas de imunidade. [...]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0769B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)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>E que estabelecem, de modo expresso, a incompetência das pessoas políticas de direito constitucional interno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0769B">
        <w:rPr>
          <w:rFonts w:ascii="Times New Roman" w:hAnsi="Times New Roman" w:cs="Times New Roman"/>
          <w:sz w:val="20"/>
          <w:szCs w:val="20"/>
        </w:rPr>
        <w:t xml:space="preserve">É imperioso que o núcleo </w:t>
      </w:r>
      <w:proofErr w:type="spellStart"/>
      <w:r w:rsidRPr="0050769B">
        <w:rPr>
          <w:rFonts w:ascii="Times New Roman" w:hAnsi="Times New Roman" w:cs="Times New Roman"/>
          <w:sz w:val="20"/>
          <w:szCs w:val="20"/>
        </w:rPr>
        <w:t>deôntico</w:t>
      </w:r>
      <w:proofErr w:type="spellEnd"/>
      <w:r w:rsidRPr="0050769B">
        <w:rPr>
          <w:rFonts w:ascii="Times New Roman" w:hAnsi="Times New Roman" w:cs="Times New Roman"/>
          <w:sz w:val="20"/>
          <w:szCs w:val="20"/>
        </w:rPr>
        <w:t xml:space="preserve"> do comando constitucional denuncie uma proibição inequívoca, dirigida aos legisladores infraconstitucionais e tolhendo-os no que tange à emissão de regras jurídicas instituidoras de tributos. [...]</w:t>
      </w:r>
    </w:p>
    <w:p w:rsidR="00EC6C84" w:rsidRPr="0050769B" w:rsidRDefault="00EC6C84" w:rsidP="00EC6C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0769B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) </w:t>
      </w:r>
      <w:r w:rsidRPr="0050769B">
        <w:rPr>
          <w:rFonts w:ascii="Times New Roman" w:hAnsi="Times New Roman" w:cs="Times New Roman"/>
          <w:i/>
          <w:iCs/>
          <w:sz w:val="20"/>
          <w:szCs w:val="20"/>
        </w:rPr>
        <w:t xml:space="preserve">Para expedir regras instituidoras de tributos que alcancem situações específicas e suficientemente caracterizadas </w:t>
      </w:r>
    </w:p>
    <w:p w:rsidR="0050769B" w:rsidRDefault="00EC6C84" w:rsidP="0050769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50769B">
        <w:rPr>
          <w:rFonts w:ascii="Times New Roman" w:hAnsi="Times New Roman" w:cs="Times New Roman"/>
          <w:sz w:val="20"/>
          <w:szCs w:val="20"/>
        </w:rPr>
        <w:t xml:space="preserve">[...] A qualificação utilizada pelo comando constitucional tem de ser bastante em si </w:t>
      </w:r>
      <w:proofErr w:type="gramStart"/>
      <w:r w:rsidRPr="0050769B">
        <w:rPr>
          <w:rFonts w:ascii="Times New Roman" w:hAnsi="Times New Roman" w:cs="Times New Roman"/>
          <w:sz w:val="20"/>
          <w:szCs w:val="20"/>
        </w:rPr>
        <w:t>mesma</w:t>
      </w:r>
      <w:proofErr w:type="gramEnd"/>
      <w:r w:rsidRPr="0050769B">
        <w:rPr>
          <w:rFonts w:ascii="Times New Roman" w:hAnsi="Times New Roman" w:cs="Times New Roman"/>
          <w:sz w:val="20"/>
          <w:szCs w:val="20"/>
        </w:rPr>
        <w:t xml:space="preserve"> para compor hipótese de imunidade, o que não exclui a participação do legislador complementar na regulação dos condicionantes fáticos definidos pela norma imunizante. (CARVALHO, 2010, p. 234 – 236</w:t>
      </w:r>
      <w:proofErr w:type="gramStart"/>
      <w:r w:rsidRPr="0050769B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33394E" w:rsidRPr="0050769B">
        <w:rPr>
          <w:rFonts w:ascii="Times New Roman" w:hAnsi="Times New Roman" w:cs="Times New Roman"/>
        </w:rPr>
        <w:br/>
      </w:r>
    </w:p>
    <w:p w:rsidR="0050769B" w:rsidRDefault="0050769B" w:rsidP="0050769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EA61BA" w:rsidRDefault="002430DF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concerne ao sentido,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imunidade é aferida tanto em um ponto de vista amplo, quanto em um sentido restrito. Na análise de Hugo de Brito Machado (2004, p. 262 e 263) a limitação ao poder de tributar em sentido amplo seria “toda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qualquer restrição imposta pelo sistema jurídico às entidades dotadas desse poder. Aliás, toda atribuição de competência implica necessariamente limitação. A descrição da competência </w:t>
      </w:r>
      <w:r w:rsidR="00EA61BA">
        <w:rPr>
          <w:rFonts w:ascii="Times New Roman" w:hAnsi="Times New Roman" w:cs="Times New Roman"/>
          <w:sz w:val="24"/>
          <w:szCs w:val="24"/>
        </w:rPr>
        <w:t xml:space="preserve">atribuída, seu desenho, estabelece os seus limites”. </w:t>
      </w:r>
    </w:p>
    <w:p w:rsidR="00EA61BA" w:rsidRDefault="00EA61BA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noção restrita entende o ilustre autor que seja “o conjunto de regras estabelecidas pela Constituição Federal, em seus artigos 150 a 152, nas quais residem princípios fundamentais do Direito Constitucional Tributário, a saber: legalidade, isonomia, irretroatividade, anterioridade, proibição de confisco, liberdade de tráfego, </w:t>
      </w:r>
      <w:r w:rsidRPr="00EA61BA">
        <w:rPr>
          <w:rFonts w:ascii="Times New Roman" w:hAnsi="Times New Roman" w:cs="Times New Roman"/>
          <w:i/>
          <w:sz w:val="24"/>
          <w:szCs w:val="24"/>
        </w:rPr>
        <w:t>imunidades</w:t>
      </w:r>
      <w:r>
        <w:rPr>
          <w:rFonts w:ascii="Times New Roman" w:hAnsi="Times New Roman" w:cs="Times New Roman"/>
          <w:sz w:val="24"/>
          <w:szCs w:val="24"/>
        </w:rPr>
        <w:t xml:space="preserve"> e outras limitações”.</w:t>
      </w:r>
    </w:p>
    <w:p w:rsidR="0033394E" w:rsidRPr="0050769B" w:rsidRDefault="0050769B" w:rsidP="00A84F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</w:t>
      </w:r>
      <w:r w:rsidR="0033394E" w:rsidRPr="0050769B">
        <w:rPr>
          <w:rFonts w:ascii="Times New Roman" w:hAnsi="Times New Roman" w:cs="Times New Roman"/>
          <w:sz w:val="24"/>
          <w:szCs w:val="24"/>
        </w:rPr>
        <w:t>, necessário se faz dizer que o desrespeito a uma regra de imunidade significa incidir em inconstitucionalidade e, além disso, ressalte-se que a imunidade tributária não atinge a obrigações tributárias acessórias, que são os deveres instrumentais do contribuinte. Portanto, atinge tão somente a obrigação tributária principal, ou seja, o dever patrimonial do pagamento do tributo (SABAGG, 2012).</w:t>
      </w:r>
    </w:p>
    <w:p w:rsidR="00763CFA" w:rsidRDefault="002E46F3" w:rsidP="002E46F3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759E">
        <w:rPr>
          <w:rFonts w:ascii="Times New Roman" w:hAnsi="Times New Roman" w:cs="Times New Roman"/>
          <w:sz w:val="24"/>
          <w:szCs w:val="24"/>
        </w:rPr>
        <w:t xml:space="preserve">Há que se falar também que a imunidade constitucional não possui entendimento pacífico </w:t>
      </w:r>
      <w:r w:rsidR="0045759E" w:rsidRPr="0045759E">
        <w:rPr>
          <w:rFonts w:ascii="Times New Roman" w:hAnsi="Times New Roman" w:cs="Times New Roman"/>
          <w:sz w:val="24"/>
          <w:szCs w:val="24"/>
        </w:rPr>
        <w:t xml:space="preserve">quanto a sua real natureza, pois há quem entenda se tratar de uma limitação constitucional ao poder de tributar. Outros entendem se tratar de normas constitucionais estabelecendo a incompetência das figuras políticas para determinar regras tributárias, relativamente a casos específicos. </w:t>
      </w:r>
      <w:r w:rsidR="0045759E">
        <w:rPr>
          <w:rFonts w:ascii="Times New Roman" w:hAnsi="Times New Roman" w:cs="Times New Roman"/>
          <w:sz w:val="24"/>
          <w:szCs w:val="24"/>
        </w:rPr>
        <w:t>(MELO, 2008, p. 157)</w:t>
      </w:r>
      <w:r w:rsidR="00763CFA">
        <w:rPr>
          <w:rFonts w:ascii="Times New Roman" w:hAnsi="Times New Roman" w:cs="Times New Roman"/>
          <w:sz w:val="24"/>
          <w:szCs w:val="24"/>
        </w:rPr>
        <w:t>.</w:t>
      </w:r>
    </w:p>
    <w:p w:rsidR="008D7871" w:rsidRDefault="000724B2" w:rsidP="008D787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diapasão, </w:t>
      </w:r>
      <w:r w:rsidR="00763CFA">
        <w:rPr>
          <w:rFonts w:ascii="Times New Roman" w:hAnsi="Times New Roman" w:cs="Times New Roman"/>
          <w:sz w:val="24"/>
          <w:szCs w:val="24"/>
        </w:rPr>
        <w:t>é salutar destacar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="00763CFA">
        <w:rPr>
          <w:rFonts w:ascii="Times New Roman" w:hAnsi="Times New Roman" w:cs="Times New Roman"/>
          <w:sz w:val="24"/>
          <w:szCs w:val="24"/>
        </w:rPr>
        <w:t xml:space="preserve"> que a imunidade tributária alcança o dever patrimonial de pagamento do tributo, não possuindo como escopo de afetar as obrigações acessórias (deveres instrumentais do contribuinte, que se mantêm ilesos). Em suma, a norma </w:t>
      </w:r>
      <w:proofErr w:type="spellStart"/>
      <w:r w:rsidR="00763CFA">
        <w:rPr>
          <w:rFonts w:ascii="Times New Roman" w:hAnsi="Times New Roman" w:cs="Times New Roman"/>
          <w:sz w:val="24"/>
          <w:szCs w:val="24"/>
        </w:rPr>
        <w:t>imunitória</w:t>
      </w:r>
      <w:proofErr w:type="spellEnd"/>
      <w:r w:rsidR="00763CFA">
        <w:rPr>
          <w:rFonts w:ascii="Times New Roman" w:hAnsi="Times New Roman" w:cs="Times New Roman"/>
          <w:sz w:val="24"/>
          <w:szCs w:val="24"/>
        </w:rPr>
        <w:t xml:space="preserve"> é que impõe o alcance do poder tributário, determinando os rumos da competência tributária das entidades políticas, bem como </w:t>
      </w:r>
      <w:r w:rsidR="008D7871">
        <w:rPr>
          <w:rFonts w:ascii="Times New Roman" w:hAnsi="Times New Roman" w:cs="Times New Roman"/>
          <w:sz w:val="24"/>
          <w:szCs w:val="24"/>
        </w:rPr>
        <w:t xml:space="preserve">desponta um direito subjetivo das pessoas que se mostram como </w:t>
      </w:r>
      <w:proofErr w:type="gramStart"/>
      <w:r w:rsidR="008D7871">
        <w:rPr>
          <w:rFonts w:ascii="Times New Roman" w:hAnsi="Times New Roman" w:cs="Times New Roman"/>
          <w:sz w:val="24"/>
          <w:szCs w:val="24"/>
        </w:rPr>
        <w:t>destinatários de seus efeitos, seja</w:t>
      </w:r>
      <w:proofErr w:type="gramEnd"/>
      <w:r w:rsidR="008D7871">
        <w:rPr>
          <w:rFonts w:ascii="Times New Roman" w:hAnsi="Times New Roman" w:cs="Times New Roman"/>
          <w:sz w:val="24"/>
          <w:szCs w:val="24"/>
        </w:rPr>
        <w:t xml:space="preserve"> de forma direta ou indireta. (SABBAG, 2012, p. 287)</w:t>
      </w:r>
      <w:r w:rsidR="00763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14D" w:rsidRDefault="002E46F3" w:rsidP="008D787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75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830" w:rsidRPr="00D53830" w:rsidRDefault="0044314D" w:rsidP="00763CFA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D53830">
        <w:rPr>
          <w:rFonts w:ascii="Times New Roman" w:hAnsi="Times New Roman" w:cs="Times New Roman"/>
          <w:b/>
          <w:sz w:val="24"/>
          <w:szCs w:val="24"/>
        </w:rPr>
        <w:t xml:space="preserve"> IMUNIDADES RECIPROCAS</w:t>
      </w:r>
    </w:p>
    <w:p w:rsidR="00D53830" w:rsidRDefault="00D53830" w:rsidP="00D53830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C2065">
        <w:t>De primeiro, imperioso se faz o entendimento do que vem a ser a imunidade recíproca. Esta, segundo profere Paulo de Barros Carvalho</w:t>
      </w:r>
      <w:r>
        <w:t xml:space="preserve"> (2007, p. 207)</w:t>
      </w:r>
      <w:r w:rsidRPr="00DC2065">
        <w:t>, é “uma decorrência pronta e imediata do postulado da isonomia dos entes constitucionais, sustentado pela estrutura federati</w:t>
      </w:r>
      <w:r>
        <w:t>v</w:t>
      </w:r>
      <w:r w:rsidRPr="00DC2065">
        <w:t>a do Estado brasileiro e pela autonomia dos Municípios.”.</w:t>
      </w:r>
      <w:r>
        <w:t xml:space="preserve"> Está prevista no artigo 150, VI, a, da Constituição Federal, estabelecendo que “Sem prejuízo de outras garantias asseguradas ao contribuinte, é vedado à União, </w:t>
      </w:r>
      <w:r>
        <w:lastRenderedPageBreak/>
        <w:t xml:space="preserve">aos Estados, ao Distrito Federal e aos Municípios: instituir impostos sobre: </w:t>
      </w:r>
      <w:r>
        <w:rPr>
          <w:b/>
          <w:bCs/>
        </w:rPr>
        <w:t>a)</w:t>
      </w:r>
      <w:bookmarkStart w:id="0" w:name="a)_patrimônio"/>
      <w:r>
        <w:t xml:space="preserve"> patrimônio</w:t>
      </w:r>
      <w:bookmarkEnd w:id="0"/>
      <w:r>
        <w:t>, renda ou serviços, uns dos outros;”.</w:t>
      </w:r>
    </w:p>
    <w:p w:rsidR="00D53830" w:rsidRDefault="00D53830" w:rsidP="00D538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tal modalidade de imunidade abrange as autarquias federais, estaduais e municipais, de acordo com o texto do artigo 150, §2º. No que concerne ao patrimônio, rendas e serviços vinculados aos seus objetivos precípuos, mas não atinge os serviços públicos concedidos, “nem exonera o promitente comprador da obrigação de pagar o imposto que grave a promessa de venda e compra de bens imóveis” (BARROS, 2007, p. 208). </w:t>
      </w:r>
    </w:p>
    <w:p w:rsidR="00D53830" w:rsidRDefault="00D53830" w:rsidP="00D538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destacar que a efetividade prática da administração tributária aduz a representação da supremacia do interesse público ao do particular. Nesse deslinde, analisa Paulo Carvalho (2007, p. 207)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830" w:rsidRDefault="00D53830" w:rsidP="00D5383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A0E9A">
        <w:rPr>
          <w:rFonts w:ascii="Times New Roman" w:hAnsi="Times New Roman" w:cs="Times New Roman"/>
          <w:sz w:val="20"/>
          <w:szCs w:val="20"/>
        </w:rPr>
        <w:t>Não poderíamos compreender como, debaixo, dessa mesma linha diretiva, uma pessoa jurídica de direito público, munida de personalidade política e autonomia, pelos dizeres explícitos da Constituição, viesse a submeter-se aos poderes de fiscalização e de controle, que são ínsitos ao desempenho daquele tipo de atividade.</w:t>
      </w:r>
    </w:p>
    <w:p w:rsidR="00D53830" w:rsidRPr="007A0E9A" w:rsidRDefault="00D53830" w:rsidP="00D5383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53830" w:rsidRDefault="00D53830" w:rsidP="00D538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aos impostos diretos, estes não devem incidir sobre os entes públicos em razão da norma imunizante. Em sentido contrário, a relação entre os impostos indiretos e a imunidade recíproca se mostra controversa. Segundo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(2012), a sua solução depende da forma como se observa o fenômeno da repercussão tributária nesses impostos,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atribuindo-se-lhe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relevância jurídica ou econômica. </w:t>
      </w:r>
    </w:p>
    <w:p w:rsidR="00D53830" w:rsidRDefault="00D53830" w:rsidP="00D538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 Carvalho (2007, p. 107) afirma que prevalece o entendimento de que tais acontecimentos não seriam atingidos por tal imunidade, haja vista que os efeitos econômicos iriam beneficiar sujeitos que não compõem o Poder Público. Isso porque, a situação jurídica é firmada entre “sujeito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pretensor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e “sujeito devedor” não subsistindo qualquer participação integrativa dos terceiros beneficiado. </w:t>
      </w:r>
    </w:p>
    <w:p w:rsidR="00D53830" w:rsidRPr="00755DAB" w:rsidRDefault="00D53830" w:rsidP="00D538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5DAB">
        <w:rPr>
          <w:rFonts w:ascii="Times New Roman" w:hAnsi="Times New Roman" w:cs="Times New Roman"/>
          <w:sz w:val="24"/>
          <w:szCs w:val="24"/>
        </w:rPr>
        <w:t>Corroborando esse entendimento, Ricardo Lobo Torres (2005, p. 73) assevera que:</w:t>
      </w:r>
    </w:p>
    <w:p w:rsidR="00D53830" w:rsidRPr="00755DAB" w:rsidRDefault="00D53830" w:rsidP="00D53830">
      <w:pPr>
        <w:widowControl w:val="0"/>
        <w:spacing w:before="100" w:beforeAutospacing="1" w:after="100" w:afterAutospacing="1" w:line="240" w:lineRule="auto"/>
        <w:ind w:left="2835"/>
        <w:jc w:val="both"/>
        <w:rPr>
          <w:rFonts w:ascii="Times New Roman" w:hAnsi="Times New Roman" w:cs="Times New Roman"/>
        </w:rPr>
      </w:pPr>
      <w:r w:rsidRPr="00755DAB">
        <w:rPr>
          <w:rFonts w:ascii="Times New Roman" w:hAnsi="Times New Roman" w:cs="Times New Roman"/>
        </w:rPr>
        <w:t xml:space="preserve">A imunidade, por conseguinte, só protege as pessoas de direito público contra os impostos incidentes sobre o patrimônio, a renda ou os serviços, o que significa que impostos incidentes sobre a produção e a circulação de riquezas (IPI, ICMS) não estão compreendidos na garantia constitucional. </w:t>
      </w:r>
    </w:p>
    <w:p w:rsidR="00A74514" w:rsidRPr="00A74D22" w:rsidRDefault="00355F3E" w:rsidP="00A74D2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diapasão, l</w:t>
      </w:r>
      <w:r w:rsidR="00F907EF" w:rsidRPr="00A74D22">
        <w:rPr>
          <w:rFonts w:ascii="Times New Roman" w:hAnsi="Times New Roman" w:cs="Times New Roman"/>
          <w:sz w:val="24"/>
          <w:szCs w:val="24"/>
        </w:rPr>
        <w:t>úcido e adequado é o entendimento do Ministro</w:t>
      </w:r>
      <w:r w:rsidR="00A74D22" w:rsidRPr="00A74D22">
        <w:rPr>
          <w:rFonts w:ascii="Times New Roman" w:hAnsi="Times New Roman" w:cs="Times New Roman"/>
          <w:sz w:val="24"/>
          <w:szCs w:val="24"/>
        </w:rPr>
        <w:t xml:space="preserve"> Ricardo </w:t>
      </w:r>
      <w:proofErr w:type="spellStart"/>
      <w:r w:rsidR="00A74D22" w:rsidRPr="00A74D22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="00F907EF" w:rsidRPr="00A74D22">
        <w:rPr>
          <w:rFonts w:ascii="Times New Roman" w:hAnsi="Times New Roman" w:cs="Times New Roman"/>
          <w:sz w:val="24"/>
          <w:szCs w:val="24"/>
        </w:rPr>
        <w:t xml:space="preserve"> </w:t>
      </w:r>
      <w:r w:rsidRPr="00355F3E">
        <w:rPr>
          <w:rFonts w:ascii="Times New Roman" w:hAnsi="Times New Roman" w:cs="Times New Roman"/>
          <w:sz w:val="24"/>
          <w:szCs w:val="24"/>
        </w:rPr>
        <w:t>(</w:t>
      </w:r>
      <w:r w:rsidRPr="00355F3E">
        <w:rPr>
          <w:rFonts w:ascii="Times New Roman" w:hAnsi="Times New Roman" w:cs="Times New Roman"/>
          <w:color w:val="000000"/>
          <w:sz w:val="24"/>
          <w:szCs w:val="24"/>
        </w:rPr>
        <w:t xml:space="preserve">ARE 663552 </w:t>
      </w:r>
      <w:proofErr w:type="spellStart"/>
      <w:proofErr w:type="gramStart"/>
      <w:r w:rsidRPr="00355F3E">
        <w:rPr>
          <w:rFonts w:ascii="Times New Roman" w:hAnsi="Times New Roman" w:cs="Times New Roman"/>
          <w:color w:val="000000"/>
          <w:sz w:val="24"/>
          <w:szCs w:val="24"/>
        </w:rPr>
        <w:t>AgR</w:t>
      </w:r>
      <w:proofErr w:type="spellEnd"/>
      <w:proofErr w:type="gramEnd"/>
      <w:r w:rsidRPr="00355F3E">
        <w:rPr>
          <w:rFonts w:ascii="Times New Roman" w:hAnsi="Times New Roman" w:cs="Times New Roman"/>
          <w:color w:val="000000"/>
          <w:sz w:val="24"/>
          <w:szCs w:val="24"/>
        </w:rPr>
        <w:t xml:space="preserve">, Relator(a):  Min. RICARDO LEWANDOWSKI, </w:t>
      </w:r>
      <w:r w:rsidRPr="00355F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Segunda Turma, julgado em 28/02/2012, ACÓRDÃO ELETRÔNICO </w:t>
      </w:r>
      <w:proofErr w:type="spellStart"/>
      <w:r w:rsidRPr="00355F3E">
        <w:rPr>
          <w:rFonts w:ascii="Times New Roman" w:hAnsi="Times New Roman" w:cs="Times New Roman"/>
          <w:color w:val="000000"/>
          <w:sz w:val="24"/>
          <w:szCs w:val="24"/>
        </w:rPr>
        <w:t>DJe</w:t>
      </w:r>
      <w:proofErr w:type="spellEnd"/>
      <w:r w:rsidRPr="00355F3E">
        <w:rPr>
          <w:rFonts w:ascii="Times New Roman" w:hAnsi="Times New Roman" w:cs="Times New Roman"/>
          <w:color w:val="000000"/>
          <w:sz w:val="24"/>
          <w:szCs w:val="24"/>
        </w:rPr>
        <w:t>-051 DIVULG 09-03-2012 PUBLIC 12-03-2012 RET v. 14, n. 84, 2012, p. 121-123)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7EF" w:rsidRPr="00A74D22">
        <w:rPr>
          <w:rFonts w:ascii="Times New Roman" w:hAnsi="Times New Roman" w:cs="Times New Roman"/>
          <w:sz w:val="24"/>
          <w:szCs w:val="24"/>
        </w:rPr>
        <w:t>do Supremo Tribunal Federal</w:t>
      </w:r>
      <w:r w:rsidR="00A74D22" w:rsidRPr="00A74D22">
        <w:rPr>
          <w:rFonts w:ascii="Times New Roman" w:hAnsi="Times New Roman" w:cs="Times New Roman"/>
          <w:sz w:val="24"/>
          <w:szCs w:val="24"/>
        </w:rPr>
        <w:t>. Segundo ele</w:t>
      </w:r>
      <w:r w:rsidR="00A74514" w:rsidRPr="00A74D22">
        <w:rPr>
          <w:rFonts w:ascii="Times New Roman" w:hAnsi="Times New Roman" w:cs="Times New Roman"/>
          <w:sz w:val="24"/>
          <w:szCs w:val="24"/>
        </w:rPr>
        <w:t xml:space="preserve">, </w:t>
      </w:r>
      <w:r w:rsidR="00A74D22" w:rsidRPr="00A74D22">
        <w:rPr>
          <w:rFonts w:ascii="Times New Roman" w:hAnsi="Times New Roman" w:cs="Times New Roman"/>
          <w:sz w:val="24"/>
          <w:szCs w:val="24"/>
        </w:rPr>
        <w:t>“</w:t>
      </w:r>
      <w:r w:rsidR="00A74514" w:rsidRPr="00A74D22">
        <w:rPr>
          <w:rFonts w:ascii="Times New Roman" w:hAnsi="Times New Roman" w:cs="Times New Roman"/>
          <w:sz w:val="24"/>
          <w:szCs w:val="24"/>
        </w:rPr>
        <w:t>a imunidade do art. 150, VI,</w:t>
      </w:r>
      <w:r w:rsidR="00A74D22" w:rsidRPr="00A74D22">
        <w:rPr>
          <w:rFonts w:ascii="Times New Roman" w:hAnsi="Times New Roman" w:cs="Times New Roman"/>
          <w:sz w:val="24"/>
          <w:szCs w:val="24"/>
        </w:rPr>
        <w:t xml:space="preserve"> </w:t>
      </w:r>
      <w:r w:rsidR="00A74D22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 xml:space="preserve">da CF somente se aplica ao imposto que incide sobre </w:t>
      </w:r>
      <w:r w:rsidR="00A74514" w:rsidRPr="00A74D22">
        <w:rPr>
          <w:rFonts w:ascii="Times New Roman" w:hAnsi="Times New Roman" w:cs="Times New Roman"/>
          <w:sz w:val="24"/>
          <w:szCs w:val="24"/>
        </w:rPr>
        <w:t>serviço,</w:t>
      </w:r>
      <w:r w:rsidR="00A74D22" w:rsidRPr="00A74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patrimônio ou renda do próprio ente beneficiado, na qualidade</w:t>
      </w:r>
      <w:r w:rsidR="00A74514" w:rsidRPr="00A74D22">
        <w:rPr>
          <w:rFonts w:ascii="Times New Roman" w:hAnsi="Times New Roman" w:cs="Times New Roman"/>
          <w:sz w:val="24"/>
          <w:szCs w:val="24"/>
        </w:rPr>
        <w:t xml:space="preserve"> de</w:t>
      </w:r>
      <w:r w:rsidR="00A74D22" w:rsidRPr="00A74D22">
        <w:rPr>
          <w:rFonts w:ascii="Times New Roman" w:hAnsi="Times New Roman" w:cs="Times New Roman"/>
          <w:sz w:val="24"/>
          <w:szCs w:val="24"/>
        </w:rPr>
        <w:t xml:space="preserve"> </w:t>
      </w:r>
      <w:r w:rsidR="00A74514" w:rsidRPr="00A74D22">
        <w:rPr>
          <w:rFonts w:ascii="Times New Roman" w:hAnsi="Times New Roman" w:cs="Times New Roman"/>
          <w:sz w:val="24"/>
          <w:szCs w:val="24"/>
        </w:rPr>
        <w:t>contribuinte de direito</w:t>
      </w:r>
      <w:r w:rsidR="00A74D22" w:rsidRPr="00A74D22">
        <w:rPr>
          <w:rFonts w:ascii="Times New Roman" w:hAnsi="Times New Roman" w:cs="Times New Roman"/>
          <w:sz w:val="24"/>
          <w:szCs w:val="24"/>
        </w:rPr>
        <w:t>”</w:t>
      </w:r>
      <w:r w:rsidR="00A74514" w:rsidRPr="00A74D22">
        <w:rPr>
          <w:rFonts w:ascii="Times New Roman" w:hAnsi="Times New Roman" w:cs="Times New Roman"/>
          <w:sz w:val="24"/>
          <w:szCs w:val="24"/>
        </w:rPr>
        <w:t>.</w:t>
      </w:r>
    </w:p>
    <w:p w:rsidR="008D7871" w:rsidRDefault="008D7871" w:rsidP="00D538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871" w:rsidRDefault="008D7871" w:rsidP="00D538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830" w:rsidRDefault="0044314D" w:rsidP="00D538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D53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830" w:rsidRPr="00D53830">
        <w:rPr>
          <w:rFonts w:ascii="Times New Roman" w:hAnsi="Times New Roman" w:cs="Times New Roman"/>
          <w:b/>
          <w:sz w:val="24"/>
          <w:szCs w:val="24"/>
        </w:rPr>
        <w:t>ANÁLISE JURISPRUDENCIAL</w:t>
      </w:r>
    </w:p>
    <w:p w:rsidR="008760BD" w:rsidRDefault="00575A3B" w:rsidP="00575A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os apontamentos acima, cumpre verificar como o Tribunal de Justiça do Estado do Maranhão vem aplicando a imunidade recíproca. A ementa abaixo diz respeito a impostos indiretos e, conforme já mencionado, a quest</w:t>
      </w:r>
      <w:r w:rsidR="008760BD">
        <w:rPr>
          <w:rFonts w:ascii="Times New Roman" w:hAnsi="Times New Roman" w:cs="Times New Roman"/>
          <w:sz w:val="24"/>
          <w:szCs w:val="24"/>
        </w:rPr>
        <w:t xml:space="preserve">ão é controversa. </w:t>
      </w:r>
    </w:p>
    <w:p w:rsidR="00575A3B" w:rsidRDefault="008760BD" w:rsidP="00575A3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entanto, a Segunda Câmara Cível do </w:t>
      </w:r>
      <w:r w:rsidR="00575A3B">
        <w:rPr>
          <w:rFonts w:ascii="Times New Roman" w:hAnsi="Times New Roman" w:cs="Times New Roman"/>
          <w:sz w:val="24"/>
          <w:szCs w:val="24"/>
        </w:rPr>
        <w:t>TJMA decidiu que o ICMS</w:t>
      </w:r>
      <w:r w:rsidR="001F477D">
        <w:rPr>
          <w:rFonts w:ascii="Times New Roman" w:hAnsi="Times New Roman" w:cs="Times New Roman"/>
          <w:sz w:val="24"/>
          <w:szCs w:val="24"/>
        </w:rPr>
        <w:t xml:space="preserve"> não incide sobre o patrimônio, renda ou serviços da autarquia concessionária de serviços públicos, mas sim sobre o fornecimento de energia elétrica por ela consumida. O Desembargador Marcelo Carvalho Silva entendeu </w:t>
      </w:r>
      <w:r w:rsidR="001065E7">
        <w:rPr>
          <w:rFonts w:ascii="Times New Roman" w:hAnsi="Times New Roman" w:cs="Times New Roman"/>
          <w:sz w:val="24"/>
          <w:szCs w:val="24"/>
        </w:rPr>
        <w:t>pela inaplicabilidade de</w:t>
      </w:r>
      <w:r w:rsidR="001F477D">
        <w:rPr>
          <w:rFonts w:ascii="Times New Roman" w:hAnsi="Times New Roman" w:cs="Times New Roman"/>
          <w:sz w:val="24"/>
          <w:szCs w:val="24"/>
        </w:rPr>
        <w:t xml:space="preserve"> tal imunidade. Senão vejamos:</w:t>
      </w:r>
    </w:p>
    <w:p w:rsidR="00575A3B" w:rsidRPr="00575A3B" w:rsidRDefault="00575A3B" w:rsidP="00575A3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53830" w:rsidRPr="00035AA7" w:rsidRDefault="00575A3B" w:rsidP="00D5383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Ementa: </w:t>
      </w:r>
      <w:r w:rsidR="00D53830" w:rsidRPr="00035AA7">
        <w:rPr>
          <w:rFonts w:ascii="Times New Roman" w:hAnsi="Times New Roman" w:cs="Times New Roman"/>
          <w:sz w:val="20"/>
          <w:szCs w:val="20"/>
        </w:rPr>
        <w:t xml:space="preserve">TRIBUTÁRIO E CONSTITUCIONAL. AGRAVO DE INSTRUMENTO. ICMS – ENERGIA ELÉTRICA. IMUNIDADE TRIBUTÁRIA RECÍPROCA. INOCORRÊNCIA. ENERGIA FORNECIDA POR CONCESSIONÁRIA DE SERVIÇO PÚBLICO. AUTARQUIA MUNICIPAL CONSUMIDORA. </w:t>
      </w:r>
    </w:p>
    <w:p w:rsidR="00D53830" w:rsidRPr="00035AA7" w:rsidRDefault="00D53830" w:rsidP="00D53830">
      <w:pPr>
        <w:widowControl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AA7">
        <w:rPr>
          <w:rFonts w:ascii="Times New Roman" w:hAnsi="Times New Roman" w:cs="Times New Roman"/>
          <w:sz w:val="20"/>
          <w:szCs w:val="20"/>
        </w:rPr>
        <w:t xml:space="preserve">I. </w:t>
      </w:r>
      <w:proofErr w:type="gramStart"/>
      <w:r w:rsidRPr="00035AA7">
        <w:rPr>
          <w:rFonts w:ascii="Times New Roman" w:hAnsi="Times New Roman" w:cs="Times New Roman"/>
          <w:sz w:val="20"/>
          <w:szCs w:val="20"/>
        </w:rPr>
        <w:t>para</w:t>
      </w:r>
      <w:proofErr w:type="gramEnd"/>
      <w:r w:rsidRPr="00035AA7">
        <w:rPr>
          <w:rFonts w:ascii="Times New Roman" w:hAnsi="Times New Roman" w:cs="Times New Roman"/>
          <w:sz w:val="20"/>
          <w:szCs w:val="20"/>
        </w:rPr>
        <w:t xml:space="preserve"> que seja possível avaliar a ocorrência da imunidade recíproca dos entes federativos ou suas autarquias, mister investigar o arquétipo da relação jurídico-tributária do caso em concreto, notadamente os sujeitos ativo e passivo e a hipótese de incidência. </w:t>
      </w:r>
    </w:p>
    <w:p w:rsidR="00D53830" w:rsidRPr="00035AA7" w:rsidRDefault="00D53830" w:rsidP="00D5383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AA7">
        <w:rPr>
          <w:rFonts w:ascii="Times New Roman" w:hAnsi="Times New Roman" w:cs="Times New Roman"/>
          <w:sz w:val="20"/>
          <w:szCs w:val="20"/>
        </w:rPr>
        <w:t xml:space="preserve">II. Na hipótese de fornecimento de energia elétrica para autarquia municipal, o ICMS não incide sobre o patrimônio, a renda ou os serviços dessa autarquia, mas sim sobre o fornecimento do serviço de energia elétrica por ela consumida, descaracterizando, por conseguinte, a alegada imunidade recíproca consagrada no art. 150, inciso </w:t>
      </w:r>
      <w:proofErr w:type="gramStart"/>
      <w:r w:rsidRPr="00035AA7">
        <w:rPr>
          <w:rFonts w:ascii="Times New Roman" w:hAnsi="Times New Roman" w:cs="Times New Roman"/>
          <w:sz w:val="20"/>
          <w:szCs w:val="20"/>
        </w:rPr>
        <w:t>VI</w:t>
      </w:r>
      <w:proofErr w:type="gramEnd"/>
      <w:r w:rsidRPr="00035AA7">
        <w:rPr>
          <w:rFonts w:ascii="Times New Roman" w:hAnsi="Times New Roman" w:cs="Times New Roman"/>
          <w:sz w:val="20"/>
          <w:szCs w:val="20"/>
        </w:rPr>
        <w:t xml:space="preserve">, alínea "a", da Constituição Federal. </w:t>
      </w:r>
    </w:p>
    <w:p w:rsidR="00D53830" w:rsidRDefault="00D53830" w:rsidP="00D5383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AA7">
        <w:rPr>
          <w:rFonts w:ascii="Times New Roman" w:hAnsi="Times New Roman" w:cs="Times New Roman"/>
          <w:sz w:val="20"/>
          <w:szCs w:val="20"/>
        </w:rPr>
        <w:t>III. Agravo conhecido e desprovido.</w:t>
      </w:r>
    </w:p>
    <w:p w:rsidR="001F477D" w:rsidRPr="00035AA7" w:rsidRDefault="00882CF7" w:rsidP="001F477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(TJMA – AI nº 25714/2007 </w:t>
      </w:r>
      <w:r w:rsidR="001F477D" w:rsidRPr="00035AA7">
        <w:rPr>
          <w:rFonts w:ascii="Times New Roman" w:hAnsi="Times New Roman" w:cs="Times New Roman"/>
          <w:sz w:val="20"/>
          <w:szCs w:val="20"/>
        </w:rPr>
        <w:t>São</w:t>
      </w:r>
      <w:r>
        <w:rPr>
          <w:rFonts w:ascii="Times New Roman" w:hAnsi="Times New Roman" w:cs="Times New Roman"/>
          <w:sz w:val="20"/>
          <w:szCs w:val="20"/>
        </w:rPr>
        <w:t xml:space="preserve"> Luís</w:t>
      </w:r>
      <w:r w:rsidR="001F477D" w:rsidRPr="00035AA7">
        <w:rPr>
          <w:rFonts w:ascii="Times New Roman" w:hAnsi="Times New Roman" w:cs="Times New Roman"/>
          <w:sz w:val="20"/>
          <w:szCs w:val="20"/>
        </w:rPr>
        <w:t xml:space="preserve"> – Acórdão nº </w:t>
      </w:r>
      <w:r>
        <w:rPr>
          <w:rFonts w:ascii="Times New Roman" w:hAnsi="Times New Roman" w:cs="Times New Roman"/>
          <w:sz w:val="20"/>
          <w:szCs w:val="20"/>
        </w:rPr>
        <w:t>73.354</w:t>
      </w:r>
      <w:r w:rsidRPr="00035AA7">
        <w:rPr>
          <w:rFonts w:ascii="Times New Roman" w:hAnsi="Times New Roman" w:cs="Times New Roman"/>
          <w:sz w:val="20"/>
          <w:szCs w:val="20"/>
        </w:rPr>
        <w:t>/200</w:t>
      </w:r>
      <w:r>
        <w:rPr>
          <w:rFonts w:ascii="Times New Roman" w:hAnsi="Times New Roman" w:cs="Times New Roman"/>
          <w:sz w:val="20"/>
          <w:szCs w:val="20"/>
        </w:rPr>
        <w:t>8</w:t>
      </w:r>
      <w:proofErr w:type="gramStart"/>
      <w:r w:rsidRPr="00035AA7">
        <w:rPr>
          <w:rFonts w:ascii="Times New Roman" w:hAnsi="Times New Roman" w:cs="Times New Roman"/>
          <w:sz w:val="20"/>
          <w:szCs w:val="20"/>
        </w:rPr>
        <w:t xml:space="preserve"> </w:t>
      </w:r>
      <w:r w:rsidR="001F477D" w:rsidRPr="00035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F477D" w:rsidRPr="00035AA7">
        <w:rPr>
          <w:rFonts w:ascii="Times New Roman" w:hAnsi="Times New Roman" w:cs="Times New Roman"/>
          <w:sz w:val="20"/>
          <w:szCs w:val="20"/>
        </w:rPr>
        <w:t>– Segunda Câmara Cível – Rel. Des. MARCELO CARVALHO SILV</w:t>
      </w:r>
      <w:r w:rsidR="0022551D">
        <w:rPr>
          <w:rFonts w:ascii="Times New Roman" w:hAnsi="Times New Roman" w:cs="Times New Roman"/>
          <w:sz w:val="20"/>
          <w:szCs w:val="20"/>
        </w:rPr>
        <w:t>A – Julgamento 13/05/2008)</w:t>
      </w:r>
      <w:r w:rsidR="001F477D" w:rsidRPr="00035AA7">
        <w:rPr>
          <w:rFonts w:ascii="Times New Roman" w:hAnsi="Times New Roman" w:cs="Times New Roman"/>
          <w:sz w:val="20"/>
          <w:szCs w:val="20"/>
        </w:rPr>
        <w:t>.</w:t>
      </w:r>
    </w:p>
    <w:p w:rsidR="001F477D" w:rsidRDefault="001F477D" w:rsidP="00D5383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B4EB6" w:rsidRDefault="008760BD" w:rsidP="00EB4EB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262DDD">
        <w:rPr>
          <w:rFonts w:ascii="Times New Roman" w:hAnsi="Times New Roman" w:cs="Times New Roman"/>
          <w:sz w:val="24"/>
          <w:szCs w:val="24"/>
        </w:rPr>
        <w:t xml:space="preserve"> seu voto, </w:t>
      </w:r>
      <w:r w:rsidR="00EB4EB6">
        <w:rPr>
          <w:rFonts w:ascii="Times New Roman" w:hAnsi="Times New Roman" w:cs="Times New Roman"/>
          <w:sz w:val="24"/>
          <w:szCs w:val="24"/>
        </w:rPr>
        <w:t xml:space="preserve">o Des. Marcelo Carvalho Silva assevera </w:t>
      </w:r>
      <w:proofErr w:type="gramStart"/>
      <w:r w:rsidR="00EB4EB6">
        <w:rPr>
          <w:rFonts w:ascii="Times New Roman" w:hAnsi="Times New Roman" w:cs="Times New Roman"/>
          <w:sz w:val="24"/>
          <w:szCs w:val="24"/>
        </w:rPr>
        <w:t>que</w:t>
      </w:r>
      <w:proofErr w:type="gramEnd"/>
    </w:p>
    <w:p w:rsidR="00D53830" w:rsidRPr="00EB4EB6" w:rsidRDefault="00EB4EB6" w:rsidP="00EB4EB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B4EB6">
        <w:rPr>
          <w:rFonts w:ascii="Times New Roman" w:hAnsi="Times New Roman" w:cs="Times New Roman"/>
          <w:sz w:val="20"/>
          <w:szCs w:val="20"/>
        </w:rPr>
        <w:t>P</w:t>
      </w:r>
      <w:r w:rsidR="00D53830" w:rsidRPr="00EB4EB6">
        <w:rPr>
          <w:rFonts w:ascii="Times New Roman" w:hAnsi="Times New Roman" w:cs="Times New Roman"/>
          <w:sz w:val="20"/>
          <w:szCs w:val="20"/>
        </w:rPr>
        <w:t xml:space="preserve">redomina o entendimento de que as imunidades tributárias entre os entes federativos somente é aplicável quando a relação jurídico-tributária se instala </w:t>
      </w:r>
      <w:r w:rsidR="00D53830" w:rsidRPr="00EB4EB6">
        <w:rPr>
          <w:rFonts w:ascii="Times New Roman" w:hAnsi="Times New Roman" w:cs="Times New Roman"/>
          <w:sz w:val="20"/>
          <w:szCs w:val="20"/>
        </w:rPr>
        <w:lastRenderedPageBreak/>
        <w:t>entre pessoas de direito público. Consequentemente, a imunidade não se aplica aos impostos ditos indiretos, onde o Poder Público não é contribuinte de direito, mas mero contribuinte de fato.</w:t>
      </w:r>
    </w:p>
    <w:p w:rsidR="00EB5DF4" w:rsidRDefault="00D53830" w:rsidP="00EB5D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699">
        <w:rPr>
          <w:rFonts w:ascii="Times New Roman" w:hAnsi="Times New Roman" w:cs="Times New Roman"/>
          <w:sz w:val="24"/>
          <w:szCs w:val="24"/>
        </w:rPr>
        <w:t>O</w:t>
      </w:r>
      <w:r w:rsidR="00EB5DF4">
        <w:rPr>
          <w:rFonts w:ascii="Times New Roman" w:hAnsi="Times New Roman" w:cs="Times New Roman"/>
          <w:sz w:val="24"/>
          <w:szCs w:val="24"/>
        </w:rPr>
        <w:t xml:space="preserve"> mesmo entendimento foi esposado por esta Segunda </w:t>
      </w:r>
      <w:r w:rsidR="008760BD">
        <w:rPr>
          <w:rFonts w:ascii="Times New Roman" w:hAnsi="Times New Roman" w:cs="Times New Roman"/>
          <w:sz w:val="24"/>
          <w:szCs w:val="24"/>
        </w:rPr>
        <w:t xml:space="preserve">Câmara Cível do TJMA no julgamento do </w:t>
      </w:r>
      <w:r w:rsidR="008760BD" w:rsidRPr="008760BD">
        <w:rPr>
          <w:rFonts w:ascii="Times New Roman" w:hAnsi="Times New Roman" w:cs="Times New Roman"/>
          <w:sz w:val="24"/>
          <w:szCs w:val="24"/>
        </w:rPr>
        <w:t>AI nº 1743</w:t>
      </w:r>
      <w:r w:rsidR="008760BD">
        <w:rPr>
          <w:rFonts w:ascii="Times New Roman" w:hAnsi="Times New Roman" w:cs="Times New Roman"/>
          <w:sz w:val="24"/>
          <w:szCs w:val="24"/>
        </w:rPr>
        <w:t>2/2007</w:t>
      </w:r>
      <w:r w:rsidR="00EB5DF4">
        <w:rPr>
          <w:rFonts w:ascii="Times New Roman" w:hAnsi="Times New Roman" w:cs="Times New Roman"/>
          <w:sz w:val="24"/>
          <w:szCs w:val="24"/>
        </w:rPr>
        <w:t xml:space="preserve">, posicionando-se pela improcedência do pedido formulado pela autarquia federal. Observa-se que os dois casos guardam perfeita similitude. </w:t>
      </w:r>
    </w:p>
    <w:p w:rsidR="00B91E16" w:rsidRDefault="00EB5DF4" w:rsidP="00B91E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Segunda Câmara e</w:t>
      </w:r>
      <w:r w:rsidR="008760BD">
        <w:rPr>
          <w:rFonts w:ascii="Times New Roman" w:hAnsi="Times New Roman" w:cs="Times New Roman"/>
          <w:sz w:val="24"/>
          <w:szCs w:val="24"/>
        </w:rPr>
        <w:t>ntendeu que</w:t>
      </w:r>
      <w:r>
        <w:rPr>
          <w:rFonts w:ascii="Times New Roman" w:hAnsi="Times New Roman" w:cs="Times New Roman"/>
          <w:sz w:val="24"/>
          <w:szCs w:val="24"/>
        </w:rPr>
        <w:t xml:space="preserve"> não</w:t>
      </w:r>
      <w:r w:rsidR="008760BD">
        <w:rPr>
          <w:rFonts w:ascii="Times New Roman" w:hAnsi="Times New Roman" w:cs="Times New Roman"/>
          <w:sz w:val="24"/>
          <w:szCs w:val="24"/>
        </w:rPr>
        <w:t xml:space="preserve"> há razão para haver imunidade recíproca uma vez que o município consumidor de energia elétrica está tão somente pagando o serviço cobrado pelo fornecedor, a conce</w:t>
      </w:r>
      <w:r>
        <w:rPr>
          <w:rFonts w:ascii="Times New Roman" w:hAnsi="Times New Roman" w:cs="Times New Roman"/>
          <w:sz w:val="24"/>
          <w:szCs w:val="24"/>
        </w:rPr>
        <w:t>ssionária de serviços públicos</w:t>
      </w:r>
      <w:r w:rsidR="008760BD">
        <w:rPr>
          <w:rFonts w:ascii="Times New Roman" w:hAnsi="Times New Roman" w:cs="Times New Roman"/>
          <w:sz w:val="24"/>
          <w:szCs w:val="24"/>
        </w:rPr>
        <w:t xml:space="preserve">. Ressalte-se que, conforme o entendimento do Des. Marcelo Carvalho Silva, a tributação incidente não ofende o pacto federativo. </w:t>
      </w:r>
    </w:p>
    <w:p w:rsidR="00B91E16" w:rsidRDefault="00B91E16" w:rsidP="00B91E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91E16" w:rsidRPr="00B91E16" w:rsidRDefault="00B91E16" w:rsidP="00B91E1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Ementa: PROCESSO </w:t>
      </w:r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CIVIL.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RIBUTÁRIO.</w:t>
      </w:r>
      <w:r w:rsidR="00BD33B9"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D33B9" w:rsidRPr="00B91E1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IMUNIDADE</w:t>
      </w:r>
      <w:r w:rsidR="00BD33B9"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TRIBUTÁRIA. MANDADO DE SEGURANÇA IMPETRADO POR AUTARQUIA FUNDACIONAL FEDERAL CONTRA AUTORIDADE ESTADUAL. COMPETÊNCIA DA JUSTIÇA FEDERAL. INCIDÊNCIA DE ICMS SOBRE SERVIÇOS DE ENERGIA ELÉTRICA, ÁGUA E TELEFONIA. POSSIBILIDADE.</w:t>
      </w:r>
      <w:r w:rsidR="00BD33B9" w:rsidRPr="00B91E16">
        <w:rPr>
          <w:rFonts w:ascii="Times New Roman" w:hAnsi="Times New Roman" w:cs="Times New Roman"/>
          <w:sz w:val="20"/>
          <w:szCs w:val="20"/>
        </w:rPr>
        <w:br/>
      </w:r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A competência para julgamento de mandado de segurança impetrado por autarquia federal é da Justiça Federal (art. 109, I, da CF), ainda que o ato coator seja imputado </w:t>
      </w:r>
      <w:proofErr w:type="gramStart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proofErr w:type="gramEnd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autoridade estadual. (CC 200601841830, </w:t>
      </w:r>
      <w:proofErr w:type="spellStart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Teori</w:t>
      </w:r>
      <w:proofErr w:type="spellEnd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Albino Zavascki, STJ - Primeira Seção, DJ 16/04/2007 p. 00155.</w:t>
      </w:r>
      <w:proofErr w:type="gramStart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proofErr w:type="gramEnd"/>
      <w:r w:rsidR="00BD33B9"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D33B9" w:rsidRDefault="00BD33B9" w:rsidP="00B91E1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2. Conquanto a</w:t>
      </w:r>
      <w:r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91E1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imunidade</w:t>
      </w:r>
      <w:r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tributária</w:t>
      </w:r>
      <w:r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91E1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recíproca</w:t>
      </w:r>
      <w:r w:rsidRPr="00B91E1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seja extensiva às autarquias e às fundações instituídas e mantidas pelo Poder Público (artigo 150, VI e § 2º, da CF/88), o benefício não alcança a exação incidente sobre os preços cobrados por concessionárias, em decorrência da prestação de serviços públicos de água, energia elétrica e telefonia. Precedente desta Corte Federal: AMS 199935000218570, Desembargador Federal Antônio Ezequiel da Silva, TRF1 - Sétima Turma, DJ 23/03/2007, pág. 56.</w:t>
      </w:r>
      <w:r w:rsidRPr="00B91E16">
        <w:rPr>
          <w:rFonts w:ascii="Times New Roman" w:hAnsi="Times New Roman" w:cs="Times New Roman"/>
          <w:sz w:val="20"/>
          <w:szCs w:val="20"/>
        </w:rPr>
        <w:br/>
      </w:r>
      <w:r w:rsidRPr="00B91E16">
        <w:rPr>
          <w:rFonts w:ascii="Times New Roman" w:hAnsi="Times New Roman" w:cs="Times New Roman"/>
          <w:sz w:val="20"/>
          <w:szCs w:val="20"/>
          <w:shd w:val="clear" w:color="auto" w:fill="FFFFFF"/>
        </w:rPr>
        <w:t>3. Remessa oficial provida e apelação da Universidade Federal do Maranhão parcialmente provida. </w:t>
      </w:r>
    </w:p>
    <w:p w:rsidR="001A3914" w:rsidRPr="00035AA7" w:rsidRDefault="001A3914" w:rsidP="001A391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A3914">
        <w:rPr>
          <w:rFonts w:ascii="Times New Roman" w:hAnsi="Times New Roman" w:cs="Times New Roman"/>
          <w:sz w:val="20"/>
          <w:szCs w:val="20"/>
        </w:rPr>
        <w:t xml:space="preserve">(AC 1999.37.01.001066-1/MA, Rel. Juiz Federal Fausto </w:t>
      </w:r>
      <w:proofErr w:type="spellStart"/>
      <w:r w:rsidRPr="001A3914">
        <w:rPr>
          <w:rFonts w:ascii="Times New Roman" w:hAnsi="Times New Roman" w:cs="Times New Roman"/>
          <w:sz w:val="20"/>
          <w:szCs w:val="20"/>
        </w:rPr>
        <w:t>Mendanha</w:t>
      </w:r>
      <w:proofErr w:type="spellEnd"/>
      <w:r w:rsidRPr="001A3914">
        <w:rPr>
          <w:rFonts w:ascii="Times New Roman" w:hAnsi="Times New Roman" w:cs="Times New Roman"/>
          <w:sz w:val="20"/>
          <w:szCs w:val="20"/>
        </w:rPr>
        <w:t xml:space="preserve"> Gonzaga, 6ª Turma </w:t>
      </w:r>
      <w:proofErr w:type="gramStart"/>
      <w:r w:rsidRPr="001A3914">
        <w:rPr>
          <w:rFonts w:ascii="Times New Roman" w:hAnsi="Times New Roman" w:cs="Times New Roman"/>
          <w:sz w:val="20"/>
          <w:szCs w:val="20"/>
        </w:rPr>
        <w:t>Suplementar,</w:t>
      </w:r>
      <w:proofErr w:type="gramEnd"/>
      <w:r w:rsidRPr="001A3914">
        <w:rPr>
          <w:rFonts w:ascii="Times New Roman" w:hAnsi="Times New Roman" w:cs="Times New Roman"/>
          <w:sz w:val="20"/>
          <w:szCs w:val="20"/>
        </w:rPr>
        <w:t>e-DJF1 p.319 de 06/06/2012)</w:t>
      </w:r>
    </w:p>
    <w:p w:rsidR="0044314D" w:rsidRDefault="0044314D" w:rsidP="001A39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60BD" w:rsidRPr="001A3914" w:rsidRDefault="0044314D" w:rsidP="001A39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Ainda assim, </w:t>
      </w:r>
      <w:r w:rsidR="006D4699">
        <w:rPr>
          <w:rFonts w:ascii="Times New Roman" w:hAnsi="Times New Roman" w:cs="Times New Roman"/>
          <w:sz w:val="24"/>
          <w:szCs w:val="24"/>
        </w:rPr>
        <w:t>cumpre destacar que o entendimento do TJMA está em consonância com o do Supremo Tribunal Federal, conforme se vê:</w:t>
      </w:r>
    </w:p>
    <w:p w:rsidR="006D4699" w:rsidRDefault="006D4699" w:rsidP="006D4699">
      <w:pPr>
        <w:pStyle w:val="NormalWeb"/>
        <w:spacing w:before="0" w:beforeAutospacing="0" w:after="0" w:afterAutospacing="0"/>
        <w:ind w:left="2268"/>
        <w:jc w:val="both"/>
        <w:textAlignment w:val="top"/>
        <w:rPr>
          <w:bCs/>
          <w:sz w:val="20"/>
          <w:szCs w:val="20"/>
          <w:shd w:val="clear" w:color="auto" w:fill="FFFFFF"/>
        </w:rPr>
      </w:pPr>
      <w:r w:rsidRPr="006D4699">
        <w:rPr>
          <w:bCs/>
          <w:sz w:val="20"/>
          <w:szCs w:val="20"/>
          <w:shd w:val="clear" w:color="auto" w:fill="FFFFFF"/>
        </w:rPr>
        <w:t>Ementa: TRIBUTÁRIO.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ICMS.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SERVIÇOS DE ENERGIA ELÉTRICA. MUNICÍPIO. CONTRIBUINTE DE FATO.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IMUNIDADE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>
        <w:rPr>
          <w:bCs/>
          <w:sz w:val="20"/>
          <w:szCs w:val="20"/>
          <w:shd w:val="clear" w:color="auto" w:fill="FFFFFF"/>
        </w:rPr>
        <w:t>RECÍPROCA. ART. 150</w:t>
      </w:r>
      <w:proofErr w:type="gramStart"/>
      <w:r>
        <w:rPr>
          <w:bCs/>
          <w:sz w:val="20"/>
          <w:szCs w:val="20"/>
          <w:shd w:val="clear" w:color="auto" w:fill="FFFFFF"/>
        </w:rPr>
        <w:t xml:space="preserve">, </w:t>
      </w:r>
      <w:r w:rsidRPr="006D4699">
        <w:rPr>
          <w:bCs/>
          <w:sz w:val="20"/>
          <w:szCs w:val="20"/>
          <w:shd w:val="clear" w:color="auto" w:fill="FFFFFF"/>
        </w:rPr>
        <w:t>VI</w:t>
      </w:r>
      <w:proofErr w:type="gramEnd"/>
      <w:r w:rsidRPr="006D4699">
        <w:rPr>
          <w:bCs/>
          <w:sz w:val="20"/>
          <w:szCs w:val="20"/>
          <w:shd w:val="clear" w:color="auto" w:fill="FFFFFF"/>
        </w:rPr>
        <w:t xml:space="preserve">, A, DA CONSTITUIÇÃO. INAPLICABILIDADE. AGRAVO IMPROVIDO. </w:t>
      </w:r>
    </w:p>
    <w:p w:rsidR="006D4699" w:rsidRDefault="006D4699" w:rsidP="006D4699">
      <w:pPr>
        <w:pStyle w:val="NormalWeb"/>
        <w:spacing w:before="0" w:beforeAutospacing="0" w:after="0" w:afterAutospacing="0"/>
        <w:ind w:left="2268"/>
        <w:jc w:val="both"/>
        <w:textAlignment w:val="top"/>
        <w:rPr>
          <w:bCs/>
          <w:sz w:val="20"/>
          <w:szCs w:val="20"/>
          <w:shd w:val="clear" w:color="auto" w:fill="FFFFFF"/>
        </w:rPr>
      </w:pPr>
      <w:r w:rsidRPr="006D4699">
        <w:rPr>
          <w:bCs/>
          <w:sz w:val="20"/>
          <w:szCs w:val="20"/>
          <w:shd w:val="clear" w:color="auto" w:fill="FFFFFF"/>
        </w:rPr>
        <w:t>I - A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imunidade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do art. 150</w:t>
      </w:r>
      <w:proofErr w:type="gramStart"/>
      <w:r w:rsidRPr="006D4699">
        <w:rPr>
          <w:bCs/>
          <w:sz w:val="20"/>
          <w:szCs w:val="20"/>
          <w:shd w:val="clear" w:color="auto" w:fill="FFFFFF"/>
        </w:rPr>
        <w:t>, VI</w:t>
      </w:r>
      <w:proofErr w:type="gramEnd"/>
      <w:r w:rsidRPr="006D4699">
        <w:rPr>
          <w:bCs/>
          <w:sz w:val="20"/>
          <w:szCs w:val="20"/>
          <w:shd w:val="clear" w:color="auto" w:fill="FFFFFF"/>
        </w:rPr>
        <w:t xml:space="preserve">, a, da Constituição somente se aplica ao imposto incidente sobre serviço, patrimônio ou renda do próprio ente beneficiado, na qualidade de contribuinte de direito. </w:t>
      </w:r>
    </w:p>
    <w:p w:rsidR="006D4699" w:rsidRDefault="006D4699" w:rsidP="006D4699">
      <w:pPr>
        <w:pStyle w:val="NormalWeb"/>
        <w:spacing w:before="0" w:beforeAutospacing="0" w:after="0" w:afterAutospacing="0"/>
        <w:ind w:left="2268"/>
        <w:jc w:val="both"/>
        <w:textAlignment w:val="top"/>
        <w:rPr>
          <w:bCs/>
          <w:sz w:val="20"/>
          <w:szCs w:val="20"/>
          <w:shd w:val="clear" w:color="auto" w:fill="FFFFFF"/>
        </w:rPr>
      </w:pPr>
      <w:r w:rsidRPr="006D4699">
        <w:rPr>
          <w:bCs/>
          <w:sz w:val="20"/>
          <w:szCs w:val="20"/>
          <w:shd w:val="clear" w:color="auto" w:fill="FFFFFF"/>
        </w:rPr>
        <w:t>II - Como o Município não é contribuinte de direito do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6D4699">
        <w:rPr>
          <w:bCs/>
          <w:sz w:val="20"/>
          <w:szCs w:val="20"/>
          <w:shd w:val="clear" w:color="auto" w:fill="FFFFFF"/>
        </w:rPr>
        <w:t>ICMS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relativo a serviços de energia elétrica, não tem o benefício da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>imunidade</w:t>
      </w:r>
      <w:r w:rsidRPr="006D4699">
        <w:rPr>
          <w:rStyle w:val="apple-converted-space"/>
          <w:rFonts w:eastAsia="Calibri"/>
          <w:bCs/>
          <w:sz w:val="20"/>
          <w:szCs w:val="20"/>
          <w:shd w:val="clear" w:color="auto" w:fill="FFFFFF"/>
        </w:rPr>
        <w:t> </w:t>
      </w:r>
      <w:r w:rsidRPr="006D4699">
        <w:rPr>
          <w:bCs/>
          <w:sz w:val="20"/>
          <w:szCs w:val="20"/>
          <w:shd w:val="clear" w:color="auto" w:fill="FFFFFF"/>
        </w:rPr>
        <w:t xml:space="preserve">em questão, uma vez que esta não alcança o contribuinte de fato. Precedentes. </w:t>
      </w:r>
    </w:p>
    <w:p w:rsidR="006D4699" w:rsidRDefault="006D4699" w:rsidP="006D4699">
      <w:pPr>
        <w:pStyle w:val="NormalWeb"/>
        <w:spacing w:before="0" w:beforeAutospacing="0" w:after="0" w:afterAutospacing="0"/>
        <w:ind w:left="2268"/>
        <w:jc w:val="both"/>
        <w:textAlignment w:val="top"/>
        <w:rPr>
          <w:bCs/>
          <w:sz w:val="20"/>
          <w:szCs w:val="20"/>
          <w:shd w:val="clear" w:color="auto" w:fill="FFFFFF"/>
        </w:rPr>
      </w:pPr>
      <w:r w:rsidRPr="006D4699">
        <w:rPr>
          <w:bCs/>
          <w:sz w:val="20"/>
          <w:szCs w:val="20"/>
          <w:shd w:val="clear" w:color="auto" w:fill="FFFFFF"/>
        </w:rPr>
        <w:t xml:space="preserve">III – Agravo regimental </w:t>
      </w:r>
      <w:proofErr w:type="spellStart"/>
      <w:r w:rsidRPr="006D4699">
        <w:rPr>
          <w:bCs/>
          <w:sz w:val="20"/>
          <w:szCs w:val="20"/>
          <w:shd w:val="clear" w:color="auto" w:fill="FFFFFF"/>
        </w:rPr>
        <w:t>improvido</w:t>
      </w:r>
      <w:proofErr w:type="spellEnd"/>
      <w:r w:rsidRPr="006D4699">
        <w:rPr>
          <w:bCs/>
          <w:sz w:val="20"/>
          <w:szCs w:val="20"/>
          <w:shd w:val="clear" w:color="auto" w:fill="FFFFFF"/>
        </w:rPr>
        <w:t>.</w:t>
      </w:r>
    </w:p>
    <w:p w:rsidR="006D4699" w:rsidRPr="006D4699" w:rsidRDefault="006D4699" w:rsidP="006D4699">
      <w:pPr>
        <w:pStyle w:val="NormalWeb"/>
        <w:spacing w:before="0" w:beforeAutospacing="0" w:after="0" w:afterAutospacing="0"/>
        <w:ind w:left="2268"/>
        <w:jc w:val="both"/>
        <w:textAlignment w:val="top"/>
        <w:rPr>
          <w:bCs/>
          <w:sz w:val="20"/>
          <w:szCs w:val="20"/>
          <w:shd w:val="clear" w:color="auto" w:fill="FFFFFF"/>
        </w:rPr>
      </w:pPr>
      <w:r w:rsidRPr="006D4699">
        <w:rPr>
          <w:color w:val="000000"/>
          <w:sz w:val="20"/>
          <w:szCs w:val="20"/>
        </w:rPr>
        <w:lastRenderedPageBreak/>
        <w:t xml:space="preserve">(ARE 663552 </w:t>
      </w:r>
      <w:proofErr w:type="spellStart"/>
      <w:proofErr w:type="gramStart"/>
      <w:r w:rsidRPr="006D4699">
        <w:rPr>
          <w:color w:val="000000"/>
          <w:sz w:val="20"/>
          <w:szCs w:val="20"/>
        </w:rPr>
        <w:t>AgR</w:t>
      </w:r>
      <w:proofErr w:type="spellEnd"/>
      <w:proofErr w:type="gramEnd"/>
      <w:r w:rsidRPr="006D4699">
        <w:rPr>
          <w:color w:val="000000"/>
          <w:sz w:val="20"/>
          <w:szCs w:val="20"/>
        </w:rPr>
        <w:t xml:space="preserve">, Relator(a):  Min. RICARDO LEWANDOWSKI, Segunda Turma, julgado em 28/02/2012, ACÓRDÃO ELETRÔNICO </w:t>
      </w:r>
      <w:proofErr w:type="spellStart"/>
      <w:r w:rsidRPr="006D4699">
        <w:rPr>
          <w:color w:val="000000"/>
          <w:sz w:val="20"/>
          <w:szCs w:val="20"/>
        </w:rPr>
        <w:t>DJe</w:t>
      </w:r>
      <w:proofErr w:type="spellEnd"/>
      <w:r w:rsidRPr="006D4699">
        <w:rPr>
          <w:color w:val="000000"/>
          <w:sz w:val="20"/>
          <w:szCs w:val="20"/>
        </w:rPr>
        <w:t>-051 DIVULG 09-03-2012 PUBLIC 12-03-2012 RET v. 14, n. 84, 2012, p. 121-123)</w:t>
      </w:r>
    </w:p>
    <w:p w:rsidR="006D4699" w:rsidRDefault="006D4699" w:rsidP="008760B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0769B" w:rsidRDefault="006D4699" w:rsidP="00B83244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o</w:t>
      </w:r>
      <w:r w:rsidR="008767A9" w:rsidRPr="006D4699">
        <w:rPr>
          <w:rFonts w:ascii="Times New Roman" w:eastAsia="Calibri" w:hAnsi="Times New Roman" w:cs="Times New Roman"/>
          <w:sz w:val="24"/>
          <w:szCs w:val="24"/>
        </w:rPr>
        <w:t xml:space="preserve"> privilégio da imunidade tributária de que trata o art. 150,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7A9" w:rsidRPr="006D4699">
        <w:rPr>
          <w:rFonts w:ascii="Times New Roman" w:eastAsia="Calibri" w:hAnsi="Times New Roman" w:cs="Times New Roman"/>
          <w:sz w:val="24"/>
          <w:szCs w:val="24"/>
        </w:rPr>
        <w:t xml:space="preserve">VI, da  Constituição Federal não alcança </w:t>
      </w:r>
      <w:r w:rsidRPr="006D4699">
        <w:rPr>
          <w:rFonts w:ascii="Times New Roman" w:eastAsia="Calibri" w:hAnsi="Times New Roman" w:cs="Times New Roman"/>
          <w:sz w:val="24"/>
          <w:szCs w:val="24"/>
        </w:rPr>
        <w:t xml:space="preserve">o contribuinte de fato como nos casos acima expostos. </w:t>
      </w:r>
      <w:r w:rsidR="00B83244">
        <w:rPr>
          <w:rFonts w:ascii="Times New Roman" w:eastAsia="Calibri" w:hAnsi="Times New Roman" w:cs="Times New Roman"/>
          <w:sz w:val="24"/>
          <w:szCs w:val="24"/>
        </w:rPr>
        <w:t>Desta feita, os Municípios não fazem jus à imunidade tributária recíproca, em razão de que esta alcança tão somente os contribuintes de direito.</w:t>
      </w:r>
    </w:p>
    <w:p w:rsidR="0044314D" w:rsidRDefault="0044314D" w:rsidP="0044314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 fim, n</w:t>
      </w:r>
      <w:r>
        <w:rPr>
          <w:rFonts w:ascii="Times New Roman" w:hAnsi="Times New Roman" w:cs="Times New Roman"/>
          <w:sz w:val="24"/>
          <w:szCs w:val="24"/>
        </w:rPr>
        <w:t xml:space="preserve">o que concerne a imunidade recíproca e os impostos indiretos, apenas essas jurisprudências foram encontradas nos sites do TJMA e no TRF1. </w:t>
      </w:r>
      <w:proofErr w:type="gramStart"/>
      <w:r>
        <w:rPr>
          <w:rFonts w:ascii="Times New Roman" w:hAnsi="Times New Roman" w:cs="Times New Roman"/>
          <w:sz w:val="24"/>
          <w:szCs w:val="24"/>
        </w:rPr>
        <w:t>Foram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pesquisadas com as palavras “imunidade recíproca” “imunidade tributária recíproca MA”. </w:t>
      </w:r>
    </w:p>
    <w:p w:rsidR="00B83244" w:rsidRDefault="00B83244" w:rsidP="00B83244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14D" w:rsidRDefault="0044314D" w:rsidP="00574A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A57" w:rsidRPr="00574A57" w:rsidRDefault="00574A57" w:rsidP="00574A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A57">
        <w:rPr>
          <w:rFonts w:ascii="Times New Roman" w:hAnsi="Times New Roman" w:cs="Times New Roman"/>
          <w:b/>
          <w:sz w:val="24"/>
          <w:szCs w:val="24"/>
        </w:rPr>
        <w:t>REFER</w:t>
      </w:r>
      <w:r>
        <w:rPr>
          <w:rFonts w:ascii="Times New Roman" w:hAnsi="Times New Roman" w:cs="Times New Roman"/>
          <w:b/>
          <w:sz w:val="24"/>
          <w:szCs w:val="24"/>
        </w:rPr>
        <w:t>Ê</w:t>
      </w:r>
      <w:r w:rsidRPr="00574A57">
        <w:rPr>
          <w:rFonts w:ascii="Times New Roman" w:hAnsi="Times New Roman" w:cs="Times New Roman"/>
          <w:b/>
          <w:sz w:val="24"/>
          <w:szCs w:val="24"/>
        </w:rPr>
        <w:t xml:space="preserve">NCIAS </w:t>
      </w:r>
    </w:p>
    <w:p w:rsidR="00574A57" w:rsidRPr="007833B5" w:rsidRDefault="00574A57" w:rsidP="0078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B5">
        <w:rPr>
          <w:rFonts w:ascii="Times New Roman" w:hAnsi="Times New Roman" w:cs="Times New Roman"/>
          <w:sz w:val="24"/>
          <w:szCs w:val="24"/>
        </w:rPr>
        <w:t xml:space="preserve">SILVA, Edgard Neves </w:t>
      </w:r>
      <w:proofErr w:type="spellStart"/>
      <w:proofErr w:type="gramStart"/>
      <w:r w:rsidRPr="007833B5"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 w:rsidRPr="007833B5">
        <w:rPr>
          <w:rFonts w:ascii="Times New Roman" w:hAnsi="Times New Roman" w:cs="Times New Roman"/>
          <w:sz w:val="24"/>
          <w:szCs w:val="24"/>
        </w:rPr>
        <w:t xml:space="preserve"> </w:t>
      </w:r>
      <w:r w:rsidRPr="007833B5">
        <w:rPr>
          <w:rFonts w:ascii="Times New Roman" w:hAnsi="Times New Roman" w:cs="Times New Roman"/>
          <w:b/>
          <w:sz w:val="24"/>
          <w:szCs w:val="24"/>
        </w:rPr>
        <w:t>Imunidade e isenção</w:t>
      </w:r>
      <w:r w:rsidRPr="007833B5">
        <w:rPr>
          <w:rFonts w:ascii="Times New Roman" w:hAnsi="Times New Roman" w:cs="Times New Roman"/>
          <w:sz w:val="24"/>
          <w:szCs w:val="24"/>
        </w:rPr>
        <w:t xml:space="preserve">. In: MARTINS, Ives </w:t>
      </w:r>
      <w:proofErr w:type="spellStart"/>
      <w:r w:rsidRPr="007833B5">
        <w:rPr>
          <w:rFonts w:ascii="Times New Roman" w:hAnsi="Times New Roman" w:cs="Times New Roman"/>
          <w:sz w:val="24"/>
          <w:szCs w:val="24"/>
        </w:rPr>
        <w:t>Granda</w:t>
      </w:r>
      <w:proofErr w:type="spellEnd"/>
      <w:r w:rsidRPr="007833B5">
        <w:rPr>
          <w:rFonts w:ascii="Times New Roman" w:hAnsi="Times New Roman" w:cs="Times New Roman"/>
          <w:sz w:val="24"/>
          <w:szCs w:val="24"/>
        </w:rPr>
        <w:t xml:space="preserve"> da Silva (coord.). </w:t>
      </w:r>
      <w:r w:rsidRPr="007833B5">
        <w:rPr>
          <w:rFonts w:ascii="Times New Roman" w:hAnsi="Times New Roman" w:cs="Times New Roman"/>
          <w:b/>
          <w:iCs/>
          <w:sz w:val="24"/>
          <w:szCs w:val="24"/>
        </w:rPr>
        <w:t>Curso de direito tributário</w:t>
      </w:r>
      <w:r w:rsidRPr="007833B5">
        <w:rPr>
          <w:rFonts w:ascii="Times New Roman" w:hAnsi="Times New Roman" w:cs="Times New Roman"/>
          <w:sz w:val="24"/>
          <w:szCs w:val="24"/>
        </w:rPr>
        <w:t xml:space="preserve">. 12. </w:t>
      </w:r>
      <w:proofErr w:type="gramStart"/>
      <w:r w:rsidRPr="007833B5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7833B5">
        <w:rPr>
          <w:rFonts w:ascii="Times New Roman" w:hAnsi="Times New Roman" w:cs="Times New Roman"/>
          <w:sz w:val="24"/>
          <w:szCs w:val="24"/>
        </w:rPr>
        <w:t xml:space="preserve"> São Paulo: Saraiva, 2010.</w:t>
      </w:r>
    </w:p>
    <w:p w:rsidR="00574A57" w:rsidRPr="007833B5" w:rsidRDefault="00574A57" w:rsidP="0078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065" w:rsidRDefault="00DB56E7" w:rsidP="00DB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MELO, José Eduardo Soares. </w:t>
      </w:r>
      <w:r w:rsidRPr="00DB56E7">
        <w:rPr>
          <w:rFonts w:ascii="Times New Roman" w:hAnsi="Times New Roman" w:cs="Times New Roman"/>
          <w:b/>
          <w:sz w:val="24"/>
          <w:szCs w:val="24"/>
        </w:rPr>
        <w:t>Curso de Direito Tributário</w:t>
      </w:r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ver. </w:t>
      </w:r>
      <w:proofErr w:type="gramStart"/>
      <w:r>
        <w:rPr>
          <w:rFonts w:ascii="Times New Roman" w:hAnsi="Times New Roman" w:cs="Times New Roman"/>
          <w:sz w:val="24"/>
          <w:szCs w:val="24"/>
        </w:rPr>
        <w:t>atual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São Paulo: Dialética, 2007.  </w:t>
      </w:r>
    </w:p>
    <w:p w:rsidR="00DB56E7" w:rsidRDefault="00DB56E7" w:rsidP="00DB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Hugo de Brito. </w:t>
      </w:r>
      <w:r w:rsidRPr="00DB56E7">
        <w:rPr>
          <w:rFonts w:ascii="Times New Roman" w:hAnsi="Times New Roman" w:cs="Times New Roman"/>
          <w:b/>
          <w:sz w:val="24"/>
          <w:szCs w:val="24"/>
        </w:rPr>
        <w:t>Curso de Direito Tributário</w:t>
      </w:r>
      <w:r>
        <w:rPr>
          <w:rFonts w:ascii="Times New Roman" w:hAnsi="Times New Roman" w:cs="Times New Roman"/>
          <w:sz w:val="24"/>
          <w:szCs w:val="24"/>
        </w:rPr>
        <w:t xml:space="preserve">. 25.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ver. </w:t>
      </w:r>
      <w:proofErr w:type="gramStart"/>
      <w:r>
        <w:rPr>
          <w:rFonts w:ascii="Times New Roman" w:hAnsi="Times New Roman" w:cs="Times New Roman"/>
          <w:sz w:val="24"/>
          <w:szCs w:val="24"/>
        </w:rPr>
        <w:t>atual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São Paulo: Malheiros, </w:t>
      </w:r>
      <w:proofErr w:type="gramStart"/>
      <w:r>
        <w:rPr>
          <w:rFonts w:ascii="Times New Roman" w:hAnsi="Times New Roman" w:cs="Times New Roman"/>
          <w:sz w:val="24"/>
          <w:szCs w:val="24"/>
        </w:rPr>
        <w:t>2004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CB3" w:rsidRDefault="00783CB3" w:rsidP="00DB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NOGUEIRA, Eduardo Araujo. </w:t>
      </w:r>
      <w:r w:rsidRPr="00783CB3">
        <w:rPr>
          <w:rFonts w:ascii="Times New Roman" w:hAnsi="Times New Roman" w:cs="Times New Roman"/>
          <w:b/>
          <w:sz w:val="24"/>
          <w:szCs w:val="24"/>
        </w:rPr>
        <w:t>O princípio da capacidade contributiva no Direito Tributário Brasileiro</w:t>
      </w:r>
      <w:r>
        <w:rPr>
          <w:rFonts w:ascii="Times New Roman" w:hAnsi="Times New Roman" w:cs="Times New Roman"/>
          <w:sz w:val="24"/>
          <w:szCs w:val="24"/>
        </w:rPr>
        <w:t>. UNIFOR. Fortaleza, Maio, 2004. Disponível em: &lt;</w:t>
      </w:r>
      <w:r w:rsidRPr="00783CB3">
        <w:rPr>
          <w:rFonts w:ascii="Times New Roman" w:hAnsi="Times New Roman" w:cs="Times New Roman"/>
          <w:sz w:val="24"/>
          <w:szCs w:val="24"/>
        </w:rPr>
        <w:t>http://www.sefaz.ce.gov.br/content/aplicacao/internet/monografias/gerados/eduardo%20araujo%</w:t>
      </w:r>
      <w:proofErr w:type="gramStart"/>
      <w:r w:rsidRPr="00783CB3">
        <w:rPr>
          <w:rFonts w:ascii="Times New Roman" w:hAnsi="Times New Roman" w:cs="Times New Roman"/>
          <w:sz w:val="24"/>
          <w:szCs w:val="24"/>
        </w:rPr>
        <w:t>20nogueira.</w:t>
      </w:r>
      <w:proofErr w:type="gramEnd"/>
      <w:r w:rsidRPr="00783CB3">
        <w:rPr>
          <w:rFonts w:ascii="Times New Roman" w:hAnsi="Times New Roman" w:cs="Times New Roman"/>
          <w:sz w:val="24"/>
          <w:szCs w:val="24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&gt; Acesso em: &lt;06.Nov. 2012&gt; </w:t>
      </w:r>
    </w:p>
    <w:p w:rsidR="006D4699" w:rsidRDefault="006D4699" w:rsidP="00DB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699" w:rsidRPr="00DC2065" w:rsidRDefault="006D4699" w:rsidP="00DB5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699" w:rsidRPr="00DC2065" w:rsidSect="009D62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A8" w:rsidRDefault="00032DA8" w:rsidP="004249A5">
      <w:pPr>
        <w:spacing w:after="0" w:line="240" w:lineRule="auto"/>
      </w:pPr>
      <w:r>
        <w:separator/>
      </w:r>
    </w:p>
  </w:endnote>
  <w:endnote w:type="continuationSeparator" w:id="0">
    <w:p w:rsidR="00032DA8" w:rsidRDefault="00032DA8" w:rsidP="0042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A8" w:rsidRDefault="00032DA8" w:rsidP="004249A5">
      <w:pPr>
        <w:spacing w:after="0" w:line="240" w:lineRule="auto"/>
      </w:pPr>
      <w:r>
        <w:separator/>
      </w:r>
    </w:p>
  </w:footnote>
  <w:footnote w:type="continuationSeparator" w:id="0">
    <w:p w:rsidR="00032DA8" w:rsidRDefault="00032DA8" w:rsidP="004249A5">
      <w:pPr>
        <w:spacing w:after="0" w:line="240" w:lineRule="auto"/>
      </w:pPr>
      <w:r>
        <w:continuationSeparator/>
      </w:r>
    </w:p>
  </w:footnote>
  <w:footnote w:id="1">
    <w:p w:rsidR="008D7871" w:rsidRDefault="008D787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00502">
        <w:rPr>
          <w:rFonts w:ascii="Times New Roman" w:hAnsi="Times New Roman" w:cs="Times New Roman"/>
        </w:rPr>
        <w:t xml:space="preserve">Artigo desenvolvido para obtenção de nota relativa à disciplina de Direito </w:t>
      </w:r>
      <w:r>
        <w:rPr>
          <w:rFonts w:ascii="Times New Roman" w:hAnsi="Times New Roman" w:cs="Times New Roman"/>
        </w:rPr>
        <w:t>Tributário I ministrado pelo</w:t>
      </w:r>
      <w:r w:rsidRPr="00500502">
        <w:rPr>
          <w:rFonts w:ascii="Times New Roman" w:hAnsi="Times New Roman" w:cs="Times New Roman"/>
        </w:rPr>
        <w:t xml:space="preserve"> professor</w:t>
      </w:r>
      <w:r>
        <w:rPr>
          <w:rFonts w:ascii="Times New Roman" w:hAnsi="Times New Roman" w:cs="Times New Roman"/>
        </w:rPr>
        <w:t xml:space="preserve"> Fabiano Ferreira Lopes.</w:t>
      </w:r>
    </w:p>
  </w:footnote>
  <w:footnote w:id="2">
    <w:p w:rsidR="008D7871" w:rsidRDefault="008D7871" w:rsidP="004249A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Graduandas</w:t>
      </w:r>
      <w:proofErr w:type="spellEnd"/>
      <w:r>
        <w:rPr>
          <w:rFonts w:ascii="Times New Roman" w:hAnsi="Times New Roman" w:cs="Times New Roman"/>
        </w:rPr>
        <w:t xml:space="preserve"> do 7° período do curso de Direito da Unidade de Ensino Superior Dom Bosco – UNDB.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8446"/>
      <w:docPartObj>
        <w:docPartGallery w:val="Page Numbers (Top of Page)"/>
        <w:docPartUnique/>
      </w:docPartObj>
    </w:sdtPr>
    <w:sdtContent>
      <w:p w:rsidR="008D7871" w:rsidRDefault="00E14782">
        <w:pPr>
          <w:pStyle w:val="Cabealho"/>
          <w:jc w:val="right"/>
        </w:pPr>
        <w:fldSimple w:instr=" PAGE   \* MERGEFORMAT ">
          <w:r w:rsidR="00783CB3">
            <w:rPr>
              <w:noProof/>
            </w:rPr>
            <w:t>8</w:t>
          </w:r>
        </w:fldSimple>
      </w:p>
    </w:sdtContent>
  </w:sdt>
  <w:p w:rsidR="008D7871" w:rsidRDefault="008D78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065"/>
    <w:rsid w:val="000040A8"/>
    <w:rsid w:val="00032DA8"/>
    <w:rsid w:val="000724B2"/>
    <w:rsid w:val="000C7FF2"/>
    <w:rsid w:val="001065E7"/>
    <w:rsid w:val="0014000D"/>
    <w:rsid w:val="001A3914"/>
    <w:rsid w:val="001E6959"/>
    <w:rsid w:val="001F477D"/>
    <w:rsid w:val="0022551D"/>
    <w:rsid w:val="002430DF"/>
    <w:rsid w:val="00262DDD"/>
    <w:rsid w:val="00295C86"/>
    <w:rsid w:val="002E46F3"/>
    <w:rsid w:val="002F7AFE"/>
    <w:rsid w:val="0033394E"/>
    <w:rsid w:val="0035530C"/>
    <w:rsid w:val="00355F3E"/>
    <w:rsid w:val="00375099"/>
    <w:rsid w:val="003A16EF"/>
    <w:rsid w:val="003B1866"/>
    <w:rsid w:val="004249A5"/>
    <w:rsid w:val="0044314D"/>
    <w:rsid w:val="0045759E"/>
    <w:rsid w:val="004667E3"/>
    <w:rsid w:val="00482678"/>
    <w:rsid w:val="004F3BE0"/>
    <w:rsid w:val="0050769B"/>
    <w:rsid w:val="00574A57"/>
    <w:rsid w:val="00575A3B"/>
    <w:rsid w:val="00663C7D"/>
    <w:rsid w:val="006A71EE"/>
    <w:rsid w:val="006D4699"/>
    <w:rsid w:val="007418C2"/>
    <w:rsid w:val="00763CFA"/>
    <w:rsid w:val="00764C9B"/>
    <w:rsid w:val="0076530E"/>
    <w:rsid w:val="007833B5"/>
    <w:rsid w:val="00783CB3"/>
    <w:rsid w:val="007C3AF8"/>
    <w:rsid w:val="0081164B"/>
    <w:rsid w:val="00831ECC"/>
    <w:rsid w:val="008760BD"/>
    <w:rsid w:val="008767A9"/>
    <w:rsid w:val="00882CF7"/>
    <w:rsid w:val="008D7871"/>
    <w:rsid w:val="009D621E"/>
    <w:rsid w:val="009F3904"/>
    <w:rsid w:val="00A017C7"/>
    <w:rsid w:val="00A70125"/>
    <w:rsid w:val="00A74514"/>
    <w:rsid w:val="00A74D22"/>
    <w:rsid w:val="00A84F66"/>
    <w:rsid w:val="00B83244"/>
    <w:rsid w:val="00B91E16"/>
    <w:rsid w:val="00BD33B9"/>
    <w:rsid w:val="00D031D2"/>
    <w:rsid w:val="00D10A52"/>
    <w:rsid w:val="00D14256"/>
    <w:rsid w:val="00D53830"/>
    <w:rsid w:val="00DA40CD"/>
    <w:rsid w:val="00DB56E7"/>
    <w:rsid w:val="00DC2065"/>
    <w:rsid w:val="00E14782"/>
    <w:rsid w:val="00E74E1F"/>
    <w:rsid w:val="00EA61BA"/>
    <w:rsid w:val="00EB4EB6"/>
    <w:rsid w:val="00EB5DF4"/>
    <w:rsid w:val="00EC6C84"/>
    <w:rsid w:val="00F907EF"/>
    <w:rsid w:val="00FD1F4C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249A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49A5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semiHidden/>
    <w:rsid w:val="004249A5"/>
    <w:rPr>
      <w:vertAlign w:val="superscript"/>
    </w:rPr>
  </w:style>
  <w:style w:type="character" w:customStyle="1" w:styleId="apple-converted-space">
    <w:name w:val="apple-converted-space"/>
    <w:basedOn w:val="Fontepargpadro"/>
    <w:rsid w:val="006D4699"/>
  </w:style>
  <w:style w:type="paragraph" w:styleId="Cabealho">
    <w:name w:val="header"/>
    <w:basedOn w:val="Normal"/>
    <w:link w:val="CabealhoChar"/>
    <w:uiPriority w:val="99"/>
    <w:unhideWhenUsed/>
    <w:rsid w:val="00A7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D22"/>
  </w:style>
  <w:style w:type="paragraph" w:styleId="Rodap">
    <w:name w:val="footer"/>
    <w:basedOn w:val="Normal"/>
    <w:link w:val="RodapChar"/>
    <w:uiPriority w:val="99"/>
    <w:semiHidden/>
    <w:unhideWhenUsed/>
    <w:rsid w:val="00A7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4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193C-3DD3-435E-8DE8-BD63895B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2797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Revil</dc:creator>
  <cp:lastModifiedBy>Bárbara Revil</cp:lastModifiedBy>
  <cp:revision>2</cp:revision>
  <dcterms:created xsi:type="dcterms:W3CDTF">2012-11-08T03:39:00Z</dcterms:created>
  <dcterms:modified xsi:type="dcterms:W3CDTF">2012-11-08T03:39:00Z</dcterms:modified>
</cp:coreProperties>
</file>