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C1" w:rsidRPr="003351C1" w:rsidRDefault="00000EE3" w:rsidP="003351C1">
      <w:pPr>
        <w:spacing w:before="120"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 POLITIZAÇÃO DA JUSTIÇA</w:t>
      </w:r>
      <w:r w:rsidR="00850661">
        <w:rPr>
          <w:rFonts w:ascii="Times New Roman" w:eastAsia="Calibri" w:hAnsi="Times New Roman" w:cs="Times New Roman"/>
          <w:b/>
          <w:sz w:val="28"/>
          <w:szCs w:val="28"/>
        </w:rPr>
        <w:t>: CONSIDERAÇÕES CRÍTICAS</w:t>
      </w:r>
    </w:p>
    <w:p w:rsidR="003351C1" w:rsidRPr="003351C1" w:rsidRDefault="003351C1" w:rsidP="003351C1">
      <w:pPr>
        <w:spacing w:before="12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51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00EE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3351C1">
        <w:rPr>
          <w:rFonts w:ascii="Times New Roman" w:eastAsia="Calibri" w:hAnsi="Times New Roman" w:cs="Times New Roman"/>
          <w:b/>
          <w:sz w:val="24"/>
          <w:szCs w:val="24"/>
        </w:rPr>
        <w:t>Hildenguedson Rib</w:t>
      </w:r>
      <w:r w:rsidR="00000EE3">
        <w:rPr>
          <w:rFonts w:ascii="Times New Roman" w:eastAsia="Calibri" w:hAnsi="Times New Roman" w:cs="Times New Roman"/>
          <w:b/>
          <w:sz w:val="24"/>
          <w:szCs w:val="24"/>
        </w:rPr>
        <w:t>eiro Dias</w:t>
      </w:r>
    </w:p>
    <w:p w:rsidR="003351C1" w:rsidRPr="00000EE3" w:rsidRDefault="00000EE3" w:rsidP="003351C1">
      <w:pPr>
        <w:spacing w:before="120" w:after="12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1 - </w:t>
      </w:r>
      <w:r w:rsidR="003351C1" w:rsidRPr="003351C1">
        <w:rPr>
          <w:rFonts w:ascii="Times New Roman" w:eastAsia="Calibri" w:hAnsi="Times New Roman" w:cs="Times New Roman"/>
          <w:sz w:val="20"/>
          <w:szCs w:val="20"/>
        </w:rPr>
        <w:t>Acadêmico de Direito – F</w:t>
      </w:r>
      <w:r>
        <w:rPr>
          <w:rFonts w:ascii="Times New Roman" w:eastAsia="Calibri" w:hAnsi="Times New Roman" w:cs="Times New Roman"/>
          <w:sz w:val="20"/>
          <w:szCs w:val="20"/>
        </w:rPr>
        <w:t xml:space="preserve">aculdade de Balsas/UNIBALSAS – </w:t>
      </w:r>
      <w:r w:rsidRPr="00000E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hildenguedson@hotmail.com</w:t>
      </w:r>
    </w:p>
    <w:p w:rsidR="003351C1" w:rsidRPr="003351C1" w:rsidRDefault="003351C1" w:rsidP="003351C1">
      <w:pPr>
        <w:spacing w:before="120" w:after="120"/>
        <w:rPr>
          <w:rFonts w:ascii="Times New Roman" w:eastAsia="Calibri" w:hAnsi="Times New Roman" w:cs="Times New Roman"/>
          <w:b/>
          <w:sz w:val="20"/>
          <w:szCs w:val="20"/>
        </w:rPr>
      </w:pPr>
      <w:r w:rsidRPr="003351C1">
        <w:rPr>
          <w:rFonts w:ascii="Times New Roman" w:eastAsia="Calibri" w:hAnsi="Times New Roman" w:cs="Times New Roman"/>
          <w:b/>
          <w:sz w:val="20"/>
          <w:szCs w:val="20"/>
        </w:rPr>
        <w:t>RESUMO</w:t>
      </w:r>
    </w:p>
    <w:p w:rsidR="00CE4AC0" w:rsidRDefault="003351C1" w:rsidP="003351C1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3351C1">
        <w:rPr>
          <w:rFonts w:ascii="Times New Roman" w:eastAsia="Calibri" w:hAnsi="Times New Roman" w:cs="Times New Roman"/>
        </w:rPr>
        <w:t>O presente trabalh</w:t>
      </w:r>
      <w:r w:rsidR="00850661">
        <w:rPr>
          <w:rFonts w:ascii="Times New Roman" w:eastAsia="Calibri" w:hAnsi="Times New Roman" w:cs="Times New Roman"/>
        </w:rPr>
        <w:t>o tem como objetivo esclarecer,</w:t>
      </w:r>
      <w:r w:rsidR="007E02C8">
        <w:rPr>
          <w:rFonts w:ascii="Times New Roman" w:eastAsia="Calibri" w:hAnsi="Times New Roman" w:cs="Times New Roman"/>
        </w:rPr>
        <w:t xml:space="preserve"> </w:t>
      </w:r>
      <w:r w:rsidRPr="003351C1">
        <w:rPr>
          <w:rFonts w:ascii="Times New Roman" w:eastAsia="Calibri" w:hAnsi="Times New Roman" w:cs="Times New Roman"/>
        </w:rPr>
        <w:t>divulgar</w:t>
      </w:r>
      <w:r w:rsidR="00850661">
        <w:rPr>
          <w:rFonts w:ascii="Times New Roman" w:eastAsia="Calibri" w:hAnsi="Times New Roman" w:cs="Times New Roman"/>
        </w:rPr>
        <w:t xml:space="preserve"> e criticar o relevante tema que surge no Brasil e no mundo, </w:t>
      </w:r>
      <w:r w:rsidR="00B47482">
        <w:rPr>
          <w:rFonts w:ascii="Times New Roman" w:eastAsia="Calibri" w:hAnsi="Times New Roman" w:cs="Times New Roman"/>
        </w:rPr>
        <w:t xml:space="preserve">e que </w:t>
      </w:r>
      <w:r w:rsidR="00850661">
        <w:rPr>
          <w:rFonts w:ascii="Times New Roman" w:eastAsia="Calibri" w:hAnsi="Times New Roman" w:cs="Times New Roman"/>
        </w:rPr>
        <w:t>vem ganhando repercussão a cada dia</w:t>
      </w:r>
      <w:r w:rsidR="00B47482">
        <w:rPr>
          <w:rFonts w:ascii="Times New Roman" w:eastAsia="Calibri" w:hAnsi="Times New Roman" w:cs="Times New Roman"/>
        </w:rPr>
        <w:t>.</w:t>
      </w:r>
      <w:r w:rsidR="00CE4AC0">
        <w:rPr>
          <w:rFonts w:ascii="Times New Roman" w:eastAsia="Calibri" w:hAnsi="Times New Roman" w:cs="Times New Roman"/>
        </w:rPr>
        <w:t xml:space="preserve"> </w:t>
      </w:r>
      <w:r w:rsidR="003C1085">
        <w:rPr>
          <w:rFonts w:ascii="Times New Roman" w:eastAsia="Calibri" w:hAnsi="Times New Roman" w:cs="Times New Roman"/>
        </w:rPr>
        <w:t>Com base em pesquisa bibliográfica de renomados autores e em artigos em meios eletrônicos foi possível constatar a gravidade e import</w:t>
      </w:r>
      <w:r w:rsidR="00F13CD3">
        <w:rPr>
          <w:rFonts w:ascii="Times New Roman" w:eastAsia="Calibri" w:hAnsi="Times New Roman" w:cs="Times New Roman"/>
        </w:rPr>
        <w:t>ância deste tema para sociedade</w:t>
      </w:r>
      <w:r w:rsidR="003C1085">
        <w:rPr>
          <w:rFonts w:ascii="Times New Roman" w:eastAsia="Calibri" w:hAnsi="Times New Roman" w:cs="Times New Roman"/>
        </w:rPr>
        <w:t xml:space="preserve"> brasileira e as consequências que podem advir futuramente. A princípio o que se mostra mais eficaz </w:t>
      </w:r>
      <w:r w:rsidR="008F3B3F">
        <w:rPr>
          <w:rFonts w:ascii="Times New Roman" w:eastAsia="Calibri" w:hAnsi="Times New Roman" w:cs="Times New Roman"/>
        </w:rPr>
        <w:t xml:space="preserve">para equacionar o problema, seria uma maior participação popular para expor opiniões por meio de referendo sobre os temas mais complexos que tem o Poder Judiciário e Poder Legislativo, decididos de forma desobediente a Constituição e ligados por elos de Politicagem e interesses </w:t>
      </w:r>
      <w:r w:rsidR="00F13CD3">
        <w:rPr>
          <w:rFonts w:ascii="Times New Roman" w:eastAsia="Calibri" w:hAnsi="Times New Roman" w:cs="Times New Roman"/>
        </w:rPr>
        <w:t>individualistas.</w:t>
      </w:r>
      <w:r w:rsidR="00B47482">
        <w:rPr>
          <w:rFonts w:ascii="Times New Roman" w:eastAsia="Calibri" w:hAnsi="Times New Roman" w:cs="Times New Roman"/>
        </w:rPr>
        <w:t xml:space="preserve"> </w:t>
      </w:r>
    </w:p>
    <w:p w:rsidR="003351C1" w:rsidRPr="003351C1" w:rsidRDefault="003351C1" w:rsidP="003351C1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3351C1">
        <w:rPr>
          <w:rFonts w:ascii="Times New Roman" w:eastAsia="Calibri" w:hAnsi="Times New Roman" w:cs="Times New Roman"/>
          <w:b/>
        </w:rPr>
        <w:t>Palavras chaves adicionais:</w:t>
      </w:r>
      <w:r w:rsidR="00180F9B">
        <w:rPr>
          <w:rFonts w:ascii="Times New Roman" w:eastAsia="Calibri" w:hAnsi="Times New Roman" w:cs="Times New Roman"/>
        </w:rPr>
        <w:t xml:space="preserve"> Politização, </w:t>
      </w:r>
      <w:r w:rsidR="002B3C82">
        <w:rPr>
          <w:rFonts w:ascii="Times New Roman" w:eastAsia="Calibri" w:hAnsi="Times New Roman" w:cs="Times New Roman"/>
        </w:rPr>
        <w:t>Representação política</w:t>
      </w:r>
      <w:r w:rsidR="00180F9B">
        <w:rPr>
          <w:rFonts w:ascii="Times New Roman" w:eastAsia="Calibri" w:hAnsi="Times New Roman" w:cs="Times New Roman"/>
        </w:rPr>
        <w:t>,</w:t>
      </w:r>
      <w:r w:rsidR="002B3C82">
        <w:rPr>
          <w:rFonts w:ascii="Times New Roman" w:eastAsia="Calibri" w:hAnsi="Times New Roman" w:cs="Times New Roman"/>
        </w:rPr>
        <w:t xml:space="preserve"> Soberania.</w:t>
      </w:r>
    </w:p>
    <w:p w:rsidR="003351C1" w:rsidRDefault="003351C1" w:rsidP="003351C1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3351C1">
        <w:rPr>
          <w:rFonts w:ascii="Times New Roman" w:eastAsia="Calibri" w:hAnsi="Times New Roman" w:cs="Times New Roman"/>
          <w:b/>
        </w:rPr>
        <w:t>INTRODUÇÃO</w:t>
      </w:r>
    </w:p>
    <w:p w:rsidR="00CF7F5F" w:rsidRDefault="009A6935" w:rsidP="00A472D8">
      <w:pPr>
        <w:spacing w:before="120" w:after="1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7E02C8">
        <w:rPr>
          <w:rFonts w:ascii="Times New Roman" w:eastAsia="Calibri" w:hAnsi="Times New Roman" w:cs="Times New Roman"/>
        </w:rPr>
        <w:t>Neste pequeno trabalho,</w:t>
      </w:r>
      <w:bookmarkStart w:id="0" w:name="_GoBack"/>
      <w:bookmarkEnd w:id="0"/>
      <w:r w:rsidR="007E02C8">
        <w:rPr>
          <w:rFonts w:ascii="Times New Roman" w:eastAsia="Calibri" w:hAnsi="Times New Roman" w:cs="Times New Roman"/>
        </w:rPr>
        <w:t xml:space="preserve"> são</w:t>
      </w:r>
      <w:r w:rsidR="00CF7F5F">
        <w:rPr>
          <w:rFonts w:ascii="Times New Roman" w:eastAsia="Calibri" w:hAnsi="Times New Roman" w:cs="Times New Roman"/>
        </w:rPr>
        <w:t xml:space="preserve"> exposto</w:t>
      </w:r>
      <w:r w:rsidR="007E02C8">
        <w:rPr>
          <w:rFonts w:ascii="Times New Roman" w:eastAsia="Calibri" w:hAnsi="Times New Roman" w:cs="Times New Roman"/>
        </w:rPr>
        <w:t xml:space="preserve">s </w:t>
      </w:r>
      <w:r w:rsidR="00CF7F5F">
        <w:rPr>
          <w:rFonts w:ascii="Times New Roman" w:eastAsia="Calibri" w:hAnsi="Times New Roman" w:cs="Times New Roman"/>
        </w:rPr>
        <w:t>exemplos de forma esclarecedora sobre como se configura a Politização da Justi</w:t>
      </w:r>
      <w:r w:rsidR="007D336C">
        <w:rPr>
          <w:rFonts w:ascii="Times New Roman" w:eastAsia="Calibri" w:hAnsi="Times New Roman" w:cs="Times New Roman"/>
        </w:rPr>
        <w:t>ça</w:t>
      </w:r>
      <w:r w:rsidR="00CF7F5F">
        <w:rPr>
          <w:rFonts w:ascii="Times New Roman" w:eastAsia="Calibri" w:hAnsi="Times New Roman" w:cs="Times New Roman"/>
        </w:rPr>
        <w:t>, utilizando para isso as lições dos renomados autores</w:t>
      </w:r>
      <w:r w:rsidR="007D336C">
        <w:rPr>
          <w:rFonts w:ascii="Times New Roman" w:eastAsia="Calibri" w:hAnsi="Times New Roman" w:cs="Times New Roman"/>
        </w:rPr>
        <w:t xml:space="preserve"> como</w:t>
      </w:r>
      <w:r w:rsidR="00CF7F5F">
        <w:rPr>
          <w:rFonts w:ascii="Times New Roman" w:eastAsia="Calibri" w:hAnsi="Times New Roman" w:cs="Times New Roman"/>
        </w:rPr>
        <w:t xml:space="preserve"> Paulo Bonavides, Miguel Reale, bem como artigos em meios eletrônicos, inclusive do Instituto de Ciência Política da UNB, por meio dos quais é possível formar uma opnião crítica sobre </w:t>
      </w:r>
      <w:r w:rsidR="007E02C8">
        <w:rPr>
          <w:rFonts w:ascii="Times New Roman" w:eastAsia="Calibri" w:hAnsi="Times New Roman" w:cs="Times New Roman"/>
        </w:rPr>
        <w:t>as “quantas</w:t>
      </w:r>
      <w:r w:rsidR="00CF7F5F">
        <w:rPr>
          <w:rFonts w:ascii="Times New Roman" w:eastAsia="Calibri" w:hAnsi="Times New Roman" w:cs="Times New Roman"/>
        </w:rPr>
        <w:t xml:space="preserve"> anda” a politização da Justiça no Brasil.</w:t>
      </w:r>
    </w:p>
    <w:p w:rsidR="008C4B5E" w:rsidRDefault="009A6935" w:rsidP="00A472D8">
      <w:pPr>
        <w:spacing w:before="120" w:after="120"/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A Constituição Federal, durante o lapso temporal de 1988 a 2013</w:t>
      </w:r>
      <w:r w:rsidRPr="003351C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vem sendo violada pelo próprio Parlamento e pelo Poder Judiciário, ambos atuando de forma contrária as suas atribuições e invadindo a esfera de decisão de um e de outro, (cabendo nesta pequena obra nos ater à invasão da política no seio jurídico) quer de forma sorrateira ou escancarada, deixando boquiaberto os operadores do direito e sociedade em geral. Exemplo desta</w:t>
      </w:r>
      <w:r w:rsidR="003A027D">
        <w:rPr>
          <w:rFonts w:ascii="Times New Roman" w:eastAsia="Calibri" w:hAnsi="Times New Roman" w:cs="Times New Roman"/>
        </w:rPr>
        <w:t xml:space="preserve"> audácia foi </w:t>
      </w:r>
      <w:r w:rsidR="007E02C8">
        <w:rPr>
          <w:rFonts w:ascii="Times New Roman" w:eastAsia="Calibri" w:hAnsi="Times New Roman" w:cs="Times New Roman"/>
        </w:rPr>
        <w:t>à</w:t>
      </w:r>
      <w:r w:rsidR="003A027D">
        <w:rPr>
          <w:rFonts w:ascii="Times New Roman" w:eastAsia="Calibri" w:hAnsi="Times New Roman" w:cs="Times New Roman"/>
        </w:rPr>
        <w:t xml:space="preserve"> cassação em tempo recorde pelo TSE em 2008, do Governador do Maranhão Jackson Lago e coroamento da filha do eterno Presidente José Sarney.</w:t>
      </w:r>
    </w:p>
    <w:p w:rsidR="00CF7F5F" w:rsidRDefault="00CF7F5F" w:rsidP="00A472D8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</w:rPr>
        <w:t>Dentro deste mesmo diapasão é colocado adiante como Ministros do Supremo Tribunal Federal tem cedido aos interesses dos agentes políticos, principalmente, no que tange a defesa</w:t>
      </w:r>
      <w:r w:rsidR="00191BF5">
        <w:rPr>
          <w:rFonts w:ascii="Times New Roman" w:eastAsia="Calibri" w:hAnsi="Times New Roman" w:cs="Times New Roman"/>
        </w:rPr>
        <w:t xml:space="preserve"> do ciclo de amizades destes quando julgados </w:t>
      </w:r>
      <w:r w:rsidR="006C22D3">
        <w:rPr>
          <w:rFonts w:ascii="Times New Roman" w:eastAsia="Calibri" w:hAnsi="Times New Roman" w:cs="Times New Roman"/>
        </w:rPr>
        <w:t>pel</w:t>
      </w:r>
      <w:r w:rsidR="00191BF5">
        <w:rPr>
          <w:rFonts w:ascii="Times New Roman" w:eastAsia="Calibri" w:hAnsi="Times New Roman" w:cs="Times New Roman"/>
        </w:rPr>
        <w:t xml:space="preserve">a Suprema Corte. </w:t>
      </w:r>
    </w:p>
    <w:p w:rsidR="003A027D" w:rsidRPr="00CF7F5F" w:rsidRDefault="003A027D" w:rsidP="00A472D8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275540">
        <w:rPr>
          <w:rFonts w:ascii="Times New Roman" w:eastAsia="Calibri" w:hAnsi="Times New Roman" w:cs="Times New Roman"/>
        </w:rPr>
        <w:t>Ademais este breve resumo tem a finalidade de expor a crise da representação política no Brasil e defender uma maior aproximação popular nas decisões de grande relevância para o país, sendo que estas são assenhoradas pelo Legislativo e Judiciário</w:t>
      </w:r>
      <w:r w:rsidR="00D44C9B">
        <w:rPr>
          <w:rFonts w:ascii="Times New Roman" w:eastAsia="Calibri" w:hAnsi="Times New Roman" w:cs="Times New Roman"/>
        </w:rPr>
        <w:t xml:space="preserve">. A partir deste pressuposto é que a falta da </w:t>
      </w:r>
      <w:r w:rsidR="007E02C8">
        <w:rPr>
          <w:rFonts w:ascii="Times New Roman" w:eastAsia="Calibri" w:hAnsi="Times New Roman" w:cs="Times New Roman"/>
        </w:rPr>
        <w:t>participação</w:t>
      </w:r>
      <w:r w:rsidR="00D44C9B">
        <w:rPr>
          <w:rFonts w:ascii="Times New Roman" w:eastAsia="Calibri" w:hAnsi="Times New Roman" w:cs="Times New Roman"/>
        </w:rPr>
        <w:t xml:space="preserve"> da sociedade civil, acarreta em corrupção pelos três poderes da União e consequente Politização da Justiça.</w:t>
      </w:r>
    </w:p>
    <w:p w:rsidR="00CE4AC0" w:rsidRPr="00CE4AC0" w:rsidRDefault="00CE4AC0" w:rsidP="008C4B5E">
      <w:pPr>
        <w:spacing w:before="120" w:after="12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ab/>
      </w:r>
    </w:p>
    <w:p w:rsidR="003351C1" w:rsidRPr="003351C1" w:rsidRDefault="003351C1" w:rsidP="003351C1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3351C1">
        <w:rPr>
          <w:rFonts w:ascii="Times New Roman" w:eastAsia="Calibri" w:hAnsi="Times New Roman" w:cs="Times New Roman"/>
          <w:b/>
        </w:rPr>
        <w:t>RESULTADOS E DISCUSSÃO</w:t>
      </w:r>
    </w:p>
    <w:p w:rsidR="00395BA9" w:rsidRDefault="00A17508" w:rsidP="00395BA9">
      <w:pPr>
        <w:spacing w:before="120"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PODERES DA UNIÃO, INDEPENDENTES E HARMONICOS ENTRE </w:t>
      </w:r>
      <w:r w:rsidR="00EA1C6C">
        <w:rPr>
          <w:rFonts w:ascii="Times New Roman" w:eastAsia="Calibri" w:hAnsi="Times New Roman" w:cs="Times New Roman"/>
          <w:b/>
        </w:rPr>
        <w:t>SI.</w:t>
      </w:r>
    </w:p>
    <w:p w:rsidR="00C77EA5" w:rsidRDefault="00A17508" w:rsidP="00A472D8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A7684F">
        <w:rPr>
          <w:rFonts w:ascii="Times New Roman" w:eastAsia="Calibri" w:hAnsi="Times New Roman" w:cs="Times New Roman"/>
        </w:rPr>
        <w:tab/>
      </w:r>
      <w:r w:rsidR="007E02C8">
        <w:rPr>
          <w:rFonts w:ascii="Times New Roman" w:eastAsia="Calibri" w:hAnsi="Times New Roman" w:cs="Times New Roman"/>
        </w:rPr>
        <w:t>No artigo publicado em Dezembro de 2009 pelo Instituto de Ciência Política da Universidade de Brasília, traz um entendimento válido, citando que o Tribunal Constitucional, não atua como órgão jurisdicional, mas como órgão de governo, pois, a partir da nomeação de Ministros do STF configura a não independência deste Poder e por consequência acarreta o tema deste resumo.</w:t>
      </w:r>
    </w:p>
    <w:p w:rsidR="00B17B75" w:rsidRDefault="00E30281" w:rsidP="00A472D8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O artigo do instituto acima citado</w:t>
      </w:r>
      <w:r w:rsidR="007E02C8">
        <w:rPr>
          <w:rFonts w:ascii="Times New Roman" w:eastAsia="Calibri" w:hAnsi="Times New Roman" w:cs="Times New Roman"/>
        </w:rPr>
        <w:t xml:space="preserve"> quis</w:t>
      </w:r>
      <w:r>
        <w:rPr>
          <w:rFonts w:ascii="Times New Roman" w:eastAsia="Calibri" w:hAnsi="Times New Roman" w:cs="Times New Roman"/>
        </w:rPr>
        <w:t xml:space="preserve"> fazer referência ao art. 84 Caput da CF, que trata das atribuições do Presidente da República, que exculpe: Compete privativamente ao Presidente da República, inciso I – nomear e exonerar os Ministros de Estado</w:t>
      </w:r>
      <w:r w:rsidR="0039264D">
        <w:rPr>
          <w:rFonts w:ascii="Times New Roman" w:eastAsia="Calibri" w:hAnsi="Times New Roman" w:cs="Times New Roman"/>
        </w:rPr>
        <w:t xml:space="preserve">; XIV – nomear, após aprovação pelo Senado Federal, os Ministros do Supremo Tribunal Federal e dos Tribunais Superiores, os Governadores de Territórios, o Procurador-Geral da República, o presidente e os diretores do Banco Central e outros servidores, quando </w:t>
      </w:r>
      <w:r w:rsidR="0039264D">
        <w:rPr>
          <w:rFonts w:ascii="Times New Roman" w:eastAsia="Calibri" w:hAnsi="Times New Roman" w:cs="Times New Roman"/>
        </w:rPr>
        <w:lastRenderedPageBreak/>
        <w:t>determinados em lei; XVI – nomear magistrados, nos casos previstos nesta Constituição e o Advogado</w:t>
      </w:r>
      <w:r w:rsidR="00B17B75">
        <w:rPr>
          <w:rFonts w:ascii="Times New Roman" w:eastAsia="Calibri" w:hAnsi="Times New Roman" w:cs="Times New Roman"/>
        </w:rPr>
        <w:t>-Geral da União.</w:t>
      </w:r>
    </w:p>
    <w:p w:rsidR="00E30281" w:rsidRDefault="00B17B75" w:rsidP="00A472D8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7E02C8">
        <w:rPr>
          <w:rFonts w:ascii="Times New Roman" w:eastAsia="Calibri" w:hAnsi="Times New Roman" w:cs="Times New Roman"/>
        </w:rPr>
        <w:t>Diversos autores e juristas defendem que este sistema de nomeação já deveria ter mudado, para que realmente se pudesse falar que os poderes são independentes entre si, alguns discutem a idéia de que os cargos desta natureza fossem por aprovação em concurso público e de provas e títulos.</w:t>
      </w:r>
      <w:r w:rsidR="00613582">
        <w:rPr>
          <w:rFonts w:ascii="Times New Roman" w:eastAsia="Calibri" w:hAnsi="Times New Roman" w:cs="Times New Roman"/>
        </w:rPr>
        <w:t xml:space="preserve"> Através das referidas nomeações boa parte dos Ministros da Suprema Corte tem favorecido interesses meramente políticos e individuais, apesar das manifestações populacionais este se mantém firmes nas retribuições sorrateira em favor dos outros poderes da União.</w:t>
      </w:r>
      <w:r w:rsidR="0039264D">
        <w:rPr>
          <w:rFonts w:ascii="Times New Roman" w:eastAsia="Calibri" w:hAnsi="Times New Roman" w:cs="Times New Roman"/>
        </w:rPr>
        <w:t xml:space="preserve"> </w:t>
      </w:r>
    </w:p>
    <w:p w:rsidR="000242A9" w:rsidRDefault="000242A9" w:rsidP="00A472D8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Outro exemplo de Politização da Justiça</w:t>
      </w:r>
      <w:r w:rsidR="007E02C8">
        <w:rPr>
          <w:rFonts w:ascii="Times New Roman" w:eastAsia="Calibri" w:hAnsi="Times New Roman" w:cs="Times New Roman"/>
        </w:rPr>
        <w:t xml:space="preserve"> vem</w:t>
      </w:r>
      <w:r>
        <w:rPr>
          <w:rFonts w:ascii="Times New Roman" w:eastAsia="Calibri" w:hAnsi="Times New Roman" w:cs="Times New Roman"/>
        </w:rPr>
        <w:t xml:space="preserve"> na mesma edição da revis</w:t>
      </w:r>
      <w:r w:rsidR="008444DD">
        <w:rPr>
          <w:rFonts w:ascii="Times New Roman" w:eastAsia="Calibri" w:hAnsi="Times New Roman" w:cs="Times New Roman"/>
        </w:rPr>
        <w:t>ta Veja de 2005</w:t>
      </w:r>
      <w:r>
        <w:rPr>
          <w:rFonts w:ascii="Times New Roman" w:eastAsia="Calibri" w:hAnsi="Times New Roman" w:cs="Times New Roman"/>
        </w:rPr>
        <w:t>, que trata da</w:t>
      </w:r>
      <w:r w:rsidR="003A78E1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 relaç</w:t>
      </w:r>
      <w:r w:rsidR="003A78E1">
        <w:rPr>
          <w:rFonts w:ascii="Times New Roman" w:eastAsia="Calibri" w:hAnsi="Times New Roman" w:cs="Times New Roman"/>
        </w:rPr>
        <w:t>ões</w:t>
      </w:r>
      <w:r w:rsidR="007E02C8">
        <w:rPr>
          <w:rFonts w:ascii="Times New Roman" w:eastAsia="Calibri" w:hAnsi="Times New Roman" w:cs="Times New Roman"/>
        </w:rPr>
        <w:t xml:space="preserve"> </w:t>
      </w:r>
      <w:r w:rsidR="003A78E1">
        <w:rPr>
          <w:rFonts w:ascii="Times New Roman" w:eastAsia="Calibri" w:hAnsi="Times New Roman" w:cs="Times New Roman"/>
        </w:rPr>
        <w:t xml:space="preserve">impessoais </w:t>
      </w:r>
      <w:r>
        <w:rPr>
          <w:rFonts w:ascii="Times New Roman" w:eastAsia="Calibri" w:hAnsi="Times New Roman" w:cs="Times New Roman"/>
        </w:rPr>
        <w:t>do tão referenciado na atual composiçã</w:t>
      </w:r>
      <w:r w:rsidR="003A78E1">
        <w:rPr>
          <w:rFonts w:ascii="Times New Roman" w:eastAsia="Calibri" w:hAnsi="Times New Roman" w:cs="Times New Roman"/>
        </w:rPr>
        <w:t xml:space="preserve">o do STF, </w:t>
      </w:r>
      <w:r w:rsidR="007E02C8">
        <w:rPr>
          <w:rFonts w:ascii="Times New Roman" w:eastAsia="Calibri" w:hAnsi="Times New Roman" w:cs="Times New Roman"/>
        </w:rPr>
        <w:t>Sepúlveda</w:t>
      </w:r>
      <w:r w:rsidR="003A78E1">
        <w:rPr>
          <w:rFonts w:ascii="Times New Roman" w:eastAsia="Calibri" w:hAnsi="Times New Roman" w:cs="Times New Roman"/>
        </w:rPr>
        <w:t xml:space="preserve"> Pertence e a</w:t>
      </w:r>
      <w:r>
        <w:rPr>
          <w:rFonts w:ascii="Times New Roman" w:eastAsia="Calibri" w:hAnsi="Times New Roman" w:cs="Times New Roman"/>
        </w:rPr>
        <w:t xml:space="preserve"> então</w:t>
      </w:r>
      <w:r w:rsidR="003A78E1">
        <w:rPr>
          <w:rFonts w:ascii="Times New Roman" w:eastAsia="Calibri" w:hAnsi="Times New Roman" w:cs="Times New Roman"/>
        </w:rPr>
        <w:t xml:space="preserve"> amizade com o ciclo do na época</w:t>
      </w:r>
      <w:r w:rsidR="007E02C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Ministro da Casa Civil José Dirceu</w:t>
      </w:r>
      <w:r w:rsidR="003A78E1">
        <w:rPr>
          <w:rFonts w:ascii="Times New Roman" w:eastAsia="Calibri" w:hAnsi="Times New Roman" w:cs="Times New Roman"/>
        </w:rPr>
        <w:t>. (Denunciado e condenado como articulador do Mensalão).</w:t>
      </w:r>
      <w:r w:rsidR="007E02C8">
        <w:rPr>
          <w:rFonts w:ascii="Times New Roman" w:eastAsia="Calibri" w:hAnsi="Times New Roman" w:cs="Times New Roman"/>
        </w:rPr>
        <w:t>·.</w:t>
      </w:r>
    </w:p>
    <w:p w:rsidR="00E30281" w:rsidRDefault="00387A0F" w:rsidP="00A472D8">
      <w:pPr>
        <w:spacing w:before="120" w:after="120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Ao analisar o art. 85 Caput da CF que cita os crimes de responsabilidade</w:t>
      </w:r>
      <w:r w:rsidR="007E02C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dos atos do Presidente da República que atentarem contra esta e especialmente contra: Inciso II – o livre exercício do Poder Legislativo, do Poder Judiciário, do </w:t>
      </w:r>
      <w:r w:rsidR="007E02C8">
        <w:rPr>
          <w:rFonts w:ascii="Times New Roman" w:eastAsia="Calibri" w:hAnsi="Times New Roman" w:cs="Times New Roman"/>
        </w:rPr>
        <w:t>Ministério</w:t>
      </w:r>
      <w:r>
        <w:rPr>
          <w:rFonts w:ascii="Times New Roman" w:eastAsia="Calibri" w:hAnsi="Times New Roman" w:cs="Times New Roman"/>
        </w:rPr>
        <w:t xml:space="preserve"> Público e dos Poderes Constitucionais das unidades da Federação</w:t>
      </w:r>
      <w:r w:rsidR="00484899">
        <w:rPr>
          <w:rFonts w:ascii="Times New Roman" w:eastAsia="Calibri" w:hAnsi="Times New Roman" w:cs="Times New Roman"/>
        </w:rPr>
        <w:t>. Para não perceber a prática costumeira de infrações Constitucionais</w:t>
      </w:r>
      <w:r w:rsidR="00191090">
        <w:rPr>
          <w:rFonts w:ascii="Times New Roman" w:eastAsia="Calibri" w:hAnsi="Times New Roman" w:cs="Times New Roman"/>
        </w:rPr>
        <w:t xml:space="preserve"> pelos Presidentes</w:t>
      </w:r>
      <w:r w:rsidR="00484899">
        <w:rPr>
          <w:rFonts w:ascii="Times New Roman" w:eastAsia="Calibri" w:hAnsi="Times New Roman" w:cs="Times New Roman"/>
        </w:rPr>
        <w:t>, designadas como crimes de responsabilidade só o ser dotado de muita ingenuidade ou ignorância</w:t>
      </w:r>
      <w:r w:rsidR="00191090">
        <w:rPr>
          <w:rFonts w:ascii="Times New Roman" w:eastAsia="Calibri" w:hAnsi="Times New Roman" w:cs="Times New Roman"/>
        </w:rPr>
        <w:t>, mesmo descabendo ao Poder Executivo da União usar de suas funções e prerrogativas para interferir na esfera de autonomia dos outros poderes</w:t>
      </w:r>
      <w:r w:rsidR="00237C6F">
        <w:rPr>
          <w:rFonts w:ascii="Times New Roman" w:eastAsia="Calibri" w:hAnsi="Times New Roman" w:cs="Times New Roman"/>
        </w:rPr>
        <w:t>, de fato isto ocorre, e não é difícil juntar provas e exemplos desta prática que acarreta imensuráveis prejuízos para a coletividade.</w:t>
      </w:r>
    </w:p>
    <w:p w:rsidR="0057780A" w:rsidRDefault="0057780A" w:rsidP="00A472D8">
      <w:pPr>
        <w:spacing w:before="120" w:after="120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Mais uma prova cabal de Politização da Justiça vem através da reportagem</w:t>
      </w:r>
      <w:r w:rsidR="007E02C8">
        <w:rPr>
          <w:rFonts w:ascii="Times New Roman" w:eastAsia="Calibri" w:hAnsi="Times New Roman" w:cs="Times New Roman"/>
        </w:rPr>
        <w:t xml:space="preserve"> </w:t>
      </w:r>
      <w:r w:rsidR="0087641B">
        <w:rPr>
          <w:rFonts w:ascii="Times New Roman" w:eastAsia="Calibri" w:hAnsi="Times New Roman" w:cs="Times New Roman"/>
        </w:rPr>
        <w:t xml:space="preserve">de 2013 </w:t>
      </w:r>
      <w:r>
        <w:rPr>
          <w:rFonts w:ascii="Times New Roman" w:eastAsia="Calibri" w:hAnsi="Times New Roman" w:cs="Times New Roman"/>
        </w:rPr>
        <w:t>do blog de Jorge Vieira a seguir:</w:t>
      </w:r>
    </w:p>
    <w:p w:rsidR="0057780A" w:rsidRPr="0057780A" w:rsidRDefault="0057780A" w:rsidP="00A472D8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Em outubro de 2008 o processo de cassação do então governador Jackson Lago (PDT), movido por Roseana Sarney Murad (PMDB), é despachado ao procurador-geral da república, que, na qualidade de procurador geral eleitoral, deveria emitir o parecer. Naquela época não existia um prazo fixado em lei para a duração de processos daquele tipo. Em média, um parecer era emitido em cerca de 10 meses a um ano.</w:t>
      </w:r>
    </w:p>
    <w:p w:rsidR="0057780A" w:rsidRPr="0057780A" w:rsidRDefault="0057780A" w:rsidP="00A472D8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Na procuradoria-geral, no entanto, o processo contra Jackson Lago foi encaminhado ao procurador Francisco Xavier Pinheiro Filho. Quando os advogados do então governador Jackson Lago tentavam uma audiência com o referido procurador Xavier, este, em tempo recorde, em dez dias, devolveu o processo ao Tribunal Superior Eleitoral com o respectivo parecer, onde pedia a cassação de Jackson Lago. O final, todos sabemos.</w:t>
      </w:r>
    </w:p>
    <w:p w:rsidR="0057780A" w:rsidRPr="0057780A" w:rsidRDefault="0057780A" w:rsidP="00A472D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Agora deve vir </w:t>
      </w:r>
      <w:r w:rsidR="007E02C8"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à</w:t>
      </w:r>
      <w:r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 recompensa ao prestativo procurador Francisco Xavier Pinheiro Filho. É que ele foi incluído em uma lista com mais dois outros nomes para ser nomeado ministro do Superior Tribunal de Justiça – STJ. A nomeação cabe à presidente Dilma </w:t>
      </w:r>
      <w:r w:rsidR="007E02C8"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Rousseff</w:t>
      </w:r>
      <w:r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. </w:t>
      </w:r>
      <w:r w:rsidR="007E02C8"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Alguém</w:t>
      </w:r>
      <w:r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 duvida que ele </w:t>
      </w:r>
      <w:r w:rsidR="007E02C8"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seja</w:t>
      </w:r>
      <w:r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 nomeado?</w:t>
      </w:r>
    </w:p>
    <w:p w:rsidR="0057780A" w:rsidRDefault="0057780A" w:rsidP="00A472D8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</w:pPr>
      <w:r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Hoje a situação é totalmente inversa.</w:t>
      </w:r>
      <w:r w:rsidRPr="0087641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 </w:t>
      </w:r>
      <w:r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 O procurador geral, Roberto Gurgel, amigo pessoal e padrinho da candidatura de Xavier no STJ, sentou-se em cima do processo de cassação da filha do José Sarney há quase 08 (oito) meses, sendo que hoje existe uma lei que determina que processos como este </w:t>
      </w:r>
      <w:r w:rsidR="007E02C8"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devam</w:t>
      </w:r>
      <w:r w:rsidRPr="0057780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 terminar num prazo máximo de um ano. E a lei ainda diz que estes processos terão absoluta prioridade no ministério público. Mas não é o que pensa o Sr. Gurgel, amicíssimo de Sarney, quem deve bancar a nomeação de Xavier no STJ.</w:t>
      </w:r>
    </w:p>
    <w:p w:rsidR="005C1431" w:rsidRDefault="00547472" w:rsidP="00A472D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  <w:lang w:eastAsia="pt-BR"/>
        </w:rPr>
        <w:t>REPRESENTAÇÃO POLÍTICA</w:t>
      </w:r>
    </w:p>
    <w:p w:rsidR="00AB29B6" w:rsidRDefault="00547472" w:rsidP="00A472D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  <w:lang w:eastAsia="pt-BR"/>
        </w:rPr>
        <w:tab/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Teoria do Direito e do Estado, obra de Miguel Reale, traz as palavras esclarecedoras de </w:t>
      </w:r>
      <w:r w:rsidR="007E02C8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Rousseau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, que discorre que a soberania não pode ser representada pela mesma razão de que não pode ser alienada, ela consiste essencialmente</w:t>
      </w:r>
      <w:r w:rsidR="00AB29B6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 na vontade geral e </w:t>
      </w:r>
      <w:r w:rsidR="007E02C8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a vontade</w:t>
      </w:r>
      <w:r w:rsidR="00AB29B6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 geral não se pode, em absoluto, representar. De acordo com ele, não existe meio termo, os Deputados do povo, portanto, não são nem podem ser seus representantes.</w:t>
      </w:r>
    </w:p>
    <w:p w:rsidR="001855D0" w:rsidRDefault="001855D0" w:rsidP="0054747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lastRenderedPageBreak/>
        <w:tab/>
      </w:r>
      <w:r w:rsidR="00B22684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Assim como assevera (Bonavides, </w:t>
      </w:r>
      <w:r w:rsidR="007E02C8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2005, </w:t>
      </w:r>
      <w:r w:rsidR="00B22684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p.31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)</w:t>
      </w:r>
      <w:r w:rsidR="00B22684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. </w:t>
      </w:r>
    </w:p>
    <w:p w:rsidR="00B22684" w:rsidRPr="00B22684" w:rsidRDefault="00B22684" w:rsidP="00B22684">
      <w:pPr>
        <w:shd w:val="clear" w:color="auto" w:fill="FFFFFF"/>
        <w:spacing w:after="0" w:line="300" w:lineRule="atLeast"/>
        <w:ind w:left="22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pt-BR"/>
        </w:rPr>
        <w:t>A saída da crise constituinte e a implantação de um Estado social de Direit</w:t>
      </w:r>
      <w:r w:rsidR="00883317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pt-BR"/>
        </w:rPr>
        <w:t>o dependem do coroamento da le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pt-BR"/>
        </w:rPr>
        <w:t>gitimidade da democracia enquanto direito da quarta geração, passando, de necessidade, pelo meridiano dos direitos fundamentais e de sua hermenêutica de concretização</w:t>
      </w:r>
      <w:r w:rsidR="00883317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pt-BR"/>
        </w:rPr>
        <w:t>. É este o caminho para o país emergir das dificuldades que ora desestabilizam o regime constitucional, mergulhado no escândalo de uma ditadura dissimulada.</w:t>
      </w:r>
    </w:p>
    <w:p w:rsidR="007652CA" w:rsidRDefault="007652CA" w:rsidP="0054747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ab/>
      </w:r>
      <w:r w:rsidR="007E02C8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De acordo com Reale (2000) o reconhecimento da origem popular da soberania deve resultar não da legitimidade ou necessidade de representação eletiva, mas sim de três princípios fundamentais: 1 – o povo deve ter uma participação cada vez mais ampla nos negócios públicos, de acordo com o seu nível cultural e a sua capacidade ética; 2 – a soberania do Estado deve ser exercida sempre em nome do povo e segundo os seus interesses espirituais e materiais; 3 – não há ordem estatal legítima sem o consentimento dos governados, donde a necessária nota de juridicidade inerente ao conceito de representação política.</w:t>
      </w:r>
    </w:p>
    <w:p w:rsidR="00547472" w:rsidRPr="00547472" w:rsidRDefault="00AB29B6" w:rsidP="0054747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ab/>
        <w:t xml:space="preserve">No mesmo sentido, </w:t>
      </w:r>
      <w:r w:rsidR="007E02C8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a lição de Paulo Bonavides faz</w:t>
      </w:r>
      <w:r w:rsidR="009370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 um alerta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 ao Caput do art. 14 da CF</w:t>
      </w:r>
      <w:r w:rsidR="007D220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, que diz que a soberania popular será exercida pelo sufrágio universal. B</w:t>
      </w:r>
      <w:r w:rsidR="0093705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onavides diz</w:t>
      </w:r>
      <w:r w:rsidR="007D220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 que não há sufrágio totalmente universal, uma vez que não é a universali</w:t>
      </w:r>
      <w:r w:rsidR="001855D0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za</w:t>
      </w:r>
      <w:r w:rsidR="007D220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ção das pessoas que tem esse direito subjetivo, como exemplo cita-se os menores de 16 anos e o estrangeiro que não tem direito ao sufrágio</w:t>
      </w:r>
      <w:r w:rsidR="00EE0FE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t-BR"/>
        </w:rPr>
        <w:t xml:space="preserve"> </w:t>
      </w:r>
    </w:p>
    <w:p w:rsidR="00273172" w:rsidRDefault="00273172" w:rsidP="00395BA9">
      <w:pPr>
        <w:spacing w:before="120"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CONCLUSÃO</w:t>
      </w:r>
    </w:p>
    <w:p w:rsidR="00CF46A7" w:rsidRDefault="00273172" w:rsidP="00A472D8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7B740E">
        <w:rPr>
          <w:rFonts w:ascii="Times New Roman" w:eastAsia="Calibri" w:hAnsi="Times New Roman" w:cs="Times New Roman"/>
        </w:rPr>
        <w:t xml:space="preserve">Diante de todo o exposto, conclui-se que há </w:t>
      </w:r>
      <w:r w:rsidR="007E02C8">
        <w:rPr>
          <w:rFonts w:ascii="Times New Roman" w:eastAsia="Calibri" w:hAnsi="Times New Roman" w:cs="Times New Roman"/>
        </w:rPr>
        <w:t>um jogo</w:t>
      </w:r>
      <w:r w:rsidR="007B740E">
        <w:rPr>
          <w:rFonts w:ascii="Times New Roman" w:eastAsia="Calibri" w:hAnsi="Times New Roman" w:cs="Times New Roman"/>
        </w:rPr>
        <w:t xml:space="preserve"> de forças envolvendo os três poderes da União e que o art. 2ͦ da Constituição Federal é ineficaz, pois, concretamente os poderes não são de fato independentes entre si</w:t>
      </w:r>
      <w:r w:rsidR="00CF46A7">
        <w:rPr>
          <w:rFonts w:ascii="Times New Roman" w:eastAsia="Calibri" w:hAnsi="Times New Roman" w:cs="Times New Roman"/>
        </w:rPr>
        <w:t>.</w:t>
      </w:r>
    </w:p>
    <w:p w:rsidR="00B440C2" w:rsidRDefault="00CF46A7" w:rsidP="00A472D8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4047B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 saída para um dos maiores problemas enfrentados seria por meio de pressão popular sobre Pod</w:t>
      </w:r>
      <w:r w:rsidR="004047B4">
        <w:rPr>
          <w:rFonts w:ascii="Times New Roman" w:eastAsia="Calibri" w:hAnsi="Times New Roman" w:cs="Times New Roman"/>
        </w:rPr>
        <w:t>er Legislativo,</w:t>
      </w:r>
      <w:r>
        <w:rPr>
          <w:rFonts w:ascii="Times New Roman" w:eastAsia="Calibri" w:hAnsi="Times New Roman" w:cs="Times New Roman"/>
        </w:rPr>
        <w:t xml:space="preserve"> Executivo e o Judiciário</w:t>
      </w:r>
      <w:r w:rsidR="004047B4">
        <w:rPr>
          <w:rFonts w:ascii="Times New Roman" w:eastAsia="Calibri" w:hAnsi="Times New Roman" w:cs="Times New Roman"/>
        </w:rPr>
        <w:t>, pois, ambos</w:t>
      </w:r>
      <w:r>
        <w:rPr>
          <w:rFonts w:ascii="Times New Roman" w:eastAsia="Calibri" w:hAnsi="Times New Roman" w:cs="Times New Roman"/>
        </w:rPr>
        <w:t xml:space="preserve"> estão contaminados pela corrupção</w:t>
      </w:r>
      <w:r w:rsidR="00BE2519">
        <w:rPr>
          <w:rFonts w:ascii="Times New Roman" w:eastAsia="Calibri" w:hAnsi="Times New Roman" w:cs="Times New Roman"/>
        </w:rPr>
        <w:t xml:space="preserve"> e decidindo por </w:t>
      </w:r>
      <w:r w:rsidR="007E02C8">
        <w:rPr>
          <w:rFonts w:ascii="Times New Roman" w:eastAsia="Calibri" w:hAnsi="Times New Roman" w:cs="Times New Roman"/>
        </w:rPr>
        <w:t>meio</w:t>
      </w:r>
      <w:r w:rsidR="00BE2519">
        <w:rPr>
          <w:rFonts w:ascii="Times New Roman" w:eastAsia="Calibri" w:hAnsi="Times New Roman" w:cs="Times New Roman"/>
        </w:rPr>
        <w:t xml:space="preserve"> de uma hermenêutica</w:t>
      </w:r>
      <w:r w:rsidR="000905EC">
        <w:rPr>
          <w:rFonts w:ascii="Times New Roman" w:eastAsia="Calibri" w:hAnsi="Times New Roman" w:cs="Times New Roman"/>
        </w:rPr>
        <w:t xml:space="preserve"> que fere princípios constitucionais em prol de interesses individuais</w:t>
      </w:r>
      <w:r w:rsidR="004047B4">
        <w:rPr>
          <w:rFonts w:ascii="Times New Roman" w:eastAsia="Calibri" w:hAnsi="Times New Roman" w:cs="Times New Roman"/>
        </w:rPr>
        <w:t>. O certo é que não houvesse hierarquia entre</w:t>
      </w:r>
      <w:r w:rsidR="007B740E">
        <w:rPr>
          <w:rFonts w:ascii="Times New Roman" w:eastAsia="Calibri" w:hAnsi="Times New Roman" w:cs="Times New Roman"/>
        </w:rPr>
        <w:t xml:space="preserve"> </w:t>
      </w:r>
      <w:r w:rsidR="004047B4">
        <w:rPr>
          <w:rFonts w:ascii="Times New Roman" w:eastAsia="Calibri" w:hAnsi="Times New Roman" w:cs="Times New Roman"/>
        </w:rPr>
        <w:t>os poderes, nem diferenciação entre governantes e governados</w:t>
      </w:r>
      <w:r w:rsidR="00B440C2">
        <w:rPr>
          <w:rFonts w:ascii="Times New Roman" w:eastAsia="Calibri" w:hAnsi="Times New Roman" w:cs="Times New Roman"/>
        </w:rPr>
        <w:t>, buscando cumprir verdadeiramente o Estado Democrático e democrático de Direito.</w:t>
      </w:r>
    </w:p>
    <w:p w:rsidR="00B01D31" w:rsidRDefault="00B440C2" w:rsidP="00A472D8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Por certo, como defendido por muitos autores, deveria ser </w:t>
      </w:r>
      <w:r w:rsidR="007E02C8">
        <w:rPr>
          <w:rFonts w:ascii="Times New Roman" w:eastAsia="Calibri" w:hAnsi="Times New Roman" w:cs="Times New Roman"/>
        </w:rPr>
        <w:t>mudada a forma de nomeação de Ministros e Magistrados</w:t>
      </w:r>
      <w:r w:rsidR="00B87F04">
        <w:rPr>
          <w:rFonts w:ascii="Times New Roman" w:eastAsia="Calibri" w:hAnsi="Times New Roman" w:cs="Times New Roman"/>
        </w:rPr>
        <w:t>, pela forma do concurso público de provas e t</w:t>
      </w:r>
      <w:r w:rsidR="00BE2519">
        <w:rPr>
          <w:rFonts w:ascii="Times New Roman" w:eastAsia="Calibri" w:hAnsi="Times New Roman" w:cs="Times New Roman"/>
        </w:rPr>
        <w:t>ítulos, pois, assim estaria cumprindo</w:t>
      </w:r>
      <w:r w:rsidR="007E02C8">
        <w:rPr>
          <w:rFonts w:ascii="Times New Roman" w:eastAsia="Calibri" w:hAnsi="Times New Roman" w:cs="Times New Roman"/>
        </w:rPr>
        <w:t xml:space="preserve"> </w:t>
      </w:r>
      <w:r w:rsidR="00BE2519">
        <w:rPr>
          <w:rFonts w:ascii="Times New Roman" w:eastAsia="Calibri" w:hAnsi="Times New Roman" w:cs="Times New Roman"/>
        </w:rPr>
        <w:t>o que ordena a carta Magna, a partir do momento em que há uma nomeação a cargo tão relevante no judiciário não existe a figura de poderes harmônicos e independentes entre si, uma vez que o poder nomeante estará a influenciar com facilidade o membro que ora nomeou.</w:t>
      </w:r>
      <w:r w:rsidR="00191090">
        <w:rPr>
          <w:rFonts w:ascii="Times New Roman" w:eastAsia="Calibri" w:hAnsi="Times New Roman" w:cs="Times New Roman"/>
        </w:rPr>
        <w:t xml:space="preserve"> </w:t>
      </w:r>
    </w:p>
    <w:p w:rsidR="004D6545" w:rsidRDefault="004D6545" w:rsidP="00A472D8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Contudo, dada a impossibilidade do governo</w:t>
      </w:r>
      <w:r w:rsidR="00C22E82">
        <w:rPr>
          <w:rFonts w:ascii="Times New Roman" w:eastAsia="Calibri" w:hAnsi="Times New Roman" w:cs="Times New Roman"/>
        </w:rPr>
        <w:t xml:space="preserve"> direto do povo, cabe a este protestar para que seus representantes</w:t>
      </w:r>
      <w:r>
        <w:rPr>
          <w:rFonts w:ascii="Times New Roman" w:eastAsia="Calibri" w:hAnsi="Times New Roman" w:cs="Times New Roman"/>
        </w:rPr>
        <w:t xml:space="preserve"> façam cumprir seus papéis de mandatários, zelando pelo interesse do povo e n</w:t>
      </w:r>
      <w:r w:rsidR="00E126BC">
        <w:rPr>
          <w:rFonts w:ascii="Times New Roman" w:eastAsia="Calibri" w:hAnsi="Times New Roman" w:cs="Times New Roman"/>
        </w:rPr>
        <w:t>ão como ocorre costumeiramente, donde este em comportamento corporativista</w:t>
      </w:r>
      <w:r w:rsidR="007E02C8">
        <w:rPr>
          <w:rFonts w:ascii="Times New Roman" w:eastAsia="Calibri" w:hAnsi="Times New Roman" w:cs="Times New Roman"/>
        </w:rPr>
        <w:t xml:space="preserve"> zelam</w:t>
      </w:r>
      <w:r w:rsidR="00E126BC">
        <w:rPr>
          <w:rFonts w:ascii="Times New Roman" w:eastAsia="Calibri" w:hAnsi="Times New Roman" w:cs="Times New Roman"/>
        </w:rPr>
        <w:t xml:space="preserve"> por seus próprios interesses, mesmo que para isso tenham que influenciar a mais alta corte do Judiciário Brasileiro</w:t>
      </w:r>
      <w:r w:rsidR="00C22E82">
        <w:rPr>
          <w:rFonts w:ascii="Times New Roman" w:eastAsia="Calibri" w:hAnsi="Times New Roman" w:cs="Times New Roman"/>
        </w:rPr>
        <w:t>.</w:t>
      </w:r>
    </w:p>
    <w:p w:rsidR="00C77EA5" w:rsidRPr="00BE2519" w:rsidRDefault="00C77EA5" w:rsidP="00BE2519">
      <w:pPr>
        <w:pStyle w:val="NormalWeb"/>
        <w:spacing w:before="150" w:beforeAutospacing="0" w:after="75" w:afterAutospacing="0" w:line="288" w:lineRule="atLeast"/>
        <w:rPr>
          <w:rFonts w:ascii="Lucida Sans" w:hAnsi="Lucida Sans"/>
          <w:color w:val="333333"/>
          <w:sz w:val="18"/>
          <w:szCs w:val="18"/>
        </w:rPr>
      </w:pPr>
    </w:p>
    <w:p w:rsidR="00C22E82" w:rsidRDefault="00C22E82" w:rsidP="0087641B">
      <w:pPr>
        <w:spacing w:before="120" w:after="120"/>
      </w:pPr>
      <w:r>
        <w:t xml:space="preserve">BONAVIDES, Paulo. </w:t>
      </w:r>
      <w:r>
        <w:rPr>
          <w:b/>
        </w:rPr>
        <w:t xml:space="preserve">Curso de Direito Constitucional. </w:t>
      </w:r>
      <w:r w:rsidR="00A472D8">
        <w:t xml:space="preserve"> 17 ed. São Paulo: Malheiros, 2005.</w:t>
      </w:r>
    </w:p>
    <w:p w:rsidR="00A472D8" w:rsidRPr="00A472D8" w:rsidRDefault="00A472D8" w:rsidP="0087641B">
      <w:pPr>
        <w:spacing w:before="120" w:after="120"/>
      </w:pPr>
      <w:r>
        <w:t xml:space="preserve">REALE, Miguel. </w:t>
      </w:r>
      <w:r>
        <w:rPr>
          <w:b/>
        </w:rPr>
        <w:t xml:space="preserve">Teoria do Direito e do Estado. </w:t>
      </w:r>
      <w:r>
        <w:t>5 ed. São Paulo: Saraiva, 2000.</w:t>
      </w:r>
    </w:p>
    <w:p w:rsidR="00395BA9" w:rsidRDefault="0087641B" w:rsidP="0087641B">
      <w:pPr>
        <w:spacing w:before="120" w:after="120"/>
      </w:pPr>
      <w:r>
        <w:t>Disponível em:</w:t>
      </w:r>
      <w:r w:rsidR="00CE7F79">
        <w:t xml:space="preserve"> VIEIRA Jorge. Procurador que pediu a cassação de Jackson Lago é apadrinhado de Sarney</w:t>
      </w:r>
      <w:r w:rsidR="007E02C8">
        <w:t xml:space="preserve"> </w:t>
      </w:r>
      <w:r w:rsidR="00A73203">
        <w:t xml:space="preserve">para vaga no STJ. </w:t>
      </w:r>
      <w:r w:rsidR="00285844">
        <w:t>&lt;</w:t>
      </w:r>
      <w:r w:rsidRPr="0087641B">
        <w:t>http://www.</w:t>
      </w:r>
      <w:r w:rsidRPr="00A73203">
        <w:t>blogjorgevieira</w:t>
      </w:r>
      <w:r w:rsidRPr="0087641B">
        <w:t>.com/2013/03/procurador-que-pediu-cassacao-de.html</w:t>
      </w:r>
      <w:r>
        <w:t xml:space="preserve"> </w:t>
      </w:r>
      <w:r w:rsidR="00285844">
        <w:t>&gt;</w:t>
      </w:r>
      <w:r>
        <w:t>. Acesso em 11/10/2013.</w:t>
      </w:r>
    </w:p>
    <w:p w:rsidR="0087641B" w:rsidRDefault="0087641B" w:rsidP="0087641B">
      <w:pPr>
        <w:spacing w:before="120" w:after="120"/>
        <w:rPr>
          <w:rFonts w:ascii="Times New Roman" w:eastAsia="Calibri" w:hAnsi="Times New Roman" w:cs="Times New Roman"/>
          <w:b/>
        </w:rPr>
      </w:pPr>
      <w:r>
        <w:t>Disponível em:</w:t>
      </w:r>
      <w:r w:rsidR="00C22E82" w:rsidRPr="00C22E82">
        <w:rPr>
          <w:rFonts w:ascii="Lucida Sans" w:hAnsi="Lucida Sans"/>
          <w:color w:val="333333"/>
          <w:sz w:val="18"/>
          <w:szCs w:val="18"/>
        </w:rPr>
        <w:t xml:space="preserve"> </w:t>
      </w:r>
      <w:r w:rsidR="00C22E82" w:rsidRPr="00C22E82">
        <w:rPr>
          <w:rFonts w:ascii="Lucida Sans" w:hAnsi="Lucida Sans"/>
          <w:sz w:val="18"/>
          <w:szCs w:val="18"/>
        </w:rPr>
        <w:t>Gustavo Henrique Arrussul de Melo; Rogeres Rabelo</w:t>
      </w:r>
      <w:r w:rsidR="00C22E82">
        <w:rPr>
          <w:rFonts w:ascii="Lucida Sans" w:hAnsi="Lucida Sans"/>
          <w:color w:val="333333"/>
          <w:sz w:val="18"/>
          <w:szCs w:val="18"/>
        </w:rPr>
        <w:t xml:space="preserve"> </w:t>
      </w:r>
      <w:r w:rsidR="008444DD">
        <w:t xml:space="preserve"> Instituto de Ciência Politica da Universidade de Brasília</w:t>
      </w:r>
      <w:r>
        <w:t xml:space="preserve"> </w:t>
      </w:r>
      <w:r w:rsidR="00285844">
        <w:t>&lt;</w:t>
      </w:r>
      <w:r w:rsidRPr="006F0727">
        <w:t>http://www.arcos.org.br/cursos/politica-e-direito/artigos/a-questao-da-politizacao-do-judiciario</w:t>
      </w:r>
      <w:r w:rsidR="00285844">
        <w:t>&gt;</w:t>
      </w:r>
      <w:r w:rsidR="006F0727">
        <w:t xml:space="preserve"> acesso em: 10/10/2013.</w:t>
      </w:r>
    </w:p>
    <w:p w:rsidR="00395BA9" w:rsidRDefault="00395BA9" w:rsidP="003351C1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</w:p>
    <w:p w:rsidR="00395BA9" w:rsidRDefault="00395BA9" w:rsidP="003351C1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</w:p>
    <w:sectPr w:rsidR="00395BA9" w:rsidSect="00BE6F2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B69" w:rsidRDefault="004A6B69">
      <w:pPr>
        <w:spacing w:after="0" w:line="240" w:lineRule="auto"/>
      </w:pPr>
      <w:r>
        <w:separator/>
      </w:r>
    </w:p>
  </w:endnote>
  <w:endnote w:type="continuationSeparator" w:id="0">
    <w:p w:rsidR="004A6B69" w:rsidRDefault="004A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B69" w:rsidRDefault="004A6B69">
      <w:pPr>
        <w:spacing w:after="0" w:line="240" w:lineRule="auto"/>
      </w:pPr>
      <w:r>
        <w:separator/>
      </w:r>
    </w:p>
  </w:footnote>
  <w:footnote w:type="continuationSeparator" w:id="0">
    <w:p w:rsidR="004A6B69" w:rsidRDefault="004A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2F" w:rsidRDefault="00B71049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7E02C8">
      <w:rPr>
        <w:noProof/>
      </w:rPr>
      <w:t>1</w:t>
    </w:r>
    <w:r>
      <w:fldChar w:fldCharType="end"/>
    </w:r>
  </w:p>
  <w:p w:rsidR="00BE6F2F" w:rsidRDefault="00BE6F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C1"/>
    <w:rsid w:val="00000EE3"/>
    <w:rsid w:val="000242A9"/>
    <w:rsid w:val="000331AE"/>
    <w:rsid w:val="000905EC"/>
    <w:rsid w:val="00180F9B"/>
    <w:rsid w:val="00182C0D"/>
    <w:rsid w:val="001855D0"/>
    <w:rsid w:val="00191090"/>
    <w:rsid w:val="00191BF5"/>
    <w:rsid w:val="001D4FDB"/>
    <w:rsid w:val="002139DC"/>
    <w:rsid w:val="002346AD"/>
    <w:rsid w:val="00237C6F"/>
    <w:rsid w:val="002478F5"/>
    <w:rsid w:val="00247AB2"/>
    <w:rsid w:val="00273172"/>
    <w:rsid w:val="00275540"/>
    <w:rsid w:val="00285844"/>
    <w:rsid w:val="002B3C82"/>
    <w:rsid w:val="002C7E3D"/>
    <w:rsid w:val="003351C1"/>
    <w:rsid w:val="00342A7A"/>
    <w:rsid w:val="003809A0"/>
    <w:rsid w:val="00387A0F"/>
    <w:rsid w:val="0039264D"/>
    <w:rsid w:val="00395BA9"/>
    <w:rsid w:val="003A027D"/>
    <w:rsid w:val="003A78E1"/>
    <w:rsid w:val="003C1085"/>
    <w:rsid w:val="003F0603"/>
    <w:rsid w:val="004047B4"/>
    <w:rsid w:val="00442078"/>
    <w:rsid w:val="00484899"/>
    <w:rsid w:val="004A6B69"/>
    <w:rsid w:val="004C509D"/>
    <w:rsid w:val="004D6545"/>
    <w:rsid w:val="004F233B"/>
    <w:rsid w:val="005036F9"/>
    <w:rsid w:val="00547472"/>
    <w:rsid w:val="0057780A"/>
    <w:rsid w:val="005C1431"/>
    <w:rsid w:val="005E5C27"/>
    <w:rsid w:val="00613582"/>
    <w:rsid w:val="00634FAB"/>
    <w:rsid w:val="006C22D3"/>
    <w:rsid w:val="006F0727"/>
    <w:rsid w:val="006F4E2C"/>
    <w:rsid w:val="0072683A"/>
    <w:rsid w:val="0076408C"/>
    <w:rsid w:val="007652CA"/>
    <w:rsid w:val="007B740E"/>
    <w:rsid w:val="007D2203"/>
    <w:rsid w:val="007D336C"/>
    <w:rsid w:val="007E02C8"/>
    <w:rsid w:val="00826645"/>
    <w:rsid w:val="008444DD"/>
    <w:rsid w:val="00850661"/>
    <w:rsid w:val="00867164"/>
    <w:rsid w:val="00870681"/>
    <w:rsid w:val="0087641B"/>
    <w:rsid w:val="00881865"/>
    <w:rsid w:val="00883317"/>
    <w:rsid w:val="008C4B5E"/>
    <w:rsid w:val="008F3B3F"/>
    <w:rsid w:val="0093705D"/>
    <w:rsid w:val="009A6935"/>
    <w:rsid w:val="009E1F5E"/>
    <w:rsid w:val="009F29BF"/>
    <w:rsid w:val="00A140B6"/>
    <w:rsid w:val="00A17508"/>
    <w:rsid w:val="00A472D8"/>
    <w:rsid w:val="00A73203"/>
    <w:rsid w:val="00A7684F"/>
    <w:rsid w:val="00AB29B6"/>
    <w:rsid w:val="00B01D31"/>
    <w:rsid w:val="00B05374"/>
    <w:rsid w:val="00B17B75"/>
    <w:rsid w:val="00B22684"/>
    <w:rsid w:val="00B440C2"/>
    <w:rsid w:val="00B47482"/>
    <w:rsid w:val="00B64452"/>
    <w:rsid w:val="00B71049"/>
    <w:rsid w:val="00B87F04"/>
    <w:rsid w:val="00B90289"/>
    <w:rsid w:val="00BE2519"/>
    <w:rsid w:val="00BE6F2F"/>
    <w:rsid w:val="00C22E82"/>
    <w:rsid w:val="00C77EA5"/>
    <w:rsid w:val="00CA11B2"/>
    <w:rsid w:val="00CE4AC0"/>
    <w:rsid w:val="00CE7F79"/>
    <w:rsid w:val="00CF46A7"/>
    <w:rsid w:val="00CF7F5F"/>
    <w:rsid w:val="00D44C9B"/>
    <w:rsid w:val="00E126BC"/>
    <w:rsid w:val="00E30281"/>
    <w:rsid w:val="00EA1C6C"/>
    <w:rsid w:val="00ED23BA"/>
    <w:rsid w:val="00EE0FE2"/>
    <w:rsid w:val="00F13CD3"/>
    <w:rsid w:val="00FB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35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51C1"/>
  </w:style>
  <w:style w:type="paragraph" w:styleId="NormalWeb">
    <w:name w:val="Normal (Web)"/>
    <w:basedOn w:val="Normal"/>
    <w:uiPriority w:val="99"/>
    <w:unhideWhenUsed/>
    <w:rsid w:val="00C7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7780A"/>
  </w:style>
  <w:style w:type="character" w:styleId="Hyperlink">
    <w:name w:val="Hyperlink"/>
    <w:basedOn w:val="Fontepargpadro"/>
    <w:uiPriority w:val="99"/>
    <w:unhideWhenUsed/>
    <w:rsid w:val="00876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35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51C1"/>
  </w:style>
  <w:style w:type="paragraph" w:styleId="NormalWeb">
    <w:name w:val="Normal (Web)"/>
    <w:basedOn w:val="Normal"/>
    <w:uiPriority w:val="99"/>
    <w:unhideWhenUsed/>
    <w:rsid w:val="00C7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7780A"/>
  </w:style>
  <w:style w:type="character" w:styleId="Hyperlink">
    <w:name w:val="Hyperlink"/>
    <w:basedOn w:val="Fontepargpadro"/>
    <w:uiPriority w:val="99"/>
    <w:unhideWhenUsed/>
    <w:rsid w:val="00876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1753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DEBORA</cp:lastModifiedBy>
  <cp:revision>3</cp:revision>
  <dcterms:created xsi:type="dcterms:W3CDTF">2013-10-13T04:06:00Z</dcterms:created>
  <dcterms:modified xsi:type="dcterms:W3CDTF">2013-10-14T23:54:00Z</dcterms:modified>
</cp:coreProperties>
</file>