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BE" w:rsidRDefault="00111CBE" w:rsidP="00D605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BE">
        <w:rPr>
          <w:rFonts w:ascii="Times New Roman" w:hAnsi="Times New Roman" w:cs="Times New Roman"/>
          <w:sz w:val="24"/>
          <w:szCs w:val="24"/>
        </w:rPr>
        <w:t>Celeridade</w:t>
      </w:r>
      <w:r w:rsidR="00EC7A7A">
        <w:rPr>
          <w:rFonts w:ascii="Times New Roman" w:hAnsi="Times New Roman" w:cs="Times New Roman"/>
          <w:sz w:val="24"/>
          <w:szCs w:val="24"/>
        </w:rPr>
        <w:t xml:space="preserve"> no Brasil.</w:t>
      </w:r>
    </w:p>
    <w:p w:rsidR="00EC7A7A" w:rsidRDefault="00EC7A7A" w:rsidP="00D605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Pr="00111CBE" w:rsidRDefault="00EC7A7A" w:rsidP="00D605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CBE" w:rsidRPr="00111CBE" w:rsidRDefault="00111CBE" w:rsidP="00D605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6F" w:rsidRPr="00111CBE" w:rsidRDefault="00111CBE" w:rsidP="00D6050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1CBE">
        <w:rPr>
          <w:rFonts w:ascii="Times New Roman" w:hAnsi="Times New Roman" w:cs="Times New Roman"/>
          <w:sz w:val="24"/>
          <w:szCs w:val="24"/>
        </w:rPr>
        <w:t>Não é desconhecido por nós que a celeridade processual é tema recorrente em meios jurídicos, isso devido ao grande caos gerado pelo atolamento processual no cenário jurídico atual.</w:t>
      </w:r>
    </w:p>
    <w:p w:rsidR="00111CBE" w:rsidRPr="00111CBE" w:rsidRDefault="00D60506" w:rsidP="00D60506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 ilustre</w:t>
      </w:r>
      <w:r w:rsidR="00111CBE" w:rsidRPr="00111CBE">
        <w:rPr>
          <w:rFonts w:ascii="Times New Roman" w:hAnsi="Times New Roman" w:cs="Times New Roman"/>
          <w:sz w:val="24"/>
          <w:szCs w:val="24"/>
        </w:rPr>
        <w:t xml:space="preserve"> Rui Barbosa em seus textos já expunha seu ponto de vista sobre o referido tema, como </w:t>
      </w:r>
      <w:proofErr w:type="gramStart"/>
      <w:r w:rsidR="00111CBE" w:rsidRPr="00111CBE">
        <w:rPr>
          <w:rFonts w:ascii="Times New Roman" w:hAnsi="Times New Roman" w:cs="Times New Roman"/>
          <w:sz w:val="24"/>
          <w:szCs w:val="24"/>
        </w:rPr>
        <w:t>segue-se</w:t>
      </w:r>
      <w:proofErr w:type="gramEnd"/>
      <w:r w:rsidR="00111CBE" w:rsidRPr="00111CBE">
        <w:rPr>
          <w:rFonts w:ascii="Times New Roman" w:hAnsi="Times New Roman" w:cs="Times New Roman"/>
          <w:sz w:val="24"/>
          <w:szCs w:val="24"/>
        </w:rPr>
        <w:t xml:space="preserve"> no exemplo seguinte, “</w:t>
      </w:r>
      <w:r w:rsidR="00111CBE" w:rsidRPr="00111CBE">
        <w:rPr>
          <w:rFonts w:ascii="Times New Roman" w:eastAsia="Times New Roman" w:hAnsi="Times New Roman" w:cs="Times New Roman"/>
          <w:sz w:val="24"/>
          <w:szCs w:val="24"/>
          <w:lang w:eastAsia="pt-BR"/>
        </w:rPr>
        <w:t>A justiça atrasada não é justiça; senão injustiça qualificada e manifesta.”.</w:t>
      </w:r>
    </w:p>
    <w:p w:rsidR="006F7308" w:rsidRPr="006F7308" w:rsidRDefault="00111CBE" w:rsidP="006F730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F7308">
        <w:rPr>
          <w:rFonts w:ascii="Times New Roman" w:hAnsi="Times New Roman" w:cs="Times New Roman"/>
          <w:sz w:val="24"/>
          <w:szCs w:val="24"/>
        </w:rPr>
        <w:t>Entretanto apesar da</w:t>
      </w:r>
      <w:r w:rsidR="00D60506" w:rsidRPr="006F7308">
        <w:rPr>
          <w:rFonts w:ascii="Times New Roman" w:hAnsi="Times New Roman" w:cs="Times New Roman"/>
          <w:sz w:val="24"/>
          <w:szCs w:val="24"/>
        </w:rPr>
        <w:t xml:space="preserve"> preocupação de alguns juristas pelo tema, antes da Emenda Constitucional 45/04, poucas legislações pátrias </w:t>
      </w:r>
      <w:proofErr w:type="gramStart"/>
      <w:r w:rsidR="00D60506" w:rsidRPr="006F7308">
        <w:rPr>
          <w:rFonts w:ascii="Times New Roman" w:hAnsi="Times New Roman" w:cs="Times New Roman"/>
          <w:sz w:val="24"/>
          <w:szCs w:val="24"/>
        </w:rPr>
        <w:t>tinham expressos</w:t>
      </w:r>
      <w:proofErr w:type="gramEnd"/>
      <w:r w:rsidR="00D60506" w:rsidRPr="006F7308">
        <w:rPr>
          <w:rFonts w:ascii="Times New Roman" w:hAnsi="Times New Roman" w:cs="Times New Roman"/>
          <w:sz w:val="24"/>
          <w:szCs w:val="24"/>
        </w:rPr>
        <w:t xml:space="preserve"> em seu textos referências a esse princípio, um exemplo clássico é o próprio Código Civil em seu artigo 125, II, “Art. 125. O juiz dirigirá o processo conforme as disposições deste Código, competindo-lhe: [...] II - velar pela rápida solução do litígio; [...]”</w:t>
      </w:r>
      <w:r w:rsidR="006F7308" w:rsidRPr="006F7308">
        <w:rPr>
          <w:rFonts w:ascii="Times New Roman" w:hAnsi="Times New Roman" w:cs="Times New Roman"/>
          <w:sz w:val="24"/>
          <w:szCs w:val="24"/>
        </w:rPr>
        <w:t>. Além de artigos que utilizam de mecanismos para sancionar servidores que atrapalhem os andamentos dos procedimentos jurisdicionais.</w:t>
      </w:r>
    </w:p>
    <w:p w:rsidR="006F7308" w:rsidRDefault="006F7308" w:rsidP="006F730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08">
        <w:rPr>
          <w:rFonts w:ascii="Times New Roman" w:hAnsi="Times New Roman" w:cs="Times New Roman"/>
          <w:sz w:val="24"/>
          <w:szCs w:val="24"/>
        </w:rPr>
        <w:tab/>
        <w:t>Porém nada se mostrou efetivo, se não pela Justiça do Trabalho, que em prol do Princípio da Dignidade</w:t>
      </w:r>
      <w:r>
        <w:rPr>
          <w:rFonts w:ascii="Times New Roman" w:hAnsi="Times New Roman" w:cs="Times New Roman"/>
          <w:sz w:val="24"/>
          <w:szCs w:val="24"/>
        </w:rPr>
        <w:t xml:space="preserve"> Humana, que foi posto perante a</w:t>
      </w:r>
      <w:r w:rsidRPr="006F7308">
        <w:rPr>
          <w:rFonts w:ascii="Times New Roman" w:hAnsi="Times New Roman" w:cs="Times New Roman"/>
          <w:sz w:val="24"/>
          <w:szCs w:val="24"/>
        </w:rPr>
        <w:t xml:space="preserve"> necessidade processual.</w:t>
      </w:r>
    </w:p>
    <w:p w:rsidR="00E91D9E" w:rsidRDefault="00E91D9E" w:rsidP="006F730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9E" w:rsidRDefault="00E91D9E" w:rsidP="006F730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308" w:rsidRDefault="006F7308" w:rsidP="00E91D9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91D9E">
        <w:rPr>
          <w:rFonts w:ascii="Times New Roman" w:hAnsi="Times New Roman" w:cs="Times New Roman"/>
          <w:sz w:val="20"/>
          <w:szCs w:val="20"/>
        </w:rPr>
        <w:t>É princípio almejado do processo em geral, previsto na CLT (art. 765) e no CPC (art. 125, II). Batalha a define como uma das variantes do princípio da economia processual, juntamente com a concentração, eventualidade e saneamento, exigindo prazos exíguos e improrrogáveis (Tratado cit.). A referência à celeridade processual seria cômica, se não fosse trágica; a realidade mostra o substantivo oposto, a parcimônia processual.  (CARRION, pg.557, 2002)</w:t>
      </w:r>
    </w:p>
    <w:p w:rsidR="00E91D9E" w:rsidRDefault="00E91D9E" w:rsidP="00E91D9E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91D9E" w:rsidRDefault="00E91D9E" w:rsidP="00E91D9E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91D9E" w:rsidRDefault="00E91D9E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F62">
        <w:rPr>
          <w:rFonts w:ascii="Times New Roman" w:hAnsi="Times New Roman" w:cs="Times New Roman"/>
          <w:sz w:val="24"/>
          <w:szCs w:val="24"/>
        </w:rPr>
        <w:t xml:space="preserve">Outro momento em que os legisladores pátrios estiveram atentos a Celeridade processual foi na Constituição Federal de 1988, onde estes inseriram em seu artigo 98 o texto referente </w:t>
      </w:r>
      <w:proofErr w:type="gramStart"/>
      <w:r w:rsidR="00B00F6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00F62">
        <w:rPr>
          <w:rFonts w:ascii="Times New Roman" w:hAnsi="Times New Roman" w:cs="Times New Roman"/>
          <w:sz w:val="24"/>
          <w:szCs w:val="24"/>
        </w:rPr>
        <w:t xml:space="preserve"> criação dos Juizados Especiais, como se segue abaixo.</w:t>
      </w:r>
    </w:p>
    <w:p w:rsidR="00B00F62" w:rsidRDefault="00B00F6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62" w:rsidRDefault="00B00F6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62" w:rsidRPr="00B00F62" w:rsidRDefault="00B00F62" w:rsidP="00B00F62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00F62">
        <w:rPr>
          <w:rFonts w:ascii="Times New Roman" w:hAnsi="Times New Roman" w:cs="Times New Roman"/>
          <w:sz w:val="20"/>
          <w:szCs w:val="20"/>
        </w:rPr>
        <w:t>Art. 98 - A União, no Distrito Federal e nos Territórios, e os Estados criarão:</w:t>
      </w:r>
    </w:p>
    <w:p w:rsidR="00B00F62" w:rsidRPr="00B00F62" w:rsidRDefault="00B00F62" w:rsidP="00B00F62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00F62">
        <w:rPr>
          <w:rFonts w:ascii="Times New Roman" w:hAnsi="Times New Roman" w:cs="Times New Roman"/>
          <w:sz w:val="20"/>
          <w:szCs w:val="20"/>
        </w:rPr>
        <w:t xml:space="preserve">I - juizados especiais, providos por juízes togados, ou togados e leigos, competentes para a conciliação, o julgamento e a execução de causas cíveis de menor complexidade e infrações penais de menor potencial ofensivo, mediante os </w:t>
      </w:r>
      <w:r w:rsidRPr="00B00F62">
        <w:rPr>
          <w:rFonts w:ascii="Times New Roman" w:hAnsi="Times New Roman" w:cs="Times New Roman"/>
          <w:sz w:val="20"/>
          <w:szCs w:val="20"/>
        </w:rPr>
        <w:lastRenderedPageBreak/>
        <w:t>procedimentos oral e sumaríssimo, permitidos, nas hipóteses previstas em lei, a transação e o julgamento de recursos por turmas de juízes de primeiro grau.</w:t>
      </w:r>
    </w:p>
    <w:p w:rsidR="00B00F62" w:rsidRDefault="00B00F6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62" w:rsidRDefault="00B00F6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F62" w:rsidRDefault="00B00F6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Porém, houve um crescimento considerável da </w:t>
      </w:r>
      <w:r w:rsidR="00115072">
        <w:rPr>
          <w:rFonts w:ascii="Times New Roman" w:hAnsi="Times New Roman" w:cs="Times New Roman"/>
          <w:sz w:val="24"/>
          <w:szCs w:val="24"/>
        </w:rPr>
        <w:t>preocupação com a celeridade processual, quando entrou em vigor a Emenda Constitucional 45/04, ou seja, houve a constitucionalização de um princípio, pois o mesmo foi inserido no rol das garantias fundamentais dos seres humanos.</w:t>
      </w:r>
    </w:p>
    <w:p w:rsidR="00115072" w:rsidRDefault="0011507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METTA menciona o seguinte texto de Barroso:</w:t>
      </w:r>
    </w:p>
    <w:p w:rsidR="00115072" w:rsidRDefault="0011507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72" w:rsidRPr="00115072" w:rsidRDefault="00115072" w:rsidP="00115072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15072">
        <w:rPr>
          <w:rFonts w:ascii="Times New Roman" w:hAnsi="Times New Roman" w:cs="Times New Roman"/>
          <w:sz w:val="20"/>
          <w:szCs w:val="20"/>
        </w:rPr>
        <w:t>A Constituição, uma vez posta em vigência, é um documento jurídico, é um sistema de normas. As normas constitucionais, como espécie do gênero normas jurídicas, conservam os atributos essenciais destas, dentre os quais a imperatividade. De regra, como qualquer outra norma, elas contêm um mandamento, uma prescrição, uma ordem, com força jurídica e não apenas moral. Logo, a sua inobservância há de deflagrar um mecanismo próprio de coação, de cumprimento forçado, apto a garantir-lhe a imperatividade, inclusive pelo estabelecimento das consequências de insubmissão ao seu comando. As disposições constitucionais são não apenas normas jurídicas, como têm um caráter hierarquicamente superior, não obstante a paradoxal equivocidade que longamente campeou nesta matéria, considerando-as prescrições desprovidas de sanção, mero ideário não jurídico. (pg. 287, 2012)</w:t>
      </w:r>
    </w:p>
    <w:p w:rsidR="00115072" w:rsidRDefault="0011507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72" w:rsidRDefault="0011507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72" w:rsidRDefault="00115072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entanto, não houve mudanças significativas, assim no projeto do Novo Código de Processo Civil, uma das maiores expectativas é atender toda a necessidade de </w:t>
      </w:r>
      <w:r w:rsidR="005D0ED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desafogamento</w:t>
      </w:r>
      <w:proofErr w:type="spellEnd"/>
      <w:r w:rsidR="005D0ED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do judiciário. </w:t>
      </w:r>
    </w:p>
    <w:p w:rsidR="00115072" w:rsidRDefault="005D0ED3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Nesse projeto foram tomadas medidas com finalidade de atender a necessidade jurisdicional, que por vezes podem ser contrapor a outros princípios constitucionais.</w:t>
      </w:r>
    </w:p>
    <w:p w:rsidR="005D0ED3" w:rsidRDefault="005D0ED3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ED3" w:rsidRPr="005D0ED3" w:rsidRDefault="005D0ED3" w:rsidP="005D0ED3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0ED3">
        <w:rPr>
          <w:rFonts w:ascii="Times New Roman" w:hAnsi="Times New Roman" w:cs="Times New Roman"/>
          <w:sz w:val="20"/>
          <w:szCs w:val="20"/>
        </w:rPr>
        <w:t>Como reconhecido pelos próprios membros da comissão, suprimir garantias do jurisdicionado (dentre as quais se incluem os recursos) é tarefa difícil, pois env</w:t>
      </w:r>
      <w:r>
        <w:rPr>
          <w:rFonts w:ascii="Times New Roman" w:hAnsi="Times New Roman" w:cs="Times New Roman"/>
          <w:sz w:val="20"/>
          <w:szCs w:val="20"/>
        </w:rPr>
        <w:t>olve a ponderação de dois impor</w:t>
      </w:r>
      <w:r w:rsidRPr="005D0ED3">
        <w:rPr>
          <w:rFonts w:ascii="Times New Roman" w:hAnsi="Times New Roman" w:cs="Times New Roman"/>
          <w:sz w:val="20"/>
          <w:szCs w:val="20"/>
        </w:rPr>
        <w:t>tantes valores constitucionais, não necessariamente antagônicos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D3">
        <w:rPr>
          <w:rFonts w:ascii="Times New Roman" w:hAnsi="Times New Roman" w:cs="Times New Roman"/>
          <w:sz w:val="20"/>
          <w:szCs w:val="20"/>
        </w:rPr>
        <w:t>um lado, a segurança jurídica e, de outro, a celeridade processual. (PARENTONI, pg.131-132, 2012)</w:t>
      </w:r>
    </w:p>
    <w:p w:rsidR="005D0ED3" w:rsidRDefault="005D0ED3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ED3" w:rsidRDefault="005D0ED3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ED3" w:rsidRDefault="005D0ED3" w:rsidP="00E91D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Algumas medidas que os legisladore</w:t>
      </w:r>
      <w:r w:rsidR="00A86D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8D">
        <w:rPr>
          <w:rFonts w:ascii="Times New Roman" w:hAnsi="Times New Roman" w:cs="Times New Roman"/>
          <w:sz w:val="24"/>
          <w:szCs w:val="24"/>
        </w:rPr>
        <w:t xml:space="preserve">pátrios tomaram, foram a supressão de recurso, a </w:t>
      </w:r>
      <w:proofErr w:type="gramStart"/>
      <w:r w:rsidR="00A86D8D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A86D8D">
        <w:rPr>
          <w:rFonts w:ascii="Times New Roman" w:hAnsi="Times New Roman" w:cs="Times New Roman"/>
          <w:sz w:val="24"/>
          <w:szCs w:val="24"/>
        </w:rPr>
        <w:t xml:space="preserve"> no código do processo eletrônico, ou mesmo em relação aos prazos e por ultimo o incentivo aos procedimentos extrajudiciais.</w:t>
      </w:r>
    </w:p>
    <w:p w:rsidR="00A86D8D" w:rsidRPr="00A86D8D" w:rsidRDefault="00A86D8D" w:rsidP="00A86D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ab/>
      </w:r>
      <w:r w:rsidRPr="00A86D8D">
        <w:rPr>
          <w:rFonts w:ascii="Times New Roman" w:hAnsi="Times New Roman" w:cs="Times New Roman"/>
          <w:sz w:val="24"/>
          <w:szCs w:val="24"/>
        </w:rPr>
        <w:t xml:space="preserve">Em relação ao recurso suprimido, trata-se do Embargo Infringente, como expresso nas palavras de </w:t>
      </w:r>
      <w:r w:rsidRPr="00A86D8D">
        <w:rPr>
          <w:rFonts w:ascii="Times New Roman" w:eastAsia="Times New Roman" w:hAnsi="Times New Roman" w:cs="Times New Roman"/>
          <w:sz w:val="24"/>
          <w:szCs w:val="24"/>
          <w:lang w:eastAsia="pt-BR"/>
        </w:rPr>
        <w:t>GROSSMAN;</w:t>
      </w:r>
    </w:p>
    <w:p w:rsidR="00A86D8D" w:rsidRPr="00A86D8D" w:rsidRDefault="00A86D8D" w:rsidP="00A86D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6D8D" w:rsidRPr="00A86D8D" w:rsidRDefault="00A86D8D" w:rsidP="00A86D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6D8D" w:rsidRPr="00A86D8D" w:rsidRDefault="00A86D8D" w:rsidP="00A86D8D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6D8D">
        <w:rPr>
          <w:rFonts w:ascii="Times New Roman" w:eastAsia="Calibri" w:hAnsi="Times New Roman" w:cs="Times New Roman"/>
          <w:sz w:val="20"/>
          <w:szCs w:val="20"/>
        </w:rPr>
        <w:t xml:space="preserve">No que tange aos embargos infringentes, estes já sofreram algumas mitigações, quer por alterações no Regimento Interno do Tribunal, quer por alterações introduzidas pela Lei nº. 10.352/2001. Ademais, os cada vez mais raros votos vencidos vêm provocando diminuta quantidade dessa espécie de recurso, o que, todavia, ao contrário do que possa parecer, têm mostrado a possibilidade de eficaz reexame de matéria controvertida, ensejando decisão mais equilibrada às demandas, pela possibilidade de sua revisão ainda na instância ordinária. Prova disso é o elevado número de ementas colacionadas pelos tribunais, oriundas de embargos </w:t>
      </w:r>
      <w:proofErr w:type="gramStart"/>
      <w:r w:rsidRPr="00A86D8D">
        <w:rPr>
          <w:rFonts w:ascii="Times New Roman" w:eastAsia="Calibri" w:hAnsi="Times New Roman" w:cs="Times New Roman"/>
          <w:sz w:val="20"/>
          <w:szCs w:val="20"/>
        </w:rPr>
        <w:t>infringentes.</w:t>
      </w:r>
      <w:proofErr w:type="gramEnd"/>
      <w:r w:rsidRPr="00A86D8D">
        <w:rPr>
          <w:rFonts w:ascii="Times New Roman" w:eastAsia="Calibri" w:hAnsi="Times New Roman" w:cs="Times New Roman"/>
          <w:sz w:val="20"/>
          <w:szCs w:val="20"/>
        </w:rPr>
        <w:t>(pg. 4,2012)</w:t>
      </w:r>
    </w:p>
    <w:p w:rsidR="00A86D8D" w:rsidRPr="00A86D8D" w:rsidRDefault="00A86D8D" w:rsidP="00A86D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Default="00BC0D44" w:rsidP="00BC0D4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D44" w:rsidRPr="00BC0D44" w:rsidRDefault="00FD6B26" w:rsidP="00BC0D44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mudanças em relação aos pra</w:t>
      </w:r>
      <w:r w:rsidR="00BC0D44">
        <w:rPr>
          <w:rFonts w:ascii="Times New Roman" w:hAnsi="Times New Roman" w:cs="Times New Roman"/>
          <w:sz w:val="24"/>
          <w:szCs w:val="24"/>
        </w:rPr>
        <w:t>zos estão nos seguintes artigos:</w:t>
      </w:r>
    </w:p>
    <w:p w:rsidR="00BC0D44" w:rsidRPr="00BC0D44" w:rsidRDefault="00BC0D44" w:rsidP="00BC0D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Pr="00BC0D44" w:rsidRDefault="00BC0D44" w:rsidP="00BC0D4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Pr="00BC0D44" w:rsidRDefault="00BC0D44" w:rsidP="00BC0D44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>Art. 95. A União, os Estados, o Distrito Federal, os Municípios e suas respectivas autarquias e fundações de direito público gozarão de prazo em dobro para todas as suas manifestações processuais, cuja contagem terá início a partir da vista pessoal dos autos, mediante carga ou remessa.</w:t>
      </w:r>
    </w:p>
    <w:p w:rsidR="00BC0D44" w:rsidRPr="00BC0D44" w:rsidRDefault="00BC0D44" w:rsidP="00BC0D44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>Art. 149. O Ministério Público, seja como parte, seja como fiscal da lei</w:t>
      </w:r>
      <w:proofErr w:type="gramStart"/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>, gozará</w:t>
      </w:r>
      <w:proofErr w:type="gramEnd"/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prazo em dobro para se manifestar nos autos, que terá início a partir da sua intimação pessoal mediante carga ou remessa.</w:t>
      </w:r>
    </w:p>
    <w:p w:rsidR="00BC0D44" w:rsidRPr="00BC0D44" w:rsidRDefault="00BC0D44" w:rsidP="00BC0D44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>Art. 410. A falsidade deve ser suscitada na contestação ou no prazo de cinco dias contados a partir da intimação da juntada aos autos do documento.</w:t>
      </w:r>
    </w:p>
    <w:p w:rsidR="00BC0D44" w:rsidRPr="00BC0D44" w:rsidRDefault="00BC0D44" w:rsidP="00BC0D44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0D44">
        <w:rPr>
          <w:rFonts w:ascii="Times New Roman" w:eastAsia="Times New Roman" w:hAnsi="Times New Roman" w:cs="Times New Roman"/>
          <w:sz w:val="20"/>
          <w:szCs w:val="20"/>
          <w:lang w:eastAsia="pt-BR"/>
        </w:rPr>
        <w:t>Art. 186. Os litisconsortes que tiverem diferentes procuradores, a Fazenda Pública, o Ministério Público e a Defensoria Pública terão prazos contados em dobro para se manifestar nos autos.</w:t>
      </w:r>
    </w:p>
    <w:p w:rsidR="00BC0D44" w:rsidRPr="00BC0D44" w:rsidRDefault="00BC0D44" w:rsidP="00BC0D44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Pr="00BC0D44" w:rsidRDefault="00BC0D44" w:rsidP="00BC0D4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procedimentos extrajudiciais estão expressos nos seguintes artigos, que tem como finalidade a diminuição de processos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que chegam ao crivo do judiciário.</w:t>
      </w: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134. </w:t>
      </w:r>
      <w:r w:rsidRPr="00BC0D44">
        <w:rPr>
          <w:rFonts w:ascii="Times New Roman" w:eastAsia="Calibri" w:hAnsi="Times New Roman" w:cs="Times New Roman"/>
          <w:sz w:val="20"/>
          <w:szCs w:val="20"/>
        </w:rPr>
        <w:t>Cada tribunal pode propor que se crie, por lei de organização judiciária, um setor de conciliação e mediação.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1º A conciliação e a mediação são informadas pelos princípios da independência, da neutralidade, da autonomia da vontade, da confidencialidade, da oralidade e da informalidade.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2º A confidencialidade se estende a todas as informações produzidas ao longo do procedimento, cujo teor não poderá ser utilizado para fim diverso daquele previsto por expressa deliberação das partes.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3º Em virtude do dever de sigilo, inerente à sua função, o conciliador e o mediador e sua equipe não poderão divulgar ou depor acerca de fatos ou elementos oriundos da conciliação ou da mediação.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135. </w:t>
      </w:r>
      <w:r w:rsidRPr="00BC0D44">
        <w:rPr>
          <w:rFonts w:ascii="Times New Roman" w:eastAsia="Calibri" w:hAnsi="Times New Roman" w:cs="Times New Roman"/>
          <w:sz w:val="20"/>
          <w:szCs w:val="20"/>
        </w:rPr>
        <w:t>A realização de conciliação ou mediação deverá ser estimulada por magistrados, advogados, defensores públicos e membros do Ministério Público, inclusive no curso do processo judicial.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1º O conciliador poderá sugerir soluções para o litígio.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2º O mediador auxiliará as pessoas em conflito a identificarem, por si mesmas alternativas de benefício mútuo.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Art. 136. </w:t>
      </w:r>
      <w:r w:rsidRPr="00BC0D44">
        <w:rPr>
          <w:rFonts w:ascii="Times New Roman" w:eastAsia="Calibri" w:hAnsi="Times New Roman" w:cs="Times New Roman"/>
          <w:sz w:val="20"/>
          <w:szCs w:val="20"/>
        </w:rPr>
        <w:t>O conciliador ou o mediador poderá ser escolhido pelas partes de comum acordo, observada a legislação pertinente.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Parágrafo único. </w:t>
      </w:r>
      <w:r w:rsidRPr="00BC0D44">
        <w:rPr>
          <w:rFonts w:ascii="Times New Roman" w:eastAsia="Calibri" w:hAnsi="Times New Roman" w:cs="Times New Roman"/>
          <w:sz w:val="20"/>
          <w:szCs w:val="20"/>
        </w:rPr>
        <w:t>Não havendo acordo, o conciliador ou o mediador será sorteado entre aqueles inscritos no registro do tribunal.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137. </w:t>
      </w:r>
      <w:r w:rsidRPr="00BC0D44">
        <w:rPr>
          <w:rFonts w:ascii="Times New Roman" w:eastAsia="Calibri" w:hAnsi="Times New Roman" w:cs="Times New Roman"/>
          <w:sz w:val="20"/>
          <w:szCs w:val="20"/>
        </w:rPr>
        <w:t>Os tribunais manterão um registro de conciliadores e mediadores, que conterá o cadastro atualizado de todos os habilitados por área profissional.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1º Preenchendo os requisitos exigidos pelo tribunal, entre os </w:t>
      </w:r>
      <w:proofErr w:type="spellStart"/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quais,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>necessariamente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>, inscrição na Ordem dos Advogados do Brasil e a capacitação mínima, por meio de curso realizado por entidade credenciada pelo tribunal, o conciliador ou o mediador, com o certificado respectivo, requererá inscrição no registro do tribunal.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2º Efetivado o registro, caberá ao tribunal remeter ao diretor </w:t>
      </w:r>
      <w:proofErr w:type="spellStart"/>
      <w:r w:rsidRPr="00BC0D44">
        <w:rPr>
          <w:rFonts w:ascii="Times New Roman" w:eastAsia="Calibri" w:hAnsi="Times New Roman" w:cs="Times New Roman"/>
          <w:sz w:val="20"/>
          <w:szCs w:val="20"/>
        </w:rPr>
        <w:t>dofórum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da comarca ou da seção judiciária onde atuará o conciliador ou o mediador os dados necessários para que o nome deste passe a constar do rol da respectiva lista, para efeito de sorteio.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3º Do registro de conciliadores e mediadores constarão todos os dados relevantes para a sua atuação, tais como o número de causas de que participou, o sucesso ou o insucesso da atividade, a matéria sobre a qual versou a controvérsia, bem como quaisquer outros dados que o tribunal julgar relevantes.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4º Os dados colhidos na forma do § 3º serão classificados </w:t>
      </w:r>
      <w:proofErr w:type="spellStart"/>
      <w:r w:rsidRPr="00BC0D44">
        <w:rPr>
          <w:rFonts w:ascii="Times New Roman" w:eastAsia="Calibri" w:hAnsi="Times New Roman" w:cs="Times New Roman"/>
          <w:sz w:val="20"/>
          <w:szCs w:val="20"/>
        </w:rPr>
        <w:t>sistematicamentepelo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tribunal, que os publicará, ao menos anualmente, para conhecimento da população e fins estatísticos, bem como para o fim de avaliação da conciliação, da mediação, dos conciliadores e dos mediadores.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138. </w:t>
      </w: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Será excluído do registro de conciliadores e </w:t>
      </w:r>
      <w:proofErr w:type="spellStart"/>
      <w:r w:rsidRPr="00BC0D44">
        <w:rPr>
          <w:rFonts w:ascii="Times New Roman" w:eastAsia="Calibri" w:hAnsi="Times New Roman" w:cs="Times New Roman"/>
          <w:sz w:val="20"/>
          <w:szCs w:val="20"/>
        </w:rPr>
        <w:t>mediadoresaquele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que: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I – tiver sua exclusão solicitada por qualquer órgão julgador do tribunal;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II – agir com dolo ou culpa na condução da conciliação ou da </w:t>
      </w:r>
      <w:proofErr w:type="spellStart"/>
      <w:r w:rsidRPr="00BC0D44">
        <w:rPr>
          <w:rFonts w:ascii="Times New Roman" w:eastAsia="Calibri" w:hAnsi="Times New Roman" w:cs="Times New Roman"/>
          <w:sz w:val="20"/>
          <w:szCs w:val="20"/>
        </w:rPr>
        <w:t>mediaçãosob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sua responsabilidade;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III – violar os deveres de confidencialidade e neutralidade;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IV – atuar em procedimento de mediação, apesar de impedido.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1º Os casos previstos nos incisos II a IV serão apurados em regular processo administrativo.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2º O juiz da causa, verificando atuação inadequada do conciliador ou do mediador, poderá afastá-lo motivadamente de suas atividades no processo, informando ao tribunal e à Ordem dos Advogados do Brasil, para instauração do respectivo processo administrativo.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139. </w:t>
      </w:r>
      <w:r w:rsidRPr="00BC0D44">
        <w:rPr>
          <w:rFonts w:ascii="Times New Roman" w:eastAsia="Calibri" w:hAnsi="Times New Roman" w:cs="Times New Roman"/>
          <w:sz w:val="20"/>
          <w:szCs w:val="20"/>
        </w:rPr>
        <w:t>No caso de impedimento, o conciliador ou o mediador devolverá os autos ao juiz, que sorteará outro em seu lugar; se a causa de impedimento for apurada quando já iniciado o procedimento, a atividade será interrompida, lavrando-se ata com o relatório do ocorrido e a solicitação de sorteio de novo conciliador ou mediador.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140. </w:t>
      </w:r>
      <w:r w:rsidRPr="00BC0D44">
        <w:rPr>
          <w:rFonts w:ascii="Times New Roman" w:eastAsia="Calibri" w:hAnsi="Times New Roman" w:cs="Times New Roman"/>
          <w:sz w:val="20"/>
          <w:szCs w:val="20"/>
        </w:rPr>
        <w:t>No caso de impossibilidade temporária do exercício da função, o conciliador ou o mediador informará o fato ao tribunal para que, durante o período em que perdurar a impossibilidade, não haja novas distribuições.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141. </w:t>
      </w:r>
      <w:r w:rsidRPr="00BC0D44">
        <w:rPr>
          <w:rFonts w:ascii="Times New Roman" w:eastAsia="Calibri" w:hAnsi="Times New Roman" w:cs="Times New Roman"/>
          <w:sz w:val="20"/>
          <w:szCs w:val="20"/>
        </w:rPr>
        <w:t>O conciliador ou o mediador fica impedido, pelo prazo de um ano contado a partir do término do procedimento, de assessorar, representar ou patrocinar qualquer dos litigantes.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142. </w:t>
      </w: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O conciliador e o mediador perceberão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por seu trabalho remuneração prevista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em tabela fixada pelo tribunal, conforme parâmetros estabelecidos pelo Conselho Nacional de Justiça.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143. </w:t>
      </w:r>
      <w:r w:rsidRPr="00BC0D44">
        <w:rPr>
          <w:rFonts w:ascii="Times New Roman" w:eastAsia="Calibri" w:hAnsi="Times New Roman" w:cs="Times New Roman"/>
          <w:sz w:val="20"/>
          <w:szCs w:val="20"/>
        </w:rPr>
        <w:t>Obtida a transação, as partes e o conciliador ou o mediador assinarão termo, a ser homologado pelo juiz, que terá força de título executivo judicial.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144. </w:t>
      </w:r>
      <w:r w:rsidRPr="00BC0D44">
        <w:rPr>
          <w:rFonts w:ascii="Times New Roman" w:eastAsia="Calibri" w:hAnsi="Times New Roman" w:cs="Times New Roman"/>
          <w:sz w:val="20"/>
          <w:szCs w:val="20"/>
        </w:rPr>
        <w:t>As disposições desta Seção não excluem outras formas de conciliação e mediação extrajudiciais vinculadas a órgãos institucionais ou realizadas por intermédio de profissionais independentes.</w:t>
      </w:r>
    </w:p>
    <w:p w:rsidR="00BC0D44" w:rsidRPr="00BC0D44" w:rsidRDefault="00BC0D44" w:rsidP="00BC0D44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D44" w:rsidRDefault="00BC0D44" w:rsidP="00BC0D4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fim temos o processo eletrônico, que é tendência mundial, e que no próximo código aparecerá com força máxima,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observa-se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151. </w:t>
      </w: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Os atos e os termos processuais não dependem de forma determinada, senão quando a lei expressamente a exigir, considerando-se válidos os que, realizados de outro modo, lhe preencham a finalidade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essencial.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>[...]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3º Os processos podem ser, total ou parcialmente, eletrônicos, de modo que todos os atos e os termos do processo sejam produzidos, transmitidos, armazenados e assinados por meio eletrônico, na forma da lei, cumprindo aos interessados obter a tecnologia necessária para acessar os dados, sem prejuízo da disponibilização nos foros judiciários e nos tribunais dos meios necessários para o acesso às informações eletrônicas e da porta de entrada para carregar o sistema com as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informações.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>[...]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4º O procedimento eletrônico deve ter sua sistemática unificada em todos os tribunais, cumprindo ao Conselho Nacional de Justiça a edição de ato que incorpore e regulamente os avanços tecnológicos.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Art. 168. Os atos processuais eletrônicos serão praticados em qualquer horário.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bCs/>
          <w:sz w:val="20"/>
          <w:szCs w:val="20"/>
        </w:rPr>
        <w:t xml:space="preserve">Art. 362. </w:t>
      </w: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O escrivão lavrará,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sob ditado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do juiz, termo que conterá, em resumo, o ocorrido na audiência, bem como, por extenso, os despachos, as decisões e a sentença, se proferida no ato.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1º Quando o termo não for registrado em meio eletrônico, o juiz </w:t>
      </w:r>
      <w:proofErr w:type="spellStart"/>
      <w:r w:rsidRPr="00BC0D44">
        <w:rPr>
          <w:rFonts w:ascii="Times New Roman" w:eastAsia="Calibri" w:hAnsi="Times New Roman" w:cs="Times New Roman"/>
          <w:sz w:val="20"/>
          <w:szCs w:val="20"/>
        </w:rPr>
        <w:t>rubricar-lhe-á</w:t>
      </w:r>
      <w:proofErr w:type="spell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as folhas, que serão encadernadas em volume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próprio.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>[...]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§ 4º Tratando-se de processo eletrônico, será observado o disposto na legislação específica e em normas internas dos tribunais.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§ 5º A audiência poderá ser integralmente gravada em imagem e em áudio, em meio digital ou analógico, desde que assegure o rápido acesso das partes e dos órgãos </w:t>
      </w:r>
      <w:proofErr w:type="gramStart"/>
      <w:r w:rsidRPr="00BC0D44">
        <w:rPr>
          <w:rFonts w:ascii="Times New Roman" w:eastAsia="Calibri" w:hAnsi="Times New Roman" w:cs="Times New Roman"/>
          <w:sz w:val="20"/>
          <w:szCs w:val="20"/>
        </w:rPr>
        <w:t>julgadores, observada</w:t>
      </w:r>
      <w:proofErr w:type="gramEnd"/>
      <w:r w:rsidRPr="00BC0D44">
        <w:rPr>
          <w:rFonts w:ascii="Times New Roman" w:eastAsia="Calibri" w:hAnsi="Times New Roman" w:cs="Times New Roman"/>
          <w:sz w:val="20"/>
          <w:szCs w:val="20"/>
        </w:rPr>
        <w:t xml:space="preserve"> a legislação específica.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Art. 418. A utilização de documentos eletrônicos no processo convencional dependerá de sua conversão à forma impressa e de verificação de sua autenticidade, na forma da lei.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Art. 419. O juiz apreciará o valor probante do documento eletrônico não convertido, assegurado às partes o acesso ao seu teor.</w:t>
      </w:r>
    </w:p>
    <w:p w:rsidR="00BC0D44" w:rsidRPr="00BC0D44" w:rsidRDefault="00BC0D44" w:rsidP="00BC0D4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0D44">
        <w:rPr>
          <w:rFonts w:ascii="Times New Roman" w:eastAsia="Calibri" w:hAnsi="Times New Roman" w:cs="Times New Roman"/>
          <w:sz w:val="20"/>
          <w:szCs w:val="20"/>
        </w:rPr>
        <w:t>Art. 420. Serão admitidos documentos eletrônicos produzidos e conservados com a observância da legislação específica.</w:t>
      </w:r>
    </w:p>
    <w:p w:rsidR="00BC0D44" w:rsidRDefault="00BC0D44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Default="00EC7A7A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Default="00EC7A7A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percebe-se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as mudanças em prol da Celeridade 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todas as forças neste novo projeto, e buscará solucionar os problemas que são acumulados por anos, diminuindo significativamente os processos em atraso.</w:t>
      </w:r>
    </w:p>
    <w:p w:rsidR="00EC7A7A" w:rsidRDefault="00EC7A7A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Default="00EC7A7A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Default="00EC7A7A" w:rsidP="00BC0D4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7A" w:rsidRPr="00EC7A7A" w:rsidRDefault="00EC7A7A" w:rsidP="00EC7A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p w:rsidR="00EC7A7A" w:rsidRPr="00EC7A7A" w:rsidRDefault="00EC7A7A" w:rsidP="00EC7A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BETANIN,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Kauana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Processo Eletrônico e o Princípio da Celeridade Processual &lt;http://w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ww.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egov.ufsc.br/portal/conteudo/o-processo-eletr%C3%B4nico-e-o-princ%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C3%ADpio-da-celeridade-processual&gt; acessado em 14 de agosto de 2013</w:t>
      </w: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BRASIL. Constituição Federal de 20 de outubro de 1988.</w:t>
      </w: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BRASIL. Projeto de Lei de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2010. Dispõe sobre o Novo Código De Processo Civil.</w:t>
      </w: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BRASIL. Lei 5.869 de 11 de janeiro de 197. Dispõe sobre o Código de </w:t>
      </w:r>
      <w:proofErr w:type="spellStart"/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ProcessiCilvil</w:t>
      </w:r>
      <w:proofErr w:type="spellEnd"/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no território nacional.</w:t>
      </w:r>
    </w:p>
    <w:p w:rsidR="00EC7A7A" w:rsidRPr="00EC7A7A" w:rsidRDefault="00EC7A7A" w:rsidP="00EC7A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CARRION, Valentin. Comentários à consolidação das leis do trabalho. 27.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 : Saraiva, 2002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CHEHAD, Michael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Nedeff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A Celeridade Como Nova Fase de Evolução do Processo&lt;http://www.abdpc.org.br/abdpc/artigos/MICHAEL%20CHEHADE%20-%20VER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S%C3%83O%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20FINAL.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pdf&gt; acessado em 29 de agosto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COSTA,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Henrique. Princípios constitucionais expressamente adotados pelo código. &lt;http://www.arcos.org.br/artigos/novo-cpc-coment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arios-ao-anteprojeto/principios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constitucion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ais-expressamente-adotados-pelo-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codigo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/&gt; acessado em agosto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DUARTE, </w:t>
      </w:r>
      <w:proofErr w:type="spellStart"/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AntoniAurelio</w:t>
      </w:r>
      <w:proofErr w:type="spellEnd"/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Rami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Abia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Os Princípios no Projeto do Novo Código de Processo Civil: Visão Panorâmica&lt;http://www.emerj.tjrj.jus.br/revistaemerj_online/edicoes/revista61/revista61_47.pdf&gt; acessado em 12 de setembro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GROSSMAN,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Jacksohn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Novo CPC, Supressão de Recursos e Outras Questões. &lt;http://www.iabnacional.org.br/IMG/pdf/doc-3735.pdf&gt; acessado em 15 de setembro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LAMBDA,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Maxuell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Princípio da Celeridade Processual &lt;http://www.maxwell.lambda.ele.puc-rio.br/13488/13488_7.PDF&gt; acessado em 20 de agosto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LEÇA,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Laise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Nunes Mariz. Parte geral e processo de conhecimento do projeto do novo Código de Processo Civil e a busca pela celeridade&lt;http://www.ambito-juridico.com.br/site/?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n_link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=revista_artigos_leitura&amp;artigo_id=11692&gt; acessado em 15 de agosto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MEIRELLES, Hely Lopes. Direito Administrativo Brasileiro. São Paulo: Malheiros, 2002.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MERLO, Ana Carina França. Mediação, Conciliação e Celeridade Processual&lt; acessado em 14 de agosto de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2013</w:t>
      </w:r>
      <w:proofErr w:type="gramEnd"/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METTA, Victor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Sarfatis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O Princípio da Celeridade Processual à Luz do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Jushumanismo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Direito Processual Moderno&lt;http://www.ambito-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juridico.com.br/site/?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n_link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=revista_artigos_leitura&amp;artigo_id=12550&gt; acessado em 14 de agosto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MORAES, Alexandre de. Constituição do Brasil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intepretada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legislação constitucional.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ed. São Paulo: Atlas, 2004.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ORTEGA, Carlos Eduardo. Novo CPC Deve Atender a Realidade Brasileira &lt;http://www.conjur.com.br/2010-fev-28/cpc-esta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r-sintonia-sociedade-brasileira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atual?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pagina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3&gt; acessado em 03 de fevereiro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PARENTONI, Leonardo Netto. Celeridade no Projeto do Novo CPC &lt;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http://www.direito.ufmg.br/revista/index.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php/revista/article/view/152&gt; acessado em 12 de marco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PEREIRA,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Bernado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Augusto da Costa. O princípio da cooperação no novo Código de Processo Civil: o fim das divergências doutrinárias quanto a configuração do processo&lt;http://jus.com.br/artigos/22420/o-principio-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da-cooperacao-no-novo-codigo-de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proc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esso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-civil-o-fim-das-divergencias-doutri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narias-quanto-a-configuracao-do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processo#ixzz2fTBE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VHsw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&gt; acessado em 28 de julho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PRADO, João Carlos Navarro de Almeida, Princípio Constitucional da Celeridade Processual &lt;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http://www.teses.usp.br/teses/disponiveis/2/2134/tde-22102012-115308/pt-br.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php&gt; acessado em 05 de setembro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SARGABOSSA,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Fernando; JENSEN, </w:t>
      </w:r>
      <w:proofErr w:type="spell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Grasiela</w:t>
      </w:r>
      <w:proofErr w:type="spell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, A Emenda Constitucional nº 45/04 e o princípio da celeridade ou brevidade processual&lt;http://jus.com.br/artigos/6676/a-emenda-constitucional-no-45-04-e-o-princ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ipio-da-celeridade-ou-brevidade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processual/2#ixzz2f5CfkjA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X&gt; acessado em 22de agosto de 2013.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THEODORO JÚNIOR, Humberto. </w:t>
      </w:r>
      <w:r w:rsidRPr="00EC7A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As Novas Reformas do Código de Processo Civil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. Rio de Janeiro: Forense, 2006.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THEODORO JUNIOR, Humberto. Curso de Direito Processual Civil. 39.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V. 1. Rio de 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: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Forense, 2003.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&lt;http://www2.camara.leg.br/camaranoticias/no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ticias/DIREITO-E-JUSTICA/207033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ESPE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CIALISTAS-DEFENDEM-Q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UE-NOVO-CPC-TRAGA-PRINCIPIOS-DO</w:t>
      </w: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PROCESSO-ELETRONICO.html&gt; acessado em 06 de setembro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&lt;http://www.redp.com.br/edicao_06.htm&gt; acessado em 12 de maio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&lt;http://www.jurisway.org.br/v2/dhall.asp?</w:t>
      </w:r>
      <w:proofErr w:type="gramStart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id_dh</w:t>
      </w:r>
      <w:proofErr w:type="gramEnd"/>
      <w:r w:rsidRPr="00EC7A7A">
        <w:rPr>
          <w:rFonts w:ascii="Times New Roman" w:eastAsia="Times New Roman" w:hAnsi="Times New Roman" w:cs="Times New Roman"/>
          <w:sz w:val="24"/>
          <w:szCs w:val="24"/>
          <w:lang w:eastAsia="pt-BR"/>
        </w:rPr>
        <w:t>=9549&gt; acessado em 15 de Julho de 2013</w:t>
      </w:r>
    </w:p>
    <w:p w:rsidR="00EC7A7A" w:rsidRPr="00EC7A7A" w:rsidRDefault="00EC7A7A" w:rsidP="00EC7A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EC7A7A" w:rsidRPr="00E91D9E" w:rsidRDefault="00EC7A7A" w:rsidP="00EC7A7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7A7A" w:rsidRPr="00E91D9E" w:rsidSect="005D0ED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BE"/>
    <w:rsid w:val="00111CBE"/>
    <w:rsid w:val="00115072"/>
    <w:rsid w:val="00156C6F"/>
    <w:rsid w:val="004A5567"/>
    <w:rsid w:val="005D0ED3"/>
    <w:rsid w:val="006F7308"/>
    <w:rsid w:val="00A86D8D"/>
    <w:rsid w:val="00B00F62"/>
    <w:rsid w:val="00BC0D44"/>
    <w:rsid w:val="00D60506"/>
    <w:rsid w:val="00E91D9E"/>
    <w:rsid w:val="00EC7A7A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1CB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86D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1CB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86D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1907-F970-4CE1-A90D-1D3AEEF2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2735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ipsemg</dc:creator>
  <cp:lastModifiedBy>Usuario</cp:lastModifiedBy>
  <cp:revision>7</cp:revision>
  <dcterms:created xsi:type="dcterms:W3CDTF">2013-12-09T23:55:00Z</dcterms:created>
  <dcterms:modified xsi:type="dcterms:W3CDTF">2013-12-10T00:58:00Z</dcterms:modified>
</cp:coreProperties>
</file>