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5ED" w:rsidRDefault="00E87F66" w:rsidP="00B7662E">
      <w:pPr>
        <w:rPr>
          <w:rFonts w:ascii="Times New Roman" w:hAnsi="Times New Roman" w:cs="Times New Roman"/>
          <w:b/>
          <w:sz w:val="24"/>
          <w:szCs w:val="24"/>
        </w:rPr>
      </w:pPr>
      <w:r w:rsidRPr="00E87F66">
        <w:rPr>
          <w:rFonts w:ascii="Times New Roman" w:hAnsi="Times New Roman" w:cs="Times New Roman"/>
          <w:b/>
          <w:sz w:val="24"/>
          <w:szCs w:val="24"/>
        </w:rPr>
        <w:t>O IMPACTO</w:t>
      </w:r>
      <w:r w:rsidR="001E3897">
        <w:rPr>
          <w:rFonts w:ascii="Times New Roman" w:hAnsi="Times New Roman" w:cs="Times New Roman"/>
          <w:b/>
          <w:sz w:val="24"/>
          <w:szCs w:val="24"/>
        </w:rPr>
        <w:t xml:space="preserve"> DAS VARIAÇÕES NOS</w:t>
      </w:r>
      <w:r>
        <w:rPr>
          <w:rFonts w:ascii="Times New Roman" w:hAnsi="Times New Roman" w:cs="Times New Roman"/>
          <w:b/>
          <w:sz w:val="24"/>
          <w:szCs w:val="24"/>
        </w:rPr>
        <w:t xml:space="preserve"> PREÇOS</w:t>
      </w:r>
      <w:r w:rsidR="002E4E60">
        <w:rPr>
          <w:rFonts w:ascii="Times New Roman" w:hAnsi="Times New Roman" w:cs="Times New Roman"/>
          <w:b/>
          <w:sz w:val="24"/>
          <w:szCs w:val="24"/>
        </w:rPr>
        <w:t xml:space="preserve"> </w:t>
      </w:r>
      <w:r w:rsidR="001E3897">
        <w:rPr>
          <w:rFonts w:ascii="Times New Roman" w:hAnsi="Times New Roman" w:cs="Times New Roman"/>
          <w:b/>
          <w:sz w:val="24"/>
          <w:szCs w:val="24"/>
        </w:rPr>
        <w:t>RELATIVOS DE</w:t>
      </w:r>
      <w:r w:rsidR="002E4E60">
        <w:rPr>
          <w:rFonts w:ascii="Times New Roman" w:hAnsi="Times New Roman" w:cs="Times New Roman"/>
          <w:b/>
          <w:sz w:val="24"/>
          <w:szCs w:val="24"/>
        </w:rPr>
        <w:t xml:space="preserve"> </w:t>
      </w:r>
      <w:proofErr w:type="gramStart"/>
      <w:r w:rsidR="002E4E60">
        <w:rPr>
          <w:rFonts w:ascii="Times New Roman" w:hAnsi="Times New Roman" w:cs="Times New Roman"/>
          <w:b/>
          <w:sz w:val="24"/>
          <w:szCs w:val="24"/>
        </w:rPr>
        <w:t xml:space="preserve">COMMODITIES </w:t>
      </w:r>
      <w:r w:rsidR="001E3897">
        <w:rPr>
          <w:rFonts w:ascii="Times New Roman" w:hAnsi="Times New Roman" w:cs="Times New Roman"/>
          <w:b/>
          <w:sz w:val="24"/>
          <w:szCs w:val="24"/>
        </w:rPr>
        <w:t xml:space="preserve">COMO MEDIDA DE CHOQUES DE OFERTA </w:t>
      </w:r>
      <w:r w:rsidR="00B7662E">
        <w:rPr>
          <w:rFonts w:ascii="Times New Roman" w:hAnsi="Times New Roman" w:cs="Times New Roman"/>
          <w:b/>
          <w:sz w:val="24"/>
          <w:szCs w:val="24"/>
        </w:rPr>
        <w:t>N</w:t>
      </w:r>
      <w:r w:rsidR="002E4E60">
        <w:rPr>
          <w:rFonts w:ascii="Times New Roman" w:hAnsi="Times New Roman" w:cs="Times New Roman"/>
          <w:b/>
          <w:sz w:val="24"/>
          <w:szCs w:val="24"/>
        </w:rPr>
        <w:t xml:space="preserve">A DINÂMICA DA INFLAÇÃO NO BRASIL </w:t>
      </w:r>
      <w:r w:rsidR="001E3897">
        <w:rPr>
          <w:rFonts w:ascii="Times New Roman" w:hAnsi="Times New Roman" w:cs="Times New Roman"/>
          <w:b/>
          <w:sz w:val="24"/>
          <w:szCs w:val="24"/>
        </w:rPr>
        <w:t>E A</w:t>
      </w:r>
      <w:proofErr w:type="gramEnd"/>
      <w:r w:rsidR="001E3897">
        <w:rPr>
          <w:rFonts w:ascii="Times New Roman" w:hAnsi="Times New Roman" w:cs="Times New Roman"/>
          <w:b/>
          <w:sz w:val="24"/>
          <w:szCs w:val="24"/>
        </w:rPr>
        <w:t xml:space="preserve"> CONDUÇÃO ÓTIMA DA POLÍTICA MONETÁRI</w:t>
      </w:r>
      <w:r w:rsidR="00B7662E">
        <w:rPr>
          <w:rFonts w:ascii="Times New Roman" w:hAnsi="Times New Roman" w:cs="Times New Roman"/>
          <w:b/>
          <w:sz w:val="24"/>
          <w:szCs w:val="24"/>
        </w:rPr>
        <w:t xml:space="preserve">A </w:t>
      </w:r>
    </w:p>
    <w:p w:rsidR="001E4CB4" w:rsidRDefault="001E4CB4" w:rsidP="001E4CB4">
      <w:pPr>
        <w:jc w:val="both"/>
        <w:rPr>
          <w:rFonts w:ascii="Times New Roman" w:hAnsi="Times New Roman" w:cs="Times New Roman"/>
          <w:b/>
          <w:sz w:val="24"/>
          <w:szCs w:val="24"/>
        </w:rPr>
      </w:pPr>
    </w:p>
    <w:p w:rsidR="002E4E60" w:rsidRPr="002334BF" w:rsidRDefault="002E4E60" w:rsidP="001E4CB4">
      <w:pPr>
        <w:rPr>
          <w:rFonts w:ascii="Times New Roman" w:hAnsi="Times New Roman" w:cs="Times New Roman"/>
          <w:i/>
          <w:sz w:val="24"/>
          <w:szCs w:val="24"/>
          <w:lang w:val="en-US"/>
        </w:rPr>
      </w:pPr>
      <w:r w:rsidRPr="002334BF">
        <w:rPr>
          <w:rFonts w:ascii="Times New Roman" w:hAnsi="Times New Roman" w:cs="Times New Roman"/>
          <w:i/>
          <w:sz w:val="24"/>
          <w:szCs w:val="24"/>
          <w:lang w:val="en-US"/>
        </w:rPr>
        <w:t xml:space="preserve">Marcos </w:t>
      </w:r>
      <w:proofErr w:type="spellStart"/>
      <w:r w:rsidRPr="002334BF">
        <w:rPr>
          <w:rFonts w:ascii="Times New Roman" w:hAnsi="Times New Roman" w:cs="Times New Roman"/>
          <w:i/>
          <w:sz w:val="24"/>
          <w:szCs w:val="24"/>
          <w:lang w:val="en-US"/>
        </w:rPr>
        <w:t>Stockl</w:t>
      </w:r>
      <w:proofErr w:type="spellEnd"/>
    </w:p>
    <w:p w:rsidR="002E4E60" w:rsidRPr="002334BF" w:rsidRDefault="002E4E60" w:rsidP="00E87F66">
      <w:pPr>
        <w:rPr>
          <w:rFonts w:ascii="Times New Roman" w:hAnsi="Times New Roman" w:cs="Times New Roman"/>
          <w:sz w:val="24"/>
          <w:szCs w:val="24"/>
          <w:lang w:val="en-US"/>
        </w:rPr>
      </w:pPr>
    </w:p>
    <w:p w:rsidR="002E4E60" w:rsidRPr="002334BF" w:rsidRDefault="002E4E60" w:rsidP="00E87F66">
      <w:pPr>
        <w:rPr>
          <w:rFonts w:ascii="Times New Roman" w:hAnsi="Times New Roman" w:cs="Times New Roman"/>
          <w:b/>
          <w:sz w:val="24"/>
          <w:szCs w:val="24"/>
          <w:lang w:val="en-US"/>
        </w:rPr>
      </w:pPr>
      <w:r w:rsidRPr="002334BF">
        <w:rPr>
          <w:rFonts w:ascii="Times New Roman" w:hAnsi="Times New Roman" w:cs="Times New Roman"/>
          <w:b/>
          <w:sz w:val="24"/>
          <w:szCs w:val="24"/>
          <w:lang w:val="en-US"/>
        </w:rPr>
        <w:t>Email: marcos.stockl@globo.com</w:t>
      </w:r>
    </w:p>
    <w:p w:rsidR="002E4E60" w:rsidRPr="002334BF" w:rsidRDefault="002E4E60" w:rsidP="00E87F66">
      <w:pPr>
        <w:rPr>
          <w:rFonts w:ascii="Times New Roman" w:hAnsi="Times New Roman" w:cs="Times New Roman"/>
          <w:sz w:val="24"/>
          <w:szCs w:val="24"/>
          <w:lang w:val="en-US"/>
        </w:rPr>
      </w:pPr>
    </w:p>
    <w:p w:rsidR="001E4CB4" w:rsidRPr="002334BF" w:rsidRDefault="001E4CB4" w:rsidP="00E87F66">
      <w:pPr>
        <w:rPr>
          <w:rFonts w:ascii="Times New Roman" w:hAnsi="Times New Roman" w:cs="Times New Roman"/>
          <w:b/>
          <w:sz w:val="24"/>
          <w:szCs w:val="24"/>
          <w:lang w:val="en-US"/>
        </w:rPr>
      </w:pPr>
    </w:p>
    <w:p w:rsidR="001E77B2" w:rsidRPr="00C60B70" w:rsidRDefault="001E77B2" w:rsidP="00E87F66">
      <w:pPr>
        <w:rPr>
          <w:rFonts w:ascii="Times New Roman" w:hAnsi="Times New Roman" w:cs="Times New Roman"/>
          <w:b/>
          <w:sz w:val="24"/>
          <w:szCs w:val="24"/>
          <w:lang w:val="en-US"/>
        </w:rPr>
      </w:pPr>
    </w:p>
    <w:p w:rsidR="002E4E60" w:rsidRDefault="002E4E60" w:rsidP="00E87F66">
      <w:pPr>
        <w:rPr>
          <w:rFonts w:ascii="Times New Roman" w:hAnsi="Times New Roman" w:cs="Times New Roman"/>
          <w:b/>
          <w:sz w:val="24"/>
          <w:szCs w:val="24"/>
        </w:rPr>
      </w:pPr>
      <w:r>
        <w:rPr>
          <w:rFonts w:ascii="Times New Roman" w:hAnsi="Times New Roman" w:cs="Times New Roman"/>
          <w:b/>
          <w:sz w:val="24"/>
          <w:szCs w:val="24"/>
        </w:rPr>
        <w:t>Resumo</w:t>
      </w:r>
    </w:p>
    <w:p w:rsidR="002E4E60" w:rsidRDefault="002E4E60" w:rsidP="002E4E60">
      <w:pPr>
        <w:jc w:val="both"/>
        <w:rPr>
          <w:rFonts w:ascii="Times New Roman" w:hAnsi="Times New Roman" w:cs="Times New Roman"/>
          <w:b/>
          <w:sz w:val="24"/>
          <w:szCs w:val="24"/>
        </w:rPr>
      </w:pPr>
    </w:p>
    <w:p w:rsidR="002E4E60" w:rsidRDefault="001E4CB4" w:rsidP="002E4E60">
      <w:pPr>
        <w:jc w:val="both"/>
        <w:rPr>
          <w:rFonts w:ascii="Times New Roman" w:hAnsi="Times New Roman" w:cs="Times New Roman"/>
          <w:sz w:val="24"/>
          <w:szCs w:val="24"/>
        </w:rPr>
      </w:pPr>
      <w:r>
        <w:rPr>
          <w:rFonts w:ascii="Times New Roman" w:hAnsi="Times New Roman" w:cs="Times New Roman"/>
          <w:sz w:val="24"/>
          <w:szCs w:val="24"/>
        </w:rPr>
        <w:t>Este artigo tem como propósito</w:t>
      </w:r>
      <w:r w:rsidR="003C7024">
        <w:rPr>
          <w:rFonts w:ascii="Times New Roman" w:hAnsi="Times New Roman" w:cs="Times New Roman"/>
          <w:sz w:val="24"/>
          <w:szCs w:val="24"/>
        </w:rPr>
        <w:t xml:space="preserve"> </w:t>
      </w:r>
      <w:r w:rsidR="00622798">
        <w:rPr>
          <w:rFonts w:ascii="Times New Roman" w:hAnsi="Times New Roman" w:cs="Times New Roman"/>
          <w:sz w:val="24"/>
          <w:szCs w:val="24"/>
        </w:rPr>
        <w:t xml:space="preserve">demonstrar os impactos da dinâmica dos preços das </w:t>
      </w:r>
      <w:r w:rsidR="00622798" w:rsidRPr="00446ACB">
        <w:rPr>
          <w:rFonts w:ascii="Times New Roman" w:hAnsi="Times New Roman" w:cs="Times New Roman"/>
          <w:i/>
          <w:sz w:val="24"/>
          <w:szCs w:val="24"/>
        </w:rPr>
        <w:t>commodities</w:t>
      </w:r>
      <w:r w:rsidR="00622798">
        <w:rPr>
          <w:rFonts w:ascii="Times New Roman" w:hAnsi="Times New Roman" w:cs="Times New Roman"/>
          <w:sz w:val="24"/>
          <w:szCs w:val="24"/>
        </w:rPr>
        <w:t xml:space="preserve"> nos mercados </w:t>
      </w:r>
      <w:r w:rsidR="00B7662E">
        <w:rPr>
          <w:rFonts w:ascii="Times New Roman" w:hAnsi="Times New Roman" w:cs="Times New Roman"/>
          <w:sz w:val="24"/>
          <w:szCs w:val="24"/>
        </w:rPr>
        <w:t xml:space="preserve">nacionais e </w:t>
      </w:r>
      <w:r w:rsidR="00622798">
        <w:rPr>
          <w:rFonts w:ascii="Times New Roman" w:hAnsi="Times New Roman" w:cs="Times New Roman"/>
          <w:sz w:val="24"/>
          <w:szCs w:val="24"/>
        </w:rPr>
        <w:t>internacionais</w:t>
      </w:r>
      <w:r w:rsidR="00B7662E">
        <w:rPr>
          <w:rFonts w:ascii="Times New Roman" w:hAnsi="Times New Roman" w:cs="Times New Roman"/>
          <w:sz w:val="24"/>
          <w:szCs w:val="24"/>
        </w:rPr>
        <w:t xml:space="preserve"> como medida de choque de oferta</w:t>
      </w:r>
      <w:r w:rsidR="00622798">
        <w:rPr>
          <w:rFonts w:ascii="Times New Roman" w:hAnsi="Times New Roman" w:cs="Times New Roman"/>
          <w:sz w:val="24"/>
          <w:szCs w:val="24"/>
        </w:rPr>
        <w:t xml:space="preserve"> na composição e</w:t>
      </w:r>
      <w:r w:rsidR="00B7662E">
        <w:rPr>
          <w:rFonts w:ascii="Times New Roman" w:hAnsi="Times New Roman" w:cs="Times New Roman"/>
          <w:sz w:val="24"/>
          <w:szCs w:val="24"/>
        </w:rPr>
        <w:t xml:space="preserve"> variação da inflação no Brasil, e a resposta ótima da politica monetária do Banco Central aos efeitos destas variações. </w:t>
      </w:r>
      <w:r w:rsidR="00622798">
        <w:rPr>
          <w:rFonts w:ascii="Times New Roman" w:hAnsi="Times New Roman" w:cs="Times New Roman"/>
          <w:sz w:val="24"/>
          <w:szCs w:val="24"/>
        </w:rPr>
        <w:t>Para tanto, utilizare</w:t>
      </w:r>
      <w:r w:rsidR="00B7662E">
        <w:rPr>
          <w:rFonts w:ascii="Times New Roman" w:hAnsi="Times New Roman" w:cs="Times New Roman"/>
          <w:sz w:val="24"/>
          <w:szCs w:val="24"/>
        </w:rPr>
        <w:t xml:space="preserve">mos para mensuração e exemplificação </w:t>
      </w:r>
      <w:r w:rsidR="00622798">
        <w:rPr>
          <w:rFonts w:ascii="Times New Roman" w:hAnsi="Times New Roman" w:cs="Times New Roman"/>
          <w:sz w:val="24"/>
          <w:szCs w:val="24"/>
        </w:rPr>
        <w:t xml:space="preserve">o índice </w:t>
      </w:r>
      <w:proofErr w:type="gramStart"/>
      <w:r w:rsidR="00622798">
        <w:rPr>
          <w:rFonts w:ascii="Times New Roman" w:hAnsi="Times New Roman" w:cs="Times New Roman"/>
          <w:sz w:val="24"/>
          <w:szCs w:val="24"/>
        </w:rPr>
        <w:t>IC-</w:t>
      </w:r>
      <w:proofErr w:type="spellStart"/>
      <w:r w:rsidR="00622798">
        <w:rPr>
          <w:rFonts w:ascii="Times New Roman" w:hAnsi="Times New Roman" w:cs="Times New Roman"/>
          <w:sz w:val="24"/>
          <w:szCs w:val="24"/>
        </w:rPr>
        <w:t>Br</w:t>
      </w:r>
      <w:proofErr w:type="spellEnd"/>
      <w:proofErr w:type="gramEnd"/>
      <w:r w:rsidR="00446ACB">
        <w:rPr>
          <w:rFonts w:ascii="Times New Roman" w:hAnsi="Times New Roman" w:cs="Times New Roman"/>
          <w:sz w:val="24"/>
          <w:szCs w:val="24"/>
        </w:rPr>
        <w:t xml:space="preserve">, principal índice de </w:t>
      </w:r>
      <w:r w:rsidR="00446ACB" w:rsidRPr="00446ACB">
        <w:rPr>
          <w:rFonts w:ascii="Times New Roman" w:hAnsi="Times New Roman" w:cs="Times New Roman"/>
          <w:i/>
          <w:sz w:val="24"/>
          <w:szCs w:val="24"/>
        </w:rPr>
        <w:t>commodities</w:t>
      </w:r>
      <w:r w:rsidR="00446ACB">
        <w:rPr>
          <w:rFonts w:ascii="Times New Roman" w:hAnsi="Times New Roman" w:cs="Times New Roman"/>
          <w:sz w:val="24"/>
          <w:szCs w:val="24"/>
        </w:rPr>
        <w:t xml:space="preserve"> utilizado, </w:t>
      </w:r>
      <w:r w:rsidR="00622798">
        <w:rPr>
          <w:rFonts w:ascii="Times New Roman" w:hAnsi="Times New Roman" w:cs="Times New Roman"/>
          <w:sz w:val="24"/>
          <w:szCs w:val="24"/>
        </w:rPr>
        <w:t xml:space="preserve">o qual visa identificar a parcela das variações de preços das </w:t>
      </w:r>
      <w:r w:rsidR="00622798" w:rsidRPr="00446ACB">
        <w:rPr>
          <w:rFonts w:ascii="Times New Roman" w:hAnsi="Times New Roman" w:cs="Times New Roman"/>
          <w:i/>
          <w:sz w:val="24"/>
          <w:szCs w:val="24"/>
        </w:rPr>
        <w:t>commodities</w:t>
      </w:r>
      <w:r w:rsidR="00622798">
        <w:rPr>
          <w:rFonts w:ascii="Times New Roman" w:hAnsi="Times New Roman" w:cs="Times New Roman"/>
          <w:sz w:val="24"/>
          <w:szCs w:val="24"/>
        </w:rPr>
        <w:t xml:space="preserve"> nos mercados internacionais que é relevante para a dinâmica da inflação doméstica.  </w:t>
      </w:r>
      <w:r w:rsidR="00446ACB">
        <w:rPr>
          <w:rFonts w:ascii="Times New Roman" w:hAnsi="Times New Roman" w:cs="Times New Roman"/>
          <w:sz w:val="24"/>
          <w:szCs w:val="24"/>
        </w:rPr>
        <w:t>Estaremos ilustrando também</w:t>
      </w:r>
      <w:r w:rsidR="002334BF">
        <w:rPr>
          <w:rFonts w:ascii="Times New Roman" w:hAnsi="Times New Roman" w:cs="Times New Roman"/>
          <w:sz w:val="24"/>
          <w:szCs w:val="24"/>
        </w:rPr>
        <w:t xml:space="preserve">, como as variações no </w:t>
      </w:r>
      <w:r w:rsidR="002334BF" w:rsidRPr="00446ACB">
        <w:rPr>
          <w:rFonts w:ascii="Times New Roman" w:hAnsi="Times New Roman" w:cs="Times New Roman"/>
          <w:i/>
          <w:sz w:val="24"/>
          <w:szCs w:val="24"/>
        </w:rPr>
        <w:t>Índice de Commodities Brasil</w:t>
      </w:r>
      <w:r w:rsidR="002334BF">
        <w:rPr>
          <w:rFonts w:ascii="Times New Roman" w:hAnsi="Times New Roman" w:cs="Times New Roman"/>
          <w:sz w:val="24"/>
          <w:szCs w:val="24"/>
        </w:rPr>
        <w:t xml:space="preserve"> são repassadas aos preços ao consumidor</w:t>
      </w:r>
      <w:r w:rsidR="00446ACB">
        <w:rPr>
          <w:rFonts w:ascii="Times New Roman" w:hAnsi="Times New Roman" w:cs="Times New Roman"/>
          <w:sz w:val="24"/>
          <w:szCs w:val="24"/>
        </w:rPr>
        <w:t xml:space="preserve"> </w:t>
      </w:r>
      <w:proofErr w:type="gramStart"/>
      <w:r w:rsidR="00446ACB">
        <w:rPr>
          <w:rFonts w:ascii="Times New Roman" w:hAnsi="Times New Roman" w:cs="Times New Roman"/>
          <w:sz w:val="24"/>
          <w:szCs w:val="24"/>
        </w:rPr>
        <w:t>segundo</w:t>
      </w:r>
      <w:proofErr w:type="gramEnd"/>
      <w:r w:rsidR="00446ACB">
        <w:rPr>
          <w:rFonts w:ascii="Times New Roman" w:hAnsi="Times New Roman" w:cs="Times New Roman"/>
          <w:sz w:val="24"/>
          <w:szCs w:val="24"/>
        </w:rPr>
        <w:t xml:space="preserve"> </w:t>
      </w:r>
      <w:proofErr w:type="gramStart"/>
      <w:r w:rsidR="00446ACB">
        <w:rPr>
          <w:rFonts w:ascii="Times New Roman" w:hAnsi="Times New Roman" w:cs="Times New Roman"/>
          <w:sz w:val="24"/>
          <w:szCs w:val="24"/>
        </w:rPr>
        <w:t>modelos</w:t>
      </w:r>
      <w:proofErr w:type="gramEnd"/>
      <w:r w:rsidR="00446ACB">
        <w:rPr>
          <w:rFonts w:ascii="Times New Roman" w:hAnsi="Times New Roman" w:cs="Times New Roman"/>
          <w:sz w:val="24"/>
          <w:szCs w:val="24"/>
        </w:rPr>
        <w:t xml:space="preserve"> de medidas já utilizados pelo Banco Central</w:t>
      </w:r>
      <w:r w:rsidR="002334BF">
        <w:rPr>
          <w:rFonts w:ascii="Times New Roman" w:hAnsi="Times New Roman" w:cs="Times New Roman"/>
          <w:sz w:val="24"/>
          <w:szCs w:val="24"/>
        </w:rPr>
        <w:t xml:space="preserve"> de Vetores Auto Regressivos (</w:t>
      </w:r>
      <w:proofErr w:type="spellStart"/>
      <w:r w:rsidR="002334BF">
        <w:rPr>
          <w:rFonts w:ascii="Times New Roman" w:hAnsi="Times New Roman" w:cs="Times New Roman"/>
          <w:sz w:val="24"/>
          <w:szCs w:val="24"/>
        </w:rPr>
        <w:t>VARs</w:t>
      </w:r>
      <w:proofErr w:type="spellEnd"/>
      <w:r w:rsidR="002334BF">
        <w:rPr>
          <w:rFonts w:ascii="Times New Roman" w:hAnsi="Times New Roman" w:cs="Times New Roman"/>
          <w:sz w:val="24"/>
          <w:szCs w:val="24"/>
        </w:rPr>
        <w:t xml:space="preserve">), </w:t>
      </w:r>
      <w:r w:rsidR="00E460B4">
        <w:rPr>
          <w:rFonts w:ascii="Times New Roman" w:hAnsi="Times New Roman" w:cs="Times New Roman"/>
          <w:sz w:val="24"/>
          <w:szCs w:val="24"/>
        </w:rPr>
        <w:t>para estimar os</w:t>
      </w:r>
      <w:r w:rsidR="0050735A">
        <w:rPr>
          <w:rFonts w:ascii="Times New Roman" w:hAnsi="Times New Roman" w:cs="Times New Roman"/>
          <w:sz w:val="24"/>
          <w:szCs w:val="24"/>
        </w:rPr>
        <w:t xml:space="preserve"> repasses dos preços das </w:t>
      </w:r>
      <w:r w:rsidR="0050735A" w:rsidRPr="00446ACB">
        <w:rPr>
          <w:rFonts w:ascii="Times New Roman" w:hAnsi="Times New Roman" w:cs="Times New Roman"/>
          <w:i/>
          <w:sz w:val="24"/>
          <w:szCs w:val="24"/>
        </w:rPr>
        <w:t>commodities</w:t>
      </w:r>
      <w:r w:rsidR="0050735A">
        <w:rPr>
          <w:rFonts w:ascii="Times New Roman" w:hAnsi="Times New Roman" w:cs="Times New Roman"/>
          <w:sz w:val="24"/>
          <w:szCs w:val="24"/>
        </w:rPr>
        <w:t xml:space="preserve"> para a inflação. O que será verificado e apresentado a seguir é que, pela hipótese de choques de oferta, </w:t>
      </w:r>
      <w:r w:rsidR="00210987">
        <w:rPr>
          <w:rFonts w:ascii="Times New Roman" w:hAnsi="Times New Roman" w:cs="Times New Roman"/>
          <w:sz w:val="24"/>
          <w:szCs w:val="24"/>
        </w:rPr>
        <w:t xml:space="preserve">componente </w:t>
      </w:r>
      <w:r w:rsidR="0050735A">
        <w:rPr>
          <w:rFonts w:ascii="Times New Roman" w:hAnsi="Times New Roman" w:cs="Times New Roman"/>
          <w:sz w:val="24"/>
          <w:szCs w:val="24"/>
        </w:rPr>
        <w:t xml:space="preserve">especificamente </w:t>
      </w:r>
      <w:r w:rsidR="00210987">
        <w:rPr>
          <w:rFonts w:ascii="Times New Roman" w:hAnsi="Times New Roman" w:cs="Times New Roman"/>
          <w:sz w:val="24"/>
          <w:szCs w:val="24"/>
        </w:rPr>
        <w:t xml:space="preserve">utilizado </w:t>
      </w:r>
      <w:r w:rsidR="0050735A">
        <w:rPr>
          <w:rFonts w:ascii="Times New Roman" w:hAnsi="Times New Roman" w:cs="Times New Roman"/>
          <w:sz w:val="24"/>
          <w:szCs w:val="24"/>
        </w:rPr>
        <w:t xml:space="preserve">em nosso caso, as flutuações dos preços das </w:t>
      </w:r>
      <w:r w:rsidR="0050735A" w:rsidRPr="00446ACB">
        <w:rPr>
          <w:rFonts w:ascii="Times New Roman" w:hAnsi="Times New Roman" w:cs="Times New Roman"/>
          <w:i/>
          <w:sz w:val="24"/>
          <w:szCs w:val="24"/>
        </w:rPr>
        <w:t>commodities</w:t>
      </w:r>
      <w:r w:rsidR="0050735A">
        <w:rPr>
          <w:rFonts w:ascii="Times New Roman" w:hAnsi="Times New Roman" w:cs="Times New Roman"/>
          <w:sz w:val="24"/>
          <w:szCs w:val="24"/>
        </w:rPr>
        <w:t>, são uma das, senão a principal causa para a trajetória da inflação ao consumidor no país.</w:t>
      </w:r>
      <w:r w:rsidR="00446ACB">
        <w:rPr>
          <w:rFonts w:ascii="Times New Roman" w:hAnsi="Times New Roman" w:cs="Times New Roman"/>
          <w:sz w:val="24"/>
          <w:szCs w:val="24"/>
        </w:rPr>
        <w:t xml:space="preserve"> E baseado em literatura teórica e empírica, através dos resultados apresentados, apresentaremos a resposta ótima e/ou mais adequada da política monetária em resposta </w:t>
      </w:r>
      <w:proofErr w:type="gramStart"/>
      <w:r w:rsidR="00446ACB">
        <w:rPr>
          <w:rFonts w:ascii="Times New Roman" w:hAnsi="Times New Roman" w:cs="Times New Roman"/>
          <w:sz w:val="24"/>
          <w:szCs w:val="24"/>
        </w:rPr>
        <w:t>à</w:t>
      </w:r>
      <w:proofErr w:type="gramEnd"/>
      <w:r w:rsidR="00446ACB">
        <w:rPr>
          <w:rFonts w:ascii="Times New Roman" w:hAnsi="Times New Roman" w:cs="Times New Roman"/>
          <w:sz w:val="24"/>
          <w:szCs w:val="24"/>
        </w:rPr>
        <w:t xml:space="preserve"> estas variações de preços, bem como, a resposta sugerida pelos principais autores  estudados.</w:t>
      </w:r>
    </w:p>
    <w:p w:rsidR="005B6E35" w:rsidRDefault="005B6E35" w:rsidP="002E4E60">
      <w:pPr>
        <w:jc w:val="both"/>
        <w:rPr>
          <w:rFonts w:ascii="Times New Roman" w:hAnsi="Times New Roman" w:cs="Times New Roman"/>
          <w:sz w:val="24"/>
          <w:szCs w:val="24"/>
        </w:rPr>
      </w:pPr>
    </w:p>
    <w:p w:rsidR="005B6E35" w:rsidRPr="008F58CD" w:rsidRDefault="005B6E35" w:rsidP="002E4E60">
      <w:pPr>
        <w:jc w:val="both"/>
        <w:rPr>
          <w:rFonts w:ascii="Times New Roman" w:hAnsi="Times New Roman" w:cs="Times New Roman"/>
          <w:sz w:val="24"/>
          <w:szCs w:val="24"/>
        </w:rPr>
      </w:pPr>
      <w:r w:rsidRPr="005B6E35">
        <w:rPr>
          <w:rFonts w:ascii="Times New Roman" w:hAnsi="Times New Roman" w:cs="Times New Roman"/>
          <w:i/>
          <w:sz w:val="24"/>
          <w:szCs w:val="24"/>
        </w:rPr>
        <w:t>Palavras-chave</w:t>
      </w:r>
      <w:r>
        <w:rPr>
          <w:rFonts w:ascii="Times New Roman" w:hAnsi="Times New Roman" w:cs="Times New Roman"/>
          <w:sz w:val="24"/>
          <w:szCs w:val="24"/>
        </w:rPr>
        <w:t xml:space="preserve">: Índice de </w:t>
      </w:r>
      <w:r w:rsidRPr="008F58CD">
        <w:rPr>
          <w:rFonts w:ascii="Times New Roman" w:hAnsi="Times New Roman" w:cs="Times New Roman"/>
          <w:i/>
          <w:sz w:val="24"/>
          <w:szCs w:val="24"/>
        </w:rPr>
        <w:t>Commodities</w:t>
      </w:r>
      <w:r>
        <w:rPr>
          <w:rFonts w:ascii="Times New Roman" w:hAnsi="Times New Roman" w:cs="Times New Roman"/>
          <w:sz w:val="24"/>
          <w:szCs w:val="24"/>
        </w:rPr>
        <w:t xml:space="preserve"> Brasil;  VAR; </w:t>
      </w:r>
      <w:r w:rsidRPr="00072DFA">
        <w:rPr>
          <w:rFonts w:ascii="Times New Roman" w:hAnsi="Times New Roman" w:cs="Times New Roman"/>
          <w:i/>
          <w:sz w:val="24"/>
          <w:szCs w:val="24"/>
        </w:rPr>
        <w:t xml:space="preserve">Commodity </w:t>
      </w:r>
      <w:proofErr w:type="spellStart"/>
      <w:r w:rsidRPr="00072DFA">
        <w:rPr>
          <w:rFonts w:ascii="Times New Roman" w:hAnsi="Times New Roman" w:cs="Times New Roman"/>
          <w:i/>
          <w:sz w:val="24"/>
          <w:szCs w:val="24"/>
        </w:rPr>
        <w:t>Research</w:t>
      </w:r>
      <w:proofErr w:type="spellEnd"/>
      <w:r w:rsidRPr="00072DFA">
        <w:rPr>
          <w:rFonts w:ascii="Times New Roman" w:hAnsi="Times New Roman" w:cs="Times New Roman"/>
          <w:i/>
          <w:sz w:val="24"/>
          <w:szCs w:val="24"/>
        </w:rPr>
        <w:t xml:space="preserve"> Bureau</w:t>
      </w:r>
      <w:r w:rsidR="008F58CD">
        <w:rPr>
          <w:rFonts w:ascii="Times New Roman" w:hAnsi="Times New Roman" w:cs="Times New Roman"/>
          <w:i/>
          <w:sz w:val="24"/>
          <w:szCs w:val="24"/>
        </w:rPr>
        <w:t xml:space="preserve">; </w:t>
      </w:r>
      <w:r w:rsidR="008F58CD">
        <w:rPr>
          <w:rFonts w:ascii="Times New Roman" w:hAnsi="Times New Roman" w:cs="Times New Roman"/>
          <w:sz w:val="24"/>
          <w:szCs w:val="24"/>
        </w:rPr>
        <w:t>IPCA</w:t>
      </w:r>
    </w:p>
    <w:p w:rsidR="005B6E35" w:rsidRDefault="005B6E35" w:rsidP="002E4E60">
      <w:pPr>
        <w:jc w:val="both"/>
        <w:rPr>
          <w:rFonts w:ascii="Times New Roman" w:hAnsi="Times New Roman" w:cs="Times New Roman"/>
          <w:sz w:val="24"/>
          <w:szCs w:val="24"/>
        </w:rPr>
      </w:pPr>
    </w:p>
    <w:p w:rsidR="009D79E8" w:rsidRDefault="009D79E8" w:rsidP="002E4E60">
      <w:pPr>
        <w:jc w:val="both"/>
        <w:rPr>
          <w:rFonts w:ascii="Times New Roman" w:hAnsi="Times New Roman" w:cs="Times New Roman"/>
          <w:sz w:val="24"/>
          <w:szCs w:val="24"/>
        </w:rPr>
      </w:pPr>
    </w:p>
    <w:p w:rsidR="00C72282" w:rsidRDefault="00C72282" w:rsidP="002E4E60">
      <w:pPr>
        <w:jc w:val="both"/>
        <w:rPr>
          <w:rFonts w:ascii="Times New Roman" w:hAnsi="Times New Roman" w:cs="Times New Roman"/>
          <w:b/>
          <w:sz w:val="24"/>
          <w:szCs w:val="24"/>
        </w:rPr>
      </w:pPr>
    </w:p>
    <w:p w:rsidR="00C72282" w:rsidRDefault="00C72282" w:rsidP="002E4E60">
      <w:pPr>
        <w:jc w:val="both"/>
        <w:rPr>
          <w:rFonts w:ascii="Times New Roman" w:hAnsi="Times New Roman" w:cs="Times New Roman"/>
          <w:b/>
          <w:sz w:val="24"/>
          <w:szCs w:val="24"/>
        </w:rPr>
      </w:pPr>
    </w:p>
    <w:p w:rsidR="00C3357F" w:rsidRDefault="001415D8" w:rsidP="00C3357F">
      <w:pPr>
        <w:spacing w:after="100" w:afterAutospacing="1"/>
        <w:jc w:val="both"/>
        <w:rPr>
          <w:rFonts w:ascii="Times New Roman" w:hAnsi="Times New Roman" w:cs="Times New Roman"/>
          <w:sz w:val="24"/>
          <w:szCs w:val="24"/>
        </w:rPr>
      </w:pPr>
      <w:r>
        <w:rPr>
          <w:rFonts w:ascii="Times New Roman" w:hAnsi="Times New Roman" w:cs="Times New Roman"/>
          <w:b/>
          <w:sz w:val="24"/>
          <w:szCs w:val="24"/>
        </w:rPr>
        <w:lastRenderedPageBreak/>
        <w:t xml:space="preserve">1. </w:t>
      </w:r>
      <w:r w:rsidR="005B6E35" w:rsidRPr="005B6E35">
        <w:rPr>
          <w:rFonts w:ascii="Times New Roman" w:hAnsi="Times New Roman" w:cs="Times New Roman"/>
          <w:b/>
          <w:sz w:val="24"/>
          <w:szCs w:val="24"/>
        </w:rPr>
        <w:t>Introdução</w:t>
      </w:r>
    </w:p>
    <w:p w:rsidR="00DF5DDA" w:rsidRDefault="009D541E"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A dinâmica inflacionária pode ser influenciada por diferentes fontes, tais como a demanda e a trajetória da atividade econômica, a expectativas dos agentes, bem como os choques de oferta ou o comportamento dos custos (Moreira, 2012</w:t>
      </w:r>
      <w:r w:rsidR="00C60B70">
        <w:rPr>
          <w:rFonts w:ascii="Times New Roman" w:hAnsi="Times New Roman" w:cs="Times New Roman"/>
          <w:sz w:val="24"/>
          <w:szCs w:val="24"/>
        </w:rPr>
        <w:t>a</w:t>
      </w:r>
      <w:r>
        <w:rPr>
          <w:rFonts w:ascii="Times New Roman" w:hAnsi="Times New Roman" w:cs="Times New Roman"/>
          <w:sz w:val="24"/>
          <w:szCs w:val="24"/>
        </w:rPr>
        <w:t xml:space="preserve">). Podemos decompor a taxa de inflação, segundo os modelos de projeção do Banco Central, em seis componentes: a variação cambial; a inércia associada à parcela da inflação que excedeu a meta, acumulada a partir do ultimo trimestre do ano anterior; diferença entre expectativas de inflação dos agentes e a meta; choque de oferta; inflação de preços livres, excluídos os efeitos dos quatro itens anteriores; e inflação de preços administrados por contratos e monitorados, retirando-se os efeitos do </w:t>
      </w:r>
      <w:r w:rsidR="00DF5DDA">
        <w:rPr>
          <w:rFonts w:ascii="Times New Roman" w:hAnsi="Times New Roman" w:cs="Times New Roman"/>
          <w:sz w:val="24"/>
          <w:szCs w:val="24"/>
        </w:rPr>
        <w:t xml:space="preserve">repasse cambial. </w:t>
      </w:r>
      <w:r w:rsidR="00F9447B">
        <w:rPr>
          <w:rFonts w:ascii="Times New Roman" w:hAnsi="Times New Roman" w:cs="Times New Roman"/>
          <w:sz w:val="24"/>
          <w:szCs w:val="24"/>
        </w:rPr>
        <w:t xml:space="preserve">Estaremos dando </w:t>
      </w:r>
      <w:r w:rsidR="002948A3">
        <w:rPr>
          <w:rFonts w:ascii="Times New Roman" w:hAnsi="Times New Roman" w:cs="Times New Roman"/>
          <w:sz w:val="24"/>
          <w:szCs w:val="24"/>
        </w:rPr>
        <w:t xml:space="preserve">uma maior </w:t>
      </w:r>
      <w:r w:rsidR="00F9447B">
        <w:rPr>
          <w:rFonts w:ascii="Times New Roman" w:hAnsi="Times New Roman" w:cs="Times New Roman"/>
          <w:sz w:val="24"/>
          <w:szCs w:val="24"/>
        </w:rPr>
        <w:t xml:space="preserve">ênfase ao </w:t>
      </w:r>
      <w:proofErr w:type="gramStart"/>
      <w:r w:rsidR="002948A3">
        <w:rPr>
          <w:rFonts w:ascii="Times New Roman" w:hAnsi="Times New Roman" w:cs="Times New Roman"/>
          <w:sz w:val="24"/>
          <w:szCs w:val="24"/>
        </w:rPr>
        <w:t xml:space="preserve">componente </w:t>
      </w:r>
      <w:r w:rsidR="00F9447B">
        <w:rPr>
          <w:rFonts w:ascii="Times New Roman" w:hAnsi="Times New Roman" w:cs="Times New Roman"/>
          <w:sz w:val="24"/>
          <w:szCs w:val="24"/>
        </w:rPr>
        <w:t>choques</w:t>
      </w:r>
      <w:proofErr w:type="gramEnd"/>
      <w:r w:rsidR="00F9447B">
        <w:rPr>
          <w:rFonts w:ascii="Times New Roman" w:hAnsi="Times New Roman" w:cs="Times New Roman"/>
          <w:sz w:val="24"/>
          <w:szCs w:val="24"/>
        </w:rPr>
        <w:t xml:space="preserve"> de oferta e </w:t>
      </w:r>
      <w:r w:rsidR="002948A3">
        <w:rPr>
          <w:rFonts w:ascii="Times New Roman" w:hAnsi="Times New Roman" w:cs="Times New Roman"/>
          <w:sz w:val="24"/>
          <w:szCs w:val="24"/>
        </w:rPr>
        <w:t xml:space="preserve">variações nos preços relativos de </w:t>
      </w:r>
      <w:r w:rsidR="002948A3" w:rsidRPr="002948A3">
        <w:rPr>
          <w:rFonts w:ascii="Times New Roman" w:hAnsi="Times New Roman" w:cs="Times New Roman"/>
          <w:i/>
          <w:sz w:val="24"/>
          <w:szCs w:val="24"/>
        </w:rPr>
        <w:t>commodities</w:t>
      </w:r>
      <w:r w:rsidR="002948A3">
        <w:rPr>
          <w:rFonts w:ascii="Times New Roman" w:hAnsi="Times New Roman" w:cs="Times New Roman"/>
          <w:sz w:val="24"/>
          <w:szCs w:val="24"/>
        </w:rPr>
        <w:t xml:space="preserve"> na composição da dinâmica da inflação no Brasil, utilizando como exemplo</w:t>
      </w:r>
      <w:r w:rsidR="00F9447B">
        <w:rPr>
          <w:rFonts w:ascii="Times New Roman" w:hAnsi="Times New Roman" w:cs="Times New Roman"/>
          <w:sz w:val="24"/>
          <w:szCs w:val="24"/>
        </w:rPr>
        <w:t xml:space="preserve"> o Índice de </w:t>
      </w:r>
      <w:r w:rsidR="00F9447B" w:rsidRPr="00B51D8E">
        <w:rPr>
          <w:rFonts w:ascii="Times New Roman" w:hAnsi="Times New Roman" w:cs="Times New Roman"/>
          <w:i/>
          <w:sz w:val="24"/>
          <w:szCs w:val="24"/>
        </w:rPr>
        <w:t>Commodities</w:t>
      </w:r>
      <w:r w:rsidR="00F9447B">
        <w:rPr>
          <w:rFonts w:ascii="Times New Roman" w:hAnsi="Times New Roman" w:cs="Times New Roman"/>
          <w:sz w:val="24"/>
          <w:szCs w:val="24"/>
        </w:rPr>
        <w:t xml:space="preserve"> Brasil como instrumento </w:t>
      </w:r>
      <w:r w:rsidR="002948A3">
        <w:rPr>
          <w:rFonts w:ascii="Times New Roman" w:hAnsi="Times New Roman" w:cs="Times New Roman"/>
          <w:sz w:val="24"/>
          <w:szCs w:val="24"/>
        </w:rPr>
        <w:t>de identificação d</w:t>
      </w:r>
      <w:r w:rsidR="00F9447B">
        <w:rPr>
          <w:rFonts w:ascii="Times New Roman" w:hAnsi="Times New Roman" w:cs="Times New Roman"/>
          <w:sz w:val="24"/>
          <w:szCs w:val="24"/>
        </w:rPr>
        <w:t>este</w:t>
      </w:r>
      <w:r w:rsidR="002948A3">
        <w:rPr>
          <w:rFonts w:ascii="Times New Roman" w:hAnsi="Times New Roman" w:cs="Times New Roman"/>
          <w:sz w:val="24"/>
          <w:szCs w:val="24"/>
        </w:rPr>
        <w:t>s</w:t>
      </w:r>
      <w:r w:rsidR="00F9447B">
        <w:rPr>
          <w:rFonts w:ascii="Times New Roman" w:hAnsi="Times New Roman" w:cs="Times New Roman"/>
          <w:sz w:val="24"/>
          <w:szCs w:val="24"/>
        </w:rPr>
        <w:t xml:space="preserve"> choque</w:t>
      </w:r>
      <w:r w:rsidR="002948A3">
        <w:rPr>
          <w:rFonts w:ascii="Times New Roman" w:hAnsi="Times New Roman" w:cs="Times New Roman"/>
          <w:sz w:val="24"/>
          <w:szCs w:val="24"/>
        </w:rPr>
        <w:t>s</w:t>
      </w:r>
      <w:r w:rsidR="00F9447B">
        <w:rPr>
          <w:rFonts w:ascii="Times New Roman" w:hAnsi="Times New Roman" w:cs="Times New Roman"/>
          <w:sz w:val="24"/>
          <w:szCs w:val="24"/>
        </w:rPr>
        <w:t xml:space="preserve"> </w:t>
      </w:r>
      <w:r w:rsidR="00F9447B" w:rsidRPr="002948A3">
        <w:rPr>
          <w:rFonts w:ascii="Times New Roman" w:hAnsi="Times New Roman" w:cs="Times New Roman"/>
          <w:sz w:val="24"/>
          <w:szCs w:val="24"/>
        </w:rPr>
        <w:t>utilizado na decomposição da inflação</w:t>
      </w:r>
      <w:r w:rsidR="002948A3">
        <w:rPr>
          <w:rFonts w:ascii="Times New Roman" w:hAnsi="Times New Roman" w:cs="Times New Roman"/>
          <w:sz w:val="24"/>
          <w:szCs w:val="24"/>
        </w:rPr>
        <w:t>, seus impactos e respostas ótimas e/ou mais adequadas aos mesmos.</w:t>
      </w:r>
    </w:p>
    <w:p w:rsidR="00F9447B" w:rsidRDefault="004470C3"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O conhecimento da dinâmica dos preços das </w:t>
      </w:r>
      <w:r w:rsidRPr="00DC4952">
        <w:rPr>
          <w:rFonts w:ascii="Times New Roman" w:hAnsi="Times New Roman" w:cs="Times New Roman"/>
          <w:i/>
          <w:sz w:val="24"/>
          <w:szCs w:val="24"/>
        </w:rPr>
        <w:t>commodities</w:t>
      </w:r>
      <w:r>
        <w:rPr>
          <w:rFonts w:ascii="Times New Roman" w:hAnsi="Times New Roman" w:cs="Times New Roman"/>
          <w:sz w:val="24"/>
          <w:szCs w:val="24"/>
        </w:rPr>
        <w:t xml:space="preserve"> nos mercados internacionais tem ganhado importância nos últimos anos, haja vista seus potenciais impactos sobre a dinâmica dos preços ao consumidor no Brasil e, por conseguinte, suas repercussões no cenário prospectivo</w:t>
      </w:r>
      <w:r w:rsidR="00CC6B08">
        <w:rPr>
          <w:rFonts w:ascii="Times New Roman" w:hAnsi="Times New Roman" w:cs="Times New Roman"/>
          <w:sz w:val="24"/>
          <w:szCs w:val="24"/>
        </w:rPr>
        <w:t xml:space="preserve"> e implicações na condução da política monetária</w:t>
      </w:r>
      <w:r>
        <w:rPr>
          <w:rFonts w:ascii="Times New Roman" w:hAnsi="Times New Roman" w:cs="Times New Roman"/>
          <w:sz w:val="24"/>
          <w:szCs w:val="24"/>
        </w:rPr>
        <w:t xml:space="preserve">.  </w:t>
      </w:r>
      <w:r w:rsidR="00CC6B08">
        <w:rPr>
          <w:rFonts w:ascii="Times New Roman" w:hAnsi="Times New Roman" w:cs="Times New Roman"/>
          <w:sz w:val="24"/>
          <w:szCs w:val="24"/>
        </w:rPr>
        <w:t>B</w:t>
      </w:r>
      <w:r w:rsidR="009A3118">
        <w:rPr>
          <w:rFonts w:ascii="Times New Roman" w:hAnsi="Times New Roman" w:cs="Times New Roman"/>
          <w:sz w:val="24"/>
          <w:szCs w:val="24"/>
        </w:rPr>
        <w:t xml:space="preserve">aseando-se nisso, este trabalho tem como objetivo principal, estimar as variações </w:t>
      </w:r>
      <w:r w:rsidR="00DC4952">
        <w:rPr>
          <w:rFonts w:ascii="Times New Roman" w:hAnsi="Times New Roman" w:cs="Times New Roman"/>
          <w:sz w:val="24"/>
          <w:szCs w:val="24"/>
        </w:rPr>
        <w:t xml:space="preserve">no preço relativo de commodities, em nosso caso específico, </w:t>
      </w:r>
      <w:r w:rsidR="009A3118">
        <w:rPr>
          <w:rFonts w:ascii="Times New Roman" w:hAnsi="Times New Roman" w:cs="Times New Roman"/>
          <w:sz w:val="24"/>
          <w:szCs w:val="24"/>
        </w:rPr>
        <w:t>no Índice de Commodities Brasil (</w:t>
      </w:r>
      <w:proofErr w:type="gramStart"/>
      <w:r w:rsidR="009A3118">
        <w:rPr>
          <w:rFonts w:ascii="Times New Roman" w:hAnsi="Times New Roman" w:cs="Times New Roman"/>
          <w:sz w:val="24"/>
          <w:szCs w:val="24"/>
        </w:rPr>
        <w:t>IC-</w:t>
      </w:r>
      <w:proofErr w:type="spellStart"/>
      <w:r w:rsidR="009A3118">
        <w:rPr>
          <w:rFonts w:ascii="Times New Roman" w:hAnsi="Times New Roman" w:cs="Times New Roman"/>
          <w:sz w:val="24"/>
          <w:szCs w:val="24"/>
        </w:rPr>
        <w:t>Br</w:t>
      </w:r>
      <w:proofErr w:type="spellEnd"/>
      <w:proofErr w:type="gramEnd"/>
      <w:r w:rsidR="009A3118">
        <w:rPr>
          <w:rFonts w:ascii="Times New Roman" w:hAnsi="Times New Roman" w:cs="Times New Roman"/>
          <w:sz w:val="24"/>
          <w:szCs w:val="24"/>
        </w:rPr>
        <w:t xml:space="preserve">) </w:t>
      </w:r>
      <w:r w:rsidR="00C2121C">
        <w:rPr>
          <w:rFonts w:ascii="Times New Roman" w:hAnsi="Times New Roman" w:cs="Times New Roman"/>
          <w:sz w:val="24"/>
          <w:szCs w:val="24"/>
        </w:rPr>
        <w:t>e como são repa</w:t>
      </w:r>
      <w:r w:rsidR="00DC4952">
        <w:rPr>
          <w:rFonts w:ascii="Times New Roman" w:hAnsi="Times New Roman" w:cs="Times New Roman"/>
          <w:sz w:val="24"/>
          <w:szCs w:val="24"/>
        </w:rPr>
        <w:t>ssadas aos preços ao consumidor</w:t>
      </w:r>
    </w:p>
    <w:p w:rsidR="00C2121C" w:rsidRDefault="0008669E"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O método empírico </w:t>
      </w:r>
      <w:r w:rsidR="00C2121C">
        <w:rPr>
          <w:rFonts w:ascii="Times New Roman" w:hAnsi="Times New Roman" w:cs="Times New Roman"/>
          <w:sz w:val="24"/>
          <w:szCs w:val="24"/>
        </w:rPr>
        <w:t xml:space="preserve">utilizado para estimar o repasse do </w:t>
      </w:r>
      <w:proofErr w:type="gramStart"/>
      <w:r w:rsidR="00C2121C">
        <w:rPr>
          <w:rFonts w:ascii="Times New Roman" w:hAnsi="Times New Roman" w:cs="Times New Roman"/>
          <w:sz w:val="24"/>
          <w:szCs w:val="24"/>
        </w:rPr>
        <w:t>IC-</w:t>
      </w:r>
      <w:proofErr w:type="spellStart"/>
      <w:r w:rsidR="00C2121C">
        <w:rPr>
          <w:rFonts w:ascii="Times New Roman" w:hAnsi="Times New Roman" w:cs="Times New Roman"/>
          <w:sz w:val="24"/>
          <w:szCs w:val="24"/>
        </w:rPr>
        <w:t>Br</w:t>
      </w:r>
      <w:proofErr w:type="spellEnd"/>
      <w:proofErr w:type="gramEnd"/>
      <w:r w:rsidR="00C2121C">
        <w:rPr>
          <w:rFonts w:ascii="Times New Roman" w:hAnsi="Times New Roman" w:cs="Times New Roman"/>
          <w:sz w:val="24"/>
          <w:szCs w:val="24"/>
        </w:rPr>
        <w:t xml:space="preserve"> para o Índice Nacional de Pr</w:t>
      </w:r>
      <w:r w:rsidR="00DC4952">
        <w:rPr>
          <w:rFonts w:ascii="Times New Roman" w:hAnsi="Times New Roman" w:cs="Times New Roman"/>
          <w:sz w:val="24"/>
          <w:szCs w:val="24"/>
        </w:rPr>
        <w:t xml:space="preserve">eços ao Consumidor Amplo (IPCA), </w:t>
      </w:r>
      <w:r w:rsidR="00852585">
        <w:rPr>
          <w:rFonts w:ascii="Times New Roman" w:hAnsi="Times New Roman" w:cs="Times New Roman"/>
          <w:sz w:val="24"/>
          <w:szCs w:val="24"/>
        </w:rPr>
        <w:t>através de estudos realizados</w:t>
      </w:r>
      <w:r>
        <w:rPr>
          <w:rFonts w:ascii="Times New Roman" w:hAnsi="Times New Roman" w:cs="Times New Roman"/>
          <w:sz w:val="24"/>
          <w:szCs w:val="24"/>
        </w:rPr>
        <w:t xml:space="preserve"> pelo Banco Central, será a</w:t>
      </w:r>
      <w:r w:rsidR="00C2121C">
        <w:rPr>
          <w:rFonts w:ascii="Times New Roman" w:hAnsi="Times New Roman" w:cs="Times New Roman"/>
          <w:sz w:val="24"/>
          <w:szCs w:val="24"/>
        </w:rPr>
        <w:t xml:space="preserve"> metodologia VAR. </w:t>
      </w:r>
      <w:r w:rsidR="00622497">
        <w:rPr>
          <w:rFonts w:ascii="Times New Roman" w:hAnsi="Times New Roman" w:cs="Times New Roman"/>
          <w:sz w:val="24"/>
          <w:szCs w:val="24"/>
        </w:rPr>
        <w:t xml:space="preserve">Foram utilizados dados mensais </w:t>
      </w:r>
      <w:r w:rsidR="00CC6B08">
        <w:rPr>
          <w:rFonts w:ascii="Times New Roman" w:hAnsi="Times New Roman" w:cs="Times New Roman"/>
          <w:sz w:val="24"/>
          <w:szCs w:val="24"/>
        </w:rPr>
        <w:t>abrangendo o período de</w:t>
      </w:r>
      <w:r w:rsidR="00622497">
        <w:rPr>
          <w:rFonts w:ascii="Times New Roman" w:hAnsi="Times New Roman" w:cs="Times New Roman"/>
          <w:sz w:val="24"/>
          <w:szCs w:val="24"/>
        </w:rPr>
        <w:t xml:space="preserve"> 2006 a 2010</w:t>
      </w:r>
      <w:r w:rsidR="00C2121C">
        <w:rPr>
          <w:rFonts w:ascii="Times New Roman" w:hAnsi="Times New Roman" w:cs="Times New Roman"/>
          <w:sz w:val="24"/>
          <w:szCs w:val="24"/>
        </w:rPr>
        <w:t xml:space="preserve">, incluindo a variação da media mensal dos preços das </w:t>
      </w:r>
      <w:r w:rsidR="00C2121C" w:rsidRPr="00C2121C">
        <w:rPr>
          <w:rFonts w:ascii="Times New Roman" w:hAnsi="Times New Roman" w:cs="Times New Roman"/>
          <w:i/>
          <w:sz w:val="24"/>
          <w:szCs w:val="24"/>
        </w:rPr>
        <w:t>commodities</w:t>
      </w:r>
      <w:r w:rsidR="00C2121C">
        <w:rPr>
          <w:rFonts w:ascii="Times New Roman" w:hAnsi="Times New Roman" w:cs="Times New Roman"/>
          <w:sz w:val="24"/>
          <w:szCs w:val="24"/>
        </w:rPr>
        <w:t xml:space="preserve"> em reais; o IBC-</w:t>
      </w:r>
      <w:proofErr w:type="spellStart"/>
      <w:r w:rsidR="00C2121C">
        <w:rPr>
          <w:rFonts w:ascii="Times New Roman" w:hAnsi="Times New Roman" w:cs="Times New Roman"/>
          <w:sz w:val="24"/>
          <w:szCs w:val="24"/>
        </w:rPr>
        <w:t>Br</w:t>
      </w:r>
      <w:proofErr w:type="spellEnd"/>
      <w:r w:rsidR="00C2121C">
        <w:rPr>
          <w:rFonts w:ascii="Times New Roman" w:hAnsi="Times New Roman" w:cs="Times New Roman"/>
          <w:sz w:val="24"/>
          <w:szCs w:val="24"/>
        </w:rPr>
        <w:t>, como medida da atividade econômica; a taxa Selic, como variável da politica monetária; a variação media mensal da taxa de cambio; e a inflação medida pelo IPCA.</w:t>
      </w:r>
    </w:p>
    <w:p w:rsidR="00560503" w:rsidRDefault="00560503"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O artigo será dividido da seguinte forma: primeiramente, será apresentado o escopo teórico sobre o assunto. Em seguida, será apresentado uma revisão da literatura empírica e o resultado das aplicações econométricas</w:t>
      </w:r>
      <w:r w:rsidR="00E07572">
        <w:rPr>
          <w:rFonts w:ascii="Times New Roman" w:hAnsi="Times New Roman" w:cs="Times New Roman"/>
          <w:sz w:val="24"/>
          <w:szCs w:val="24"/>
        </w:rPr>
        <w:t>, baseados em estudos apresentados do Banco Central,</w:t>
      </w:r>
      <w:r>
        <w:rPr>
          <w:rFonts w:ascii="Times New Roman" w:hAnsi="Times New Roman" w:cs="Times New Roman"/>
          <w:sz w:val="24"/>
          <w:szCs w:val="24"/>
        </w:rPr>
        <w:t xml:space="preserve"> sobre o impacto de um choque nos preços da cesta de commodities que compõem o </w:t>
      </w:r>
      <w:proofErr w:type="gramStart"/>
      <w:r>
        <w:rPr>
          <w:rFonts w:ascii="Times New Roman" w:hAnsi="Times New Roman" w:cs="Times New Roman"/>
          <w:sz w:val="24"/>
          <w:szCs w:val="24"/>
        </w:rPr>
        <w:t>IC-</w:t>
      </w:r>
      <w:proofErr w:type="spellStart"/>
      <w:r>
        <w:rPr>
          <w:rFonts w:ascii="Times New Roman" w:hAnsi="Times New Roman" w:cs="Times New Roman"/>
          <w:sz w:val="24"/>
          <w:szCs w:val="24"/>
        </w:rPr>
        <w:t>Br</w:t>
      </w:r>
      <w:proofErr w:type="spellEnd"/>
      <w:proofErr w:type="gramEnd"/>
      <w:r>
        <w:rPr>
          <w:rFonts w:ascii="Times New Roman" w:hAnsi="Times New Roman" w:cs="Times New Roman"/>
          <w:sz w:val="24"/>
          <w:szCs w:val="24"/>
        </w:rPr>
        <w:t xml:space="preserve"> para o </w:t>
      </w:r>
      <w:r w:rsidR="00A46D9C">
        <w:rPr>
          <w:rFonts w:ascii="Times New Roman" w:hAnsi="Times New Roman" w:cs="Times New Roman"/>
          <w:sz w:val="24"/>
          <w:szCs w:val="24"/>
        </w:rPr>
        <w:lastRenderedPageBreak/>
        <w:t>Índice Nacional de Preços ao Consumidor Amplo (</w:t>
      </w:r>
      <w:r>
        <w:rPr>
          <w:rFonts w:ascii="Times New Roman" w:hAnsi="Times New Roman" w:cs="Times New Roman"/>
          <w:sz w:val="24"/>
          <w:szCs w:val="24"/>
        </w:rPr>
        <w:t>IPCA</w:t>
      </w:r>
      <w:r w:rsidR="00A46D9C">
        <w:rPr>
          <w:rFonts w:ascii="Times New Roman" w:hAnsi="Times New Roman" w:cs="Times New Roman"/>
          <w:sz w:val="24"/>
          <w:szCs w:val="24"/>
        </w:rPr>
        <w:t>)</w:t>
      </w:r>
      <w:r>
        <w:rPr>
          <w:rFonts w:ascii="Times New Roman" w:hAnsi="Times New Roman" w:cs="Times New Roman"/>
          <w:sz w:val="24"/>
          <w:szCs w:val="24"/>
        </w:rPr>
        <w:t xml:space="preserve">. </w:t>
      </w:r>
      <w:r w:rsidR="00E07572">
        <w:rPr>
          <w:rFonts w:ascii="Times New Roman" w:hAnsi="Times New Roman" w:cs="Times New Roman"/>
          <w:sz w:val="24"/>
          <w:szCs w:val="24"/>
        </w:rPr>
        <w:t xml:space="preserve">Em seguida, adicionaremos posições de autores estudados em relação </w:t>
      </w:r>
      <w:proofErr w:type="gramStart"/>
      <w:r w:rsidR="00E07572">
        <w:rPr>
          <w:rFonts w:ascii="Times New Roman" w:hAnsi="Times New Roman" w:cs="Times New Roman"/>
          <w:sz w:val="24"/>
          <w:szCs w:val="24"/>
        </w:rPr>
        <w:t>a</w:t>
      </w:r>
      <w:proofErr w:type="gramEnd"/>
      <w:r w:rsidR="00E07572">
        <w:rPr>
          <w:rFonts w:ascii="Times New Roman" w:hAnsi="Times New Roman" w:cs="Times New Roman"/>
          <w:sz w:val="24"/>
          <w:szCs w:val="24"/>
        </w:rPr>
        <w:t xml:space="preserve"> posição ótima da politica monetária como resposta à estes choques apresentados. </w:t>
      </w:r>
      <w:r>
        <w:rPr>
          <w:rFonts w:ascii="Times New Roman" w:hAnsi="Times New Roman" w:cs="Times New Roman"/>
          <w:sz w:val="24"/>
          <w:szCs w:val="24"/>
        </w:rPr>
        <w:t>E, finalmente, coloca</w:t>
      </w:r>
      <w:r w:rsidR="00625B70">
        <w:rPr>
          <w:rFonts w:ascii="Times New Roman" w:hAnsi="Times New Roman" w:cs="Times New Roman"/>
          <w:sz w:val="24"/>
          <w:szCs w:val="24"/>
        </w:rPr>
        <w:t xml:space="preserve">remos as considerações finais, </w:t>
      </w:r>
      <w:r w:rsidR="00A46D9C">
        <w:rPr>
          <w:rFonts w:ascii="Times New Roman" w:hAnsi="Times New Roman" w:cs="Times New Roman"/>
          <w:sz w:val="24"/>
          <w:szCs w:val="24"/>
        </w:rPr>
        <w:t>e as principais referê</w:t>
      </w:r>
      <w:r>
        <w:rPr>
          <w:rFonts w:ascii="Times New Roman" w:hAnsi="Times New Roman" w:cs="Times New Roman"/>
          <w:sz w:val="24"/>
          <w:szCs w:val="24"/>
        </w:rPr>
        <w:t>ncias utilizadas para a implementação deste trabalho.</w:t>
      </w:r>
    </w:p>
    <w:p w:rsidR="00C3357F" w:rsidRDefault="00C3357F" w:rsidP="00C3357F">
      <w:pPr>
        <w:spacing w:after="100" w:afterAutospacing="1"/>
        <w:jc w:val="both"/>
        <w:rPr>
          <w:rFonts w:ascii="Times New Roman" w:hAnsi="Times New Roman" w:cs="Times New Roman"/>
          <w:b/>
          <w:sz w:val="24"/>
          <w:szCs w:val="24"/>
        </w:rPr>
      </w:pPr>
    </w:p>
    <w:p w:rsidR="00560503" w:rsidRDefault="001415D8" w:rsidP="00C3357F">
      <w:pPr>
        <w:spacing w:after="100" w:afterAutospacing="1"/>
        <w:jc w:val="both"/>
        <w:rPr>
          <w:rFonts w:ascii="Times New Roman" w:hAnsi="Times New Roman" w:cs="Times New Roman"/>
          <w:b/>
          <w:sz w:val="24"/>
          <w:szCs w:val="24"/>
        </w:rPr>
      </w:pPr>
      <w:r>
        <w:rPr>
          <w:rFonts w:ascii="Times New Roman" w:hAnsi="Times New Roman" w:cs="Times New Roman"/>
          <w:b/>
          <w:sz w:val="24"/>
          <w:szCs w:val="24"/>
        </w:rPr>
        <w:t xml:space="preserve">2. </w:t>
      </w:r>
      <w:r w:rsidR="00197115" w:rsidRPr="00197115">
        <w:rPr>
          <w:rFonts w:ascii="Times New Roman" w:hAnsi="Times New Roman" w:cs="Times New Roman"/>
          <w:b/>
          <w:sz w:val="24"/>
          <w:szCs w:val="24"/>
        </w:rPr>
        <w:t>Escopo Teórico</w:t>
      </w:r>
    </w:p>
    <w:p w:rsidR="00F9447B" w:rsidRDefault="00A27C16"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Embora o modelo IS/LM ainda seja o instrumento central do ensino da macroeconomia na maioria dos livros didáticos macroeconômicos, essa posição tem sido criticada por vários economistas. Entre seus argumentos, citam que sua estrutura é, logicamente, </w:t>
      </w:r>
      <w:r w:rsidR="002F12A3">
        <w:rPr>
          <w:rFonts w:ascii="Times New Roman" w:hAnsi="Times New Roman" w:cs="Times New Roman"/>
          <w:sz w:val="24"/>
          <w:szCs w:val="24"/>
        </w:rPr>
        <w:t>in</w:t>
      </w:r>
      <w:r w:rsidR="0072668A">
        <w:rPr>
          <w:rFonts w:ascii="Times New Roman" w:hAnsi="Times New Roman" w:cs="Times New Roman"/>
          <w:sz w:val="24"/>
          <w:szCs w:val="24"/>
        </w:rPr>
        <w:t>consistente; que o</w:t>
      </w:r>
      <w:r>
        <w:rPr>
          <w:rFonts w:ascii="Times New Roman" w:hAnsi="Times New Roman" w:cs="Times New Roman"/>
          <w:sz w:val="24"/>
          <w:szCs w:val="24"/>
        </w:rPr>
        <w:t xml:space="preserve"> modelo é incapaz de lidar com politicas monetárias que utilizam a taxa de juros como </w:t>
      </w:r>
      <w:r w:rsidR="0072668A">
        <w:rPr>
          <w:rFonts w:ascii="Times New Roman" w:hAnsi="Times New Roman" w:cs="Times New Roman"/>
          <w:sz w:val="24"/>
          <w:szCs w:val="24"/>
        </w:rPr>
        <w:t>meta operacional; como também que e</w:t>
      </w:r>
      <w:r>
        <w:rPr>
          <w:rFonts w:ascii="Times New Roman" w:hAnsi="Times New Roman" w:cs="Times New Roman"/>
          <w:sz w:val="24"/>
          <w:szCs w:val="24"/>
        </w:rPr>
        <w:t>sse instr</w:t>
      </w:r>
      <w:r w:rsidR="0072668A">
        <w:rPr>
          <w:rFonts w:ascii="Times New Roman" w:hAnsi="Times New Roman" w:cs="Times New Roman"/>
          <w:sz w:val="24"/>
          <w:szCs w:val="24"/>
        </w:rPr>
        <w:t>umento não é adequado para a aná</w:t>
      </w:r>
      <w:r>
        <w:rPr>
          <w:rFonts w:ascii="Times New Roman" w:hAnsi="Times New Roman" w:cs="Times New Roman"/>
          <w:sz w:val="24"/>
          <w:szCs w:val="24"/>
        </w:rPr>
        <w:t>lise de metas de inflação (</w:t>
      </w:r>
      <w:proofErr w:type="spellStart"/>
      <w:r>
        <w:rPr>
          <w:rFonts w:ascii="Times New Roman" w:hAnsi="Times New Roman" w:cs="Times New Roman"/>
          <w:sz w:val="24"/>
          <w:szCs w:val="24"/>
        </w:rPr>
        <w:t>Bofinger</w:t>
      </w:r>
      <w:proofErr w:type="spellEnd"/>
      <w:r>
        <w:rPr>
          <w:rFonts w:ascii="Times New Roman" w:hAnsi="Times New Roman" w:cs="Times New Roman"/>
          <w:sz w:val="24"/>
          <w:szCs w:val="24"/>
        </w:rPr>
        <w:t xml:space="preserve">, Mayer &amp; </w:t>
      </w:r>
      <w:proofErr w:type="spellStart"/>
      <w:r>
        <w:rPr>
          <w:rFonts w:ascii="Times New Roman" w:hAnsi="Times New Roman" w:cs="Times New Roman"/>
          <w:sz w:val="24"/>
          <w:szCs w:val="24"/>
        </w:rPr>
        <w:t>Wollmershauser</w:t>
      </w:r>
      <w:proofErr w:type="spellEnd"/>
      <w:r>
        <w:rPr>
          <w:rFonts w:ascii="Times New Roman" w:hAnsi="Times New Roman" w:cs="Times New Roman"/>
          <w:sz w:val="24"/>
          <w:szCs w:val="24"/>
        </w:rPr>
        <w:t>, 2006).</w:t>
      </w:r>
    </w:p>
    <w:p w:rsidR="00A27C16" w:rsidRDefault="00491CD1"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A taxa de juros de curto prazo tem sido o principal instrumento das politicas monetárias em diversas economias ao redor do mundo. Este fato cria potenciais impactos negativos ou </w:t>
      </w:r>
      <w:r w:rsidRPr="00491CD1">
        <w:rPr>
          <w:rFonts w:ascii="Times New Roman" w:hAnsi="Times New Roman" w:cs="Times New Roman"/>
          <w:i/>
          <w:sz w:val="24"/>
          <w:szCs w:val="24"/>
        </w:rPr>
        <w:t>trade-</w:t>
      </w:r>
      <w:proofErr w:type="spellStart"/>
      <w:r w:rsidRPr="00491CD1">
        <w:rPr>
          <w:rFonts w:ascii="Times New Roman" w:hAnsi="Times New Roman" w:cs="Times New Roman"/>
          <w:i/>
          <w:sz w:val="24"/>
          <w:szCs w:val="24"/>
        </w:rPr>
        <w:t>off</w:t>
      </w:r>
      <w:r w:rsidR="004922CD">
        <w:rPr>
          <w:rFonts w:ascii="Times New Roman" w:hAnsi="Times New Roman" w:cs="Times New Roman"/>
          <w:i/>
          <w:sz w:val="24"/>
          <w:szCs w:val="24"/>
        </w:rPr>
        <w:t>s</w:t>
      </w:r>
      <w:proofErr w:type="spellEnd"/>
      <w:r>
        <w:rPr>
          <w:rFonts w:ascii="Times New Roman" w:hAnsi="Times New Roman" w:cs="Times New Roman"/>
          <w:sz w:val="24"/>
          <w:szCs w:val="24"/>
        </w:rPr>
        <w:t xml:space="preserve"> na dinâmica produtiva, como </w:t>
      </w:r>
      <w:proofErr w:type="gramStart"/>
      <w:r>
        <w:rPr>
          <w:rFonts w:ascii="Times New Roman" w:hAnsi="Times New Roman" w:cs="Times New Roman"/>
          <w:sz w:val="24"/>
          <w:szCs w:val="24"/>
        </w:rPr>
        <w:t>este</w:t>
      </w:r>
      <w:r w:rsidR="004922CD">
        <w:rPr>
          <w:rFonts w:ascii="Times New Roman" w:hAnsi="Times New Roman" w:cs="Times New Roman"/>
          <w:sz w:val="24"/>
          <w:szCs w:val="24"/>
        </w:rPr>
        <w:t xml:space="preserve"> ultimo</w:t>
      </w:r>
      <w:proofErr w:type="gramEnd"/>
      <w:r w:rsidR="004922CD">
        <w:rPr>
          <w:rFonts w:ascii="Times New Roman" w:hAnsi="Times New Roman" w:cs="Times New Roman"/>
          <w:sz w:val="24"/>
          <w:szCs w:val="24"/>
        </w:rPr>
        <w:t xml:space="preserve"> </w:t>
      </w:r>
      <w:r>
        <w:rPr>
          <w:rFonts w:ascii="Times New Roman" w:hAnsi="Times New Roman" w:cs="Times New Roman"/>
          <w:sz w:val="24"/>
          <w:szCs w:val="24"/>
        </w:rPr>
        <w:t xml:space="preserve">que é afetado pelos ajustes na taxa de juros e pelo canal de crédito. Um particular </w:t>
      </w:r>
      <w:r w:rsidRPr="00491CD1">
        <w:rPr>
          <w:rFonts w:ascii="Times New Roman" w:hAnsi="Times New Roman" w:cs="Times New Roman"/>
          <w:i/>
          <w:sz w:val="24"/>
          <w:szCs w:val="24"/>
        </w:rPr>
        <w:t>trade-</w:t>
      </w:r>
      <w:proofErr w:type="gramStart"/>
      <w:r w:rsidRPr="00491CD1">
        <w:rPr>
          <w:rFonts w:ascii="Times New Roman" w:hAnsi="Times New Roman" w:cs="Times New Roman"/>
          <w:i/>
          <w:sz w:val="24"/>
          <w:szCs w:val="24"/>
        </w:rPr>
        <w:t>off</w:t>
      </w:r>
      <w:proofErr w:type="gramEnd"/>
      <w:r>
        <w:rPr>
          <w:rFonts w:ascii="Times New Roman" w:hAnsi="Times New Roman" w:cs="Times New Roman"/>
          <w:sz w:val="24"/>
          <w:szCs w:val="24"/>
        </w:rPr>
        <w:t xml:space="preserve"> ocorre quando as decisões de politica monetária são influenciadas por variações da taxa de inflação, que por sua vez, são causadas por “choques de oferta” (Moreira, 2012</w:t>
      </w:r>
      <w:r w:rsidR="004922CD">
        <w:rPr>
          <w:rFonts w:ascii="Times New Roman" w:hAnsi="Times New Roman" w:cs="Times New Roman"/>
          <w:sz w:val="24"/>
          <w:szCs w:val="24"/>
        </w:rPr>
        <w:t>a</w:t>
      </w:r>
      <w:r>
        <w:rPr>
          <w:rFonts w:ascii="Times New Roman" w:hAnsi="Times New Roman" w:cs="Times New Roman"/>
          <w:sz w:val="24"/>
          <w:szCs w:val="24"/>
        </w:rPr>
        <w:t>).</w:t>
      </w:r>
    </w:p>
    <w:p w:rsidR="00491CD1" w:rsidRDefault="00491CD1"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Choques de oferta</w:t>
      </w:r>
      <w:r w:rsidR="00F97C81">
        <w:rPr>
          <w:rFonts w:ascii="Times New Roman" w:hAnsi="Times New Roman" w:cs="Times New Roman"/>
          <w:sz w:val="24"/>
          <w:szCs w:val="24"/>
        </w:rPr>
        <w:t xml:space="preserve"> são, por exemplo, mudanças em</w:t>
      </w:r>
      <w:r w:rsidR="00D04E13">
        <w:rPr>
          <w:rFonts w:ascii="Times New Roman" w:hAnsi="Times New Roman" w:cs="Times New Roman"/>
          <w:sz w:val="24"/>
          <w:szCs w:val="24"/>
        </w:rPr>
        <w:t xml:space="preserve"> preços de alimentos e energia bem como</w:t>
      </w:r>
      <w:r w:rsidR="00F97C81">
        <w:rPr>
          <w:rFonts w:ascii="Times New Roman" w:hAnsi="Times New Roman" w:cs="Times New Roman"/>
          <w:sz w:val="24"/>
          <w:szCs w:val="24"/>
        </w:rPr>
        <w:t xml:space="preserve"> </w:t>
      </w:r>
      <w:r w:rsidR="00D04E13">
        <w:rPr>
          <w:rFonts w:ascii="Times New Roman" w:hAnsi="Times New Roman" w:cs="Times New Roman"/>
          <w:sz w:val="24"/>
          <w:szCs w:val="24"/>
        </w:rPr>
        <w:t>choques nos termos de troca (preços de bens exportáveis/preços de bens importáveis) (</w:t>
      </w:r>
      <w:proofErr w:type="spellStart"/>
      <w:r w:rsidR="00D04E13">
        <w:rPr>
          <w:rFonts w:ascii="Times New Roman" w:hAnsi="Times New Roman" w:cs="Times New Roman"/>
          <w:sz w:val="24"/>
          <w:szCs w:val="24"/>
        </w:rPr>
        <w:t>Bernanke</w:t>
      </w:r>
      <w:proofErr w:type="spellEnd"/>
      <w:r w:rsidR="00D04E13">
        <w:rPr>
          <w:rFonts w:ascii="Times New Roman" w:hAnsi="Times New Roman" w:cs="Times New Roman"/>
          <w:sz w:val="24"/>
          <w:szCs w:val="24"/>
        </w:rPr>
        <w:t xml:space="preserve"> &amp; </w:t>
      </w:r>
      <w:proofErr w:type="spellStart"/>
      <w:r w:rsidR="00D04E13">
        <w:rPr>
          <w:rFonts w:ascii="Times New Roman" w:hAnsi="Times New Roman" w:cs="Times New Roman"/>
          <w:sz w:val="24"/>
          <w:szCs w:val="24"/>
        </w:rPr>
        <w:t>Mishkin</w:t>
      </w:r>
      <w:proofErr w:type="spellEnd"/>
      <w:r w:rsidR="00D04E13">
        <w:rPr>
          <w:rFonts w:ascii="Times New Roman" w:hAnsi="Times New Roman" w:cs="Times New Roman"/>
          <w:sz w:val="24"/>
          <w:szCs w:val="24"/>
        </w:rPr>
        <w:t>, 1997</w:t>
      </w:r>
      <w:r w:rsidR="009D79E8">
        <w:rPr>
          <w:rFonts w:ascii="Times New Roman" w:hAnsi="Times New Roman" w:cs="Times New Roman"/>
          <w:sz w:val="24"/>
          <w:szCs w:val="24"/>
        </w:rPr>
        <w:t>; Moreira, 2012</w:t>
      </w:r>
      <w:r w:rsidR="004922CD">
        <w:rPr>
          <w:rFonts w:ascii="Times New Roman" w:hAnsi="Times New Roman" w:cs="Times New Roman"/>
          <w:sz w:val="24"/>
          <w:szCs w:val="24"/>
        </w:rPr>
        <w:t>a</w:t>
      </w:r>
      <w:r w:rsidR="00D04E13">
        <w:rPr>
          <w:rFonts w:ascii="Times New Roman" w:hAnsi="Times New Roman" w:cs="Times New Roman"/>
          <w:sz w:val="24"/>
          <w:szCs w:val="24"/>
        </w:rPr>
        <w:t>)</w:t>
      </w:r>
      <w:r w:rsidR="009D79E8">
        <w:rPr>
          <w:rFonts w:ascii="Times New Roman" w:hAnsi="Times New Roman" w:cs="Times New Roman"/>
          <w:sz w:val="24"/>
          <w:szCs w:val="24"/>
        </w:rPr>
        <w:t xml:space="preserve">. </w:t>
      </w:r>
      <w:r w:rsidR="007379F0">
        <w:rPr>
          <w:rFonts w:ascii="Times New Roman" w:hAnsi="Times New Roman" w:cs="Times New Roman"/>
          <w:sz w:val="24"/>
          <w:szCs w:val="24"/>
        </w:rPr>
        <w:t xml:space="preserve"> Conforme define o Banco Central em seu Relatório de Inflação de Março de 2011, </w:t>
      </w:r>
      <w:r w:rsidR="00E601F6">
        <w:rPr>
          <w:rFonts w:ascii="Times New Roman" w:hAnsi="Times New Roman" w:cs="Times New Roman"/>
          <w:sz w:val="24"/>
          <w:szCs w:val="24"/>
        </w:rPr>
        <w:t xml:space="preserve">choques de oferta são </w:t>
      </w:r>
      <w:r w:rsidR="007379F0">
        <w:rPr>
          <w:rFonts w:ascii="Times New Roman" w:hAnsi="Times New Roman" w:cs="Times New Roman"/>
          <w:sz w:val="24"/>
          <w:szCs w:val="24"/>
        </w:rPr>
        <w:t>como surpresas que afetam diretamente as condições de produção, tais como quebras de safras agrícolas, racionamentos de energia, aumento da produtiv</w:t>
      </w:r>
      <w:r w:rsidR="004922CD">
        <w:rPr>
          <w:rFonts w:ascii="Times New Roman" w:hAnsi="Times New Roman" w:cs="Times New Roman"/>
          <w:sz w:val="24"/>
          <w:szCs w:val="24"/>
        </w:rPr>
        <w:t>idade das empresas ou melhoria n</w:t>
      </w:r>
      <w:r w:rsidR="007379F0">
        <w:rPr>
          <w:rFonts w:ascii="Times New Roman" w:hAnsi="Times New Roman" w:cs="Times New Roman"/>
          <w:sz w:val="24"/>
          <w:szCs w:val="24"/>
        </w:rPr>
        <w:t xml:space="preserve">os termos de troca, entre outros, e podem ser positivos ou negativos. </w:t>
      </w:r>
    </w:p>
    <w:p w:rsidR="00575D45" w:rsidRDefault="00575D45"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Para efeitos de condução da política monetária, a relevância de um choque depende de sua magnitude e de sua persistência, bem como das características estruturais da economia. Por exemplo, variações cambiais persistentes tendem a ser mais intensamente repassadas aos preços. Ou ainda, economias com participação elevada de alimentos na cesta de consumo das </w:t>
      </w:r>
      <w:r>
        <w:rPr>
          <w:rFonts w:ascii="Times New Roman" w:hAnsi="Times New Roman" w:cs="Times New Roman"/>
          <w:sz w:val="24"/>
          <w:szCs w:val="24"/>
        </w:rPr>
        <w:lastRenderedPageBreak/>
        <w:t>famílias tendem a ser mais fortemente impactadas quando há aumentos desses preços nos mercados internacionais.</w:t>
      </w:r>
    </w:p>
    <w:p w:rsidR="00AA37B1" w:rsidRDefault="00CC6B08" w:rsidP="00261E98">
      <w:pPr>
        <w:spacing w:after="100" w:afterAutospacing="1"/>
        <w:jc w:val="both"/>
        <w:rPr>
          <w:rStyle w:val="longtext"/>
          <w:rFonts w:ascii="Times New Roman" w:hAnsi="Times New Roman" w:cs="Times New Roman"/>
          <w:sz w:val="24"/>
          <w:szCs w:val="24"/>
          <w:lang w:val="pt-PT"/>
        </w:rPr>
      </w:pPr>
      <w:r w:rsidRPr="00CC6B08">
        <w:rPr>
          <w:rStyle w:val="longtext"/>
          <w:rFonts w:ascii="Times New Roman" w:hAnsi="Times New Roman" w:cs="Times New Roman"/>
          <w:sz w:val="24"/>
          <w:szCs w:val="24"/>
          <w:lang w:val="pt-PT"/>
        </w:rPr>
        <w:t>Preços relativos, por exemplo, de alimentos e de energia, muitas vezes são discutidos em</w:t>
      </w:r>
      <w:r w:rsidRPr="00CC6B08">
        <w:rPr>
          <w:rFonts w:ascii="Times New Roman" w:hAnsi="Times New Roman" w:cs="Times New Roman"/>
          <w:sz w:val="24"/>
          <w:szCs w:val="24"/>
          <w:lang w:val="pt-PT"/>
        </w:rPr>
        <w:br/>
      </w:r>
      <w:r w:rsidRPr="00CC6B08">
        <w:rPr>
          <w:rStyle w:val="longtext"/>
          <w:rFonts w:ascii="Times New Roman" w:hAnsi="Times New Roman" w:cs="Times New Roman"/>
          <w:sz w:val="24"/>
          <w:szCs w:val="24"/>
          <w:lang w:val="pt-PT"/>
        </w:rPr>
        <w:t>estudos de controle da inflação por dois motivos. Primeiro de tudo, os preços relativos são frequentemente</w:t>
      </w:r>
      <w:r>
        <w:rPr>
          <w:rFonts w:ascii="Times New Roman" w:hAnsi="Times New Roman" w:cs="Times New Roman"/>
          <w:sz w:val="24"/>
          <w:szCs w:val="24"/>
          <w:lang w:val="pt-PT"/>
        </w:rPr>
        <w:t xml:space="preserve"> </w:t>
      </w:r>
      <w:r w:rsidRPr="00CC6B08">
        <w:rPr>
          <w:rStyle w:val="longtext"/>
          <w:rFonts w:ascii="Times New Roman" w:hAnsi="Times New Roman" w:cs="Times New Roman"/>
          <w:sz w:val="24"/>
          <w:szCs w:val="24"/>
          <w:lang w:val="pt-PT"/>
        </w:rPr>
        <w:t>utilizadas como</w:t>
      </w:r>
      <w:r w:rsidR="00913697">
        <w:rPr>
          <w:rStyle w:val="longtext"/>
          <w:rFonts w:ascii="Times New Roman" w:hAnsi="Times New Roman" w:cs="Times New Roman"/>
          <w:sz w:val="24"/>
          <w:szCs w:val="24"/>
          <w:lang w:val="pt-PT"/>
        </w:rPr>
        <w:t xml:space="preserve"> medidas de choques de oferta nas equações da curva de Phillips que </w:t>
      </w:r>
      <w:r w:rsidRPr="00CC6B08">
        <w:rPr>
          <w:rStyle w:val="longtext"/>
          <w:rFonts w:ascii="Times New Roman" w:hAnsi="Times New Roman" w:cs="Times New Roman"/>
          <w:sz w:val="24"/>
          <w:szCs w:val="24"/>
          <w:lang w:val="pt-PT"/>
        </w:rPr>
        <w:t>buscam</w:t>
      </w:r>
      <w:r w:rsidR="00913697">
        <w:rPr>
          <w:rStyle w:val="longtext"/>
          <w:rFonts w:ascii="Times New Roman" w:hAnsi="Times New Roman" w:cs="Times New Roman"/>
          <w:sz w:val="24"/>
          <w:szCs w:val="24"/>
          <w:lang w:val="pt-PT"/>
        </w:rPr>
        <w:t xml:space="preserve"> modelar </w:t>
      </w:r>
      <w:r w:rsidRPr="00CC6B08">
        <w:rPr>
          <w:rStyle w:val="longtext"/>
          <w:rFonts w:ascii="Times New Roman" w:hAnsi="Times New Roman" w:cs="Times New Roman"/>
          <w:sz w:val="24"/>
          <w:szCs w:val="24"/>
          <w:lang w:val="pt-PT"/>
        </w:rPr>
        <w:t>trade-off</w:t>
      </w:r>
      <w:r w:rsidR="00913697">
        <w:rPr>
          <w:rStyle w:val="longtext"/>
          <w:rFonts w:ascii="Times New Roman" w:hAnsi="Times New Roman" w:cs="Times New Roman"/>
          <w:sz w:val="24"/>
          <w:szCs w:val="24"/>
          <w:lang w:val="pt-PT"/>
        </w:rPr>
        <w:t>s de curto prazo do produto inflação.</w:t>
      </w:r>
      <w:r w:rsidRPr="00CC6B08">
        <w:rPr>
          <w:rStyle w:val="longtext"/>
          <w:rFonts w:ascii="Times New Roman" w:hAnsi="Times New Roman" w:cs="Times New Roman"/>
          <w:sz w:val="24"/>
          <w:szCs w:val="24"/>
          <w:lang w:val="pt-PT"/>
        </w:rPr>
        <w:t xml:space="preserve"> Na literatura empírica sobre</w:t>
      </w:r>
      <w:r w:rsidR="00913697">
        <w:rPr>
          <w:rStyle w:val="longtext"/>
          <w:rFonts w:ascii="Times New Roman" w:hAnsi="Times New Roman" w:cs="Times New Roman"/>
          <w:sz w:val="24"/>
          <w:szCs w:val="24"/>
          <w:lang w:val="pt-PT"/>
        </w:rPr>
        <w:t xml:space="preserve"> </w:t>
      </w:r>
      <w:r w:rsidRPr="00CC6B08">
        <w:rPr>
          <w:rStyle w:val="longtext"/>
          <w:rFonts w:ascii="Times New Roman" w:hAnsi="Times New Roman" w:cs="Times New Roman"/>
          <w:sz w:val="24"/>
          <w:szCs w:val="24"/>
          <w:lang w:val="pt-PT"/>
        </w:rPr>
        <w:t>a curva de Phillips, mudanças nos preços relativos dos alimentos e da energia são</w:t>
      </w:r>
      <w:r w:rsidR="00913697">
        <w:rPr>
          <w:rFonts w:ascii="Times New Roman" w:hAnsi="Times New Roman" w:cs="Times New Roman"/>
          <w:sz w:val="24"/>
          <w:szCs w:val="24"/>
          <w:lang w:val="pt-PT"/>
        </w:rPr>
        <w:t xml:space="preserve"> </w:t>
      </w:r>
      <w:r w:rsidRPr="00CC6B08">
        <w:rPr>
          <w:rStyle w:val="longtext"/>
          <w:rFonts w:ascii="Times New Roman" w:hAnsi="Times New Roman" w:cs="Times New Roman"/>
          <w:sz w:val="24"/>
          <w:szCs w:val="24"/>
          <w:lang w:val="pt-PT"/>
        </w:rPr>
        <w:t>vulgarmente utilizado</w:t>
      </w:r>
      <w:r w:rsidR="00913697">
        <w:rPr>
          <w:rStyle w:val="longtext"/>
          <w:rFonts w:ascii="Times New Roman" w:hAnsi="Times New Roman" w:cs="Times New Roman"/>
          <w:sz w:val="24"/>
          <w:szCs w:val="24"/>
          <w:lang w:val="pt-PT"/>
        </w:rPr>
        <w:t>s</w:t>
      </w:r>
      <w:r w:rsidRPr="00CC6B08">
        <w:rPr>
          <w:rStyle w:val="longtext"/>
          <w:rFonts w:ascii="Times New Roman" w:hAnsi="Times New Roman" w:cs="Times New Roman"/>
          <w:sz w:val="24"/>
          <w:szCs w:val="24"/>
          <w:lang w:val="pt-PT"/>
        </w:rPr>
        <w:t xml:space="preserve"> como uma medida</w:t>
      </w:r>
      <w:r w:rsidR="00913697">
        <w:rPr>
          <w:rStyle w:val="longtext"/>
          <w:rFonts w:ascii="Times New Roman" w:hAnsi="Times New Roman" w:cs="Times New Roman"/>
          <w:sz w:val="24"/>
          <w:szCs w:val="24"/>
          <w:lang w:val="pt-PT"/>
        </w:rPr>
        <w:t xml:space="preserve"> de choques de oferta, que mudam a </w:t>
      </w:r>
      <w:r w:rsidRPr="00CC6B08">
        <w:rPr>
          <w:rStyle w:val="longtext"/>
          <w:rFonts w:ascii="Times New Roman" w:hAnsi="Times New Roman" w:cs="Times New Roman"/>
          <w:sz w:val="24"/>
          <w:szCs w:val="24"/>
          <w:lang w:val="pt-PT"/>
        </w:rPr>
        <w:t>Curva de Phillips</w:t>
      </w:r>
      <w:r w:rsidR="00913697">
        <w:rPr>
          <w:rStyle w:val="longtext"/>
          <w:rFonts w:ascii="Times New Roman" w:hAnsi="Times New Roman" w:cs="Times New Roman"/>
          <w:sz w:val="24"/>
          <w:szCs w:val="24"/>
          <w:lang w:val="pt-PT"/>
        </w:rPr>
        <w:t xml:space="preserve"> de curto prazo</w:t>
      </w:r>
      <w:r w:rsidRPr="00CC6B08">
        <w:rPr>
          <w:rStyle w:val="longtext"/>
          <w:rFonts w:ascii="Times New Roman" w:hAnsi="Times New Roman" w:cs="Times New Roman"/>
          <w:sz w:val="24"/>
          <w:szCs w:val="24"/>
          <w:lang w:val="pt-PT"/>
        </w:rPr>
        <w:t>. Em segundo lugar, muitos aut</w:t>
      </w:r>
      <w:r w:rsidR="00913697">
        <w:rPr>
          <w:rStyle w:val="longtext"/>
          <w:rFonts w:ascii="Times New Roman" w:hAnsi="Times New Roman" w:cs="Times New Roman"/>
          <w:sz w:val="24"/>
          <w:szCs w:val="24"/>
          <w:lang w:val="pt-PT"/>
        </w:rPr>
        <w:t>ores têm procurado identificar um</w:t>
      </w:r>
      <w:r w:rsidRPr="00CC6B08">
        <w:rPr>
          <w:rStyle w:val="longtext"/>
          <w:rFonts w:ascii="Times New Roman" w:hAnsi="Times New Roman" w:cs="Times New Roman"/>
          <w:sz w:val="24"/>
          <w:szCs w:val="24"/>
          <w:lang w:val="pt-PT"/>
        </w:rPr>
        <w:t xml:space="preserve"> mais persistente</w:t>
      </w:r>
      <w:r w:rsidR="00913697">
        <w:rPr>
          <w:rStyle w:val="longtext"/>
          <w:rFonts w:ascii="Times New Roman" w:hAnsi="Times New Roman" w:cs="Times New Roman"/>
          <w:sz w:val="24"/>
          <w:szCs w:val="24"/>
          <w:lang w:val="pt-PT"/>
        </w:rPr>
        <w:t xml:space="preserve"> </w:t>
      </w:r>
      <w:r w:rsidRPr="00CC6B08">
        <w:rPr>
          <w:rStyle w:val="longtext"/>
          <w:rFonts w:ascii="Times New Roman" w:hAnsi="Times New Roman" w:cs="Times New Roman"/>
          <w:sz w:val="24"/>
          <w:szCs w:val="24"/>
          <w:lang w:val="pt-PT"/>
        </w:rPr>
        <w:t>compone</w:t>
      </w:r>
      <w:r w:rsidR="00913697">
        <w:rPr>
          <w:rStyle w:val="longtext"/>
          <w:rFonts w:ascii="Times New Roman" w:hAnsi="Times New Roman" w:cs="Times New Roman"/>
          <w:sz w:val="24"/>
          <w:szCs w:val="24"/>
          <w:lang w:val="pt-PT"/>
        </w:rPr>
        <w:t>nte da inflação, conhecido como</w:t>
      </w:r>
      <w:r w:rsidRPr="00CC6B08">
        <w:rPr>
          <w:rStyle w:val="longtext"/>
          <w:rFonts w:ascii="Times New Roman" w:hAnsi="Times New Roman" w:cs="Times New Roman"/>
          <w:sz w:val="24"/>
          <w:szCs w:val="24"/>
          <w:lang w:val="pt-PT"/>
        </w:rPr>
        <w:t xml:space="preserve"> </w:t>
      </w:r>
      <w:r w:rsidR="00913697">
        <w:rPr>
          <w:rStyle w:val="longtext"/>
          <w:rFonts w:ascii="Times New Roman" w:hAnsi="Times New Roman" w:cs="Times New Roman"/>
          <w:sz w:val="24"/>
          <w:szCs w:val="24"/>
          <w:lang w:val="pt-PT"/>
        </w:rPr>
        <w:t>“núcleo da inflação”</w:t>
      </w:r>
      <w:r w:rsidRPr="00CC6B08">
        <w:rPr>
          <w:rStyle w:val="longtext"/>
          <w:rFonts w:ascii="Times New Roman" w:hAnsi="Times New Roman" w:cs="Times New Roman"/>
          <w:sz w:val="24"/>
          <w:szCs w:val="24"/>
          <w:lang w:val="pt-PT"/>
        </w:rPr>
        <w:t xml:space="preserve">. Para a </w:t>
      </w:r>
      <w:r w:rsidR="00913697">
        <w:rPr>
          <w:rStyle w:val="longtext"/>
          <w:rFonts w:ascii="Times New Roman" w:hAnsi="Times New Roman" w:cs="Times New Roman"/>
          <w:sz w:val="24"/>
          <w:szCs w:val="24"/>
          <w:lang w:val="pt-PT"/>
        </w:rPr>
        <w:t>condução da</w:t>
      </w:r>
      <w:r w:rsidR="00913697">
        <w:rPr>
          <w:rFonts w:ascii="Times New Roman" w:hAnsi="Times New Roman" w:cs="Times New Roman"/>
          <w:sz w:val="24"/>
          <w:szCs w:val="24"/>
          <w:lang w:val="pt-PT"/>
        </w:rPr>
        <w:t xml:space="preserve"> </w:t>
      </w:r>
      <w:r w:rsidRPr="00CC6B08">
        <w:rPr>
          <w:rStyle w:val="longtext"/>
          <w:rFonts w:ascii="Times New Roman" w:hAnsi="Times New Roman" w:cs="Times New Roman"/>
          <w:sz w:val="24"/>
          <w:szCs w:val="24"/>
          <w:lang w:val="pt-PT"/>
        </w:rPr>
        <w:t xml:space="preserve">política monetária, o </w:t>
      </w:r>
      <w:r w:rsidR="00913697">
        <w:rPr>
          <w:rStyle w:val="longtext"/>
          <w:rFonts w:ascii="Times New Roman" w:hAnsi="Times New Roman" w:cs="Times New Roman"/>
          <w:sz w:val="24"/>
          <w:szCs w:val="24"/>
          <w:lang w:val="pt-PT"/>
        </w:rPr>
        <w:t>núcleo da inflação é considerado</w:t>
      </w:r>
      <w:r w:rsidRPr="00CC6B08">
        <w:rPr>
          <w:rStyle w:val="longtext"/>
          <w:rFonts w:ascii="Times New Roman" w:hAnsi="Times New Roman" w:cs="Times New Roman"/>
          <w:sz w:val="24"/>
          <w:szCs w:val="24"/>
          <w:lang w:val="pt-PT"/>
        </w:rPr>
        <w:t xml:space="preserve"> um indicador mais importante do que</w:t>
      </w:r>
      <w:r w:rsidR="00913697">
        <w:rPr>
          <w:rFonts w:ascii="Times New Roman" w:hAnsi="Times New Roman" w:cs="Times New Roman"/>
          <w:sz w:val="24"/>
          <w:szCs w:val="24"/>
          <w:lang w:val="pt-PT"/>
        </w:rPr>
        <w:t xml:space="preserve"> </w:t>
      </w:r>
      <w:r w:rsidRPr="00CC6B08">
        <w:rPr>
          <w:rStyle w:val="longtext"/>
          <w:rFonts w:ascii="Times New Roman" w:hAnsi="Times New Roman" w:cs="Times New Roman"/>
          <w:sz w:val="24"/>
          <w:szCs w:val="24"/>
          <w:lang w:val="pt-PT"/>
        </w:rPr>
        <w:t>medidas de inflação mais amplas</w:t>
      </w:r>
      <w:r w:rsidR="00913697">
        <w:rPr>
          <w:rStyle w:val="longtext"/>
          <w:rFonts w:ascii="Times New Roman" w:hAnsi="Times New Roman" w:cs="Times New Roman"/>
          <w:sz w:val="24"/>
          <w:szCs w:val="24"/>
          <w:lang w:val="pt-PT"/>
        </w:rPr>
        <w:t xml:space="preserve"> (Aoki. K, 2001)</w:t>
      </w:r>
      <w:r w:rsidRPr="00CC6B08">
        <w:rPr>
          <w:rStyle w:val="longtext"/>
          <w:rFonts w:ascii="Times New Roman" w:hAnsi="Times New Roman" w:cs="Times New Roman"/>
          <w:sz w:val="24"/>
          <w:szCs w:val="24"/>
          <w:lang w:val="pt-PT"/>
        </w:rPr>
        <w:t xml:space="preserve">. </w:t>
      </w:r>
    </w:p>
    <w:p w:rsidR="00AA37B1" w:rsidRDefault="00913697" w:rsidP="00261E98">
      <w:pPr>
        <w:spacing w:after="100" w:afterAutospacing="1"/>
        <w:jc w:val="both"/>
        <w:rPr>
          <w:rFonts w:ascii="Times New Roman" w:hAnsi="Times New Roman" w:cs="Times New Roman"/>
          <w:sz w:val="24"/>
          <w:szCs w:val="24"/>
          <w:lang w:val="pt-PT"/>
        </w:rPr>
      </w:pPr>
      <w:r>
        <w:rPr>
          <w:rStyle w:val="longtext"/>
          <w:rFonts w:ascii="Times New Roman" w:hAnsi="Times New Roman" w:cs="Times New Roman"/>
          <w:sz w:val="24"/>
          <w:szCs w:val="24"/>
          <w:lang w:val="pt-PT"/>
        </w:rPr>
        <w:t xml:space="preserve">Ainda segundo Aoki, as flutuações nos preços de </w:t>
      </w:r>
      <w:r w:rsidR="00CC6B08" w:rsidRPr="00CC6B08">
        <w:rPr>
          <w:rStyle w:val="longtext"/>
          <w:rFonts w:ascii="Times New Roman" w:hAnsi="Times New Roman" w:cs="Times New Roman"/>
          <w:sz w:val="24"/>
          <w:szCs w:val="24"/>
          <w:lang w:val="pt-PT"/>
        </w:rPr>
        <w:t>alimentos</w:t>
      </w:r>
      <w:r>
        <w:rPr>
          <w:rStyle w:val="longtext"/>
          <w:rFonts w:ascii="Times New Roman" w:hAnsi="Times New Roman" w:cs="Times New Roman"/>
          <w:sz w:val="24"/>
          <w:szCs w:val="24"/>
          <w:lang w:val="pt-PT"/>
        </w:rPr>
        <w:t xml:space="preserve"> </w:t>
      </w:r>
      <w:r w:rsidR="00CC6B08" w:rsidRPr="00CC6B08">
        <w:rPr>
          <w:rStyle w:val="longtext"/>
          <w:rFonts w:ascii="Times New Roman" w:hAnsi="Times New Roman" w:cs="Times New Roman"/>
          <w:sz w:val="24"/>
          <w:szCs w:val="24"/>
          <w:lang w:val="pt-PT"/>
        </w:rPr>
        <w:t>e e</w:t>
      </w:r>
      <w:r>
        <w:rPr>
          <w:rStyle w:val="longtext"/>
          <w:rFonts w:ascii="Times New Roman" w:hAnsi="Times New Roman" w:cs="Times New Roman"/>
          <w:sz w:val="24"/>
          <w:szCs w:val="24"/>
          <w:lang w:val="pt-PT"/>
        </w:rPr>
        <w:t xml:space="preserve">nergia são </w:t>
      </w:r>
      <w:proofErr w:type="gramStart"/>
      <w:r>
        <w:rPr>
          <w:rStyle w:val="longtext"/>
          <w:rFonts w:ascii="Times New Roman" w:hAnsi="Times New Roman" w:cs="Times New Roman"/>
          <w:sz w:val="24"/>
          <w:szCs w:val="24"/>
          <w:lang w:val="pt-PT"/>
        </w:rPr>
        <w:t>considerados</w:t>
      </w:r>
      <w:proofErr w:type="gramEnd"/>
      <w:r>
        <w:rPr>
          <w:rStyle w:val="longtext"/>
          <w:rFonts w:ascii="Times New Roman" w:hAnsi="Times New Roman" w:cs="Times New Roman"/>
          <w:sz w:val="24"/>
          <w:szCs w:val="24"/>
          <w:lang w:val="pt-PT"/>
        </w:rPr>
        <w:t xml:space="preserve"> como um componente </w:t>
      </w:r>
      <w:r w:rsidR="009B773F">
        <w:rPr>
          <w:rStyle w:val="longtext"/>
          <w:rFonts w:ascii="Times New Roman" w:hAnsi="Times New Roman" w:cs="Times New Roman"/>
          <w:sz w:val="24"/>
          <w:szCs w:val="24"/>
          <w:lang w:val="pt-PT"/>
        </w:rPr>
        <w:t>transitório</w:t>
      </w:r>
      <w:r>
        <w:rPr>
          <w:rStyle w:val="longtext"/>
          <w:rFonts w:ascii="Times New Roman" w:hAnsi="Times New Roman" w:cs="Times New Roman"/>
          <w:sz w:val="24"/>
          <w:szCs w:val="24"/>
          <w:lang w:val="pt-PT"/>
        </w:rPr>
        <w:t xml:space="preserve"> dos </w:t>
      </w:r>
      <w:r w:rsidR="00CC6B08" w:rsidRPr="00CC6B08">
        <w:rPr>
          <w:rStyle w:val="longtext"/>
          <w:rFonts w:ascii="Times New Roman" w:hAnsi="Times New Roman" w:cs="Times New Roman"/>
          <w:sz w:val="24"/>
          <w:szCs w:val="24"/>
          <w:lang w:val="pt-PT"/>
        </w:rPr>
        <w:t>movi</w:t>
      </w:r>
      <w:r>
        <w:rPr>
          <w:rStyle w:val="longtext"/>
          <w:rFonts w:ascii="Times New Roman" w:hAnsi="Times New Roman" w:cs="Times New Roman"/>
          <w:sz w:val="24"/>
          <w:szCs w:val="24"/>
          <w:lang w:val="pt-PT"/>
        </w:rPr>
        <w:t>mentos globais n</w:t>
      </w:r>
      <w:r w:rsidR="00CC6B08" w:rsidRPr="00CC6B08">
        <w:rPr>
          <w:rStyle w:val="longtext"/>
          <w:rFonts w:ascii="Times New Roman" w:hAnsi="Times New Roman" w:cs="Times New Roman"/>
          <w:sz w:val="24"/>
          <w:szCs w:val="24"/>
          <w:lang w:val="pt-PT"/>
        </w:rPr>
        <w:t>a inflação, visto que eles</w:t>
      </w:r>
      <w:r w:rsidR="009B773F">
        <w:rPr>
          <w:rStyle w:val="longtext"/>
          <w:rFonts w:ascii="Times New Roman" w:hAnsi="Times New Roman" w:cs="Times New Roman"/>
          <w:sz w:val="24"/>
          <w:szCs w:val="24"/>
          <w:lang w:val="pt-PT"/>
        </w:rPr>
        <w:t xml:space="preserve"> são pensados ​​para ser causados principalmente por choques temporários e específicos</w:t>
      </w:r>
      <w:r w:rsidR="00CC6B08" w:rsidRPr="00CC6B08">
        <w:rPr>
          <w:rStyle w:val="longtext"/>
          <w:rFonts w:ascii="Times New Roman" w:hAnsi="Times New Roman" w:cs="Times New Roman"/>
          <w:sz w:val="24"/>
          <w:szCs w:val="24"/>
          <w:lang w:val="pt-PT"/>
        </w:rPr>
        <w:t xml:space="preserve">. </w:t>
      </w:r>
      <w:r w:rsidR="009B773F">
        <w:rPr>
          <w:rStyle w:val="longtext"/>
          <w:rFonts w:ascii="Times New Roman" w:hAnsi="Times New Roman" w:cs="Times New Roman"/>
          <w:sz w:val="24"/>
          <w:szCs w:val="24"/>
          <w:lang w:val="pt-PT"/>
        </w:rPr>
        <w:t xml:space="preserve">Com base nessa </w:t>
      </w:r>
      <w:proofErr w:type="gramStart"/>
      <w:r w:rsidR="009B773F">
        <w:rPr>
          <w:rStyle w:val="longtext"/>
          <w:rFonts w:ascii="Times New Roman" w:hAnsi="Times New Roman" w:cs="Times New Roman"/>
          <w:sz w:val="24"/>
          <w:szCs w:val="24"/>
          <w:lang w:val="pt-PT"/>
        </w:rPr>
        <w:t>idéia,</w:t>
      </w:r>
      <w:proofErr w:type="gramEnd"/>
      <w:r w:rsidR="009B773F">
        <w:rPr>
          <w:rStyle w:val="longtext"/>
          <w:rFonts w:ascii="Times New Roman" w:hAnsi="Times New Roman" w:cs="Times New Roman"/>
          <w:sz w:val="24"/>
          <w:szCs w:val="24"/>
          <w:lang w:val="pt-PT"/>
        </w:rPr>
        <w:t>é</w:t>
      </w:r>
      <w:r w:rsidR="000C102B">
        <w:rPr>
          <w:rStyle w:val="longtext"/>
          <w:rFonts w:ascii="Times New Roman" w:hAnsi="Times New Roman" w:cs="Times New Roman"/>
          <w:sz w:val="24"/>
          <w:szCs w:val="24"/>
          <w:lang w:val="pt-PT"/>
        </w:rPr>
        <w:t xml:space="preserve"> </w:t>
      </w:r>
      <w:r w:rsidR="009B773F">
        <w:rPr>
          <w:rStyle w:val="longtext"/>
          <w:rFonts w:ascii="Times New Roman" w:hAnsi="Times New Roman" w:cs="Times New Roman"/>
          <w:sz w:val="24"/>
          <w:szCs w:val="24"/>
          <w:lang w:val="pt-PT"/>
        </w:rPr>
        <w:t>uma</w:t>
      </w:r>
      <w:r w:rsidR="000C102B">
        <w:rPr>
          <w:rStyle w:val="longtext"/>
          <w:rFonts w:ascii="Times New Roman" w:hAnsi="Times New Roman" w:cs="Times New Roman"/>
          <w:sz w:val="24"/>
          <w:szCs w:val="24"/>
          <w:lang w:val="pt-PT"/>
        </w:rPr>
        <w:t xml:space="preserve"> </w:t>
      </w:r>
      <w:r w:rsidR="009B773F">
        <w:rPr>
          <w:rStyle w:val="longtext"/>
          <w:rFonts w:ascii="Times New Roman" w:hAnsi="Times New Roman" w:cs="Times New Roman"/>
          <w:sz w:val="24"/>
          <w:szCs w:val="24"/>
          <w:lang w:val="pt-PT"/>
        </w:rPr>
        <w:t>prática</w:t>
      </w:r>
      <w:r w:rsidR="000C102B">
        <w:rPr>
          <w:rStyle w:val="longtext"/>
          <w:rFonts w:ascii="Times New Roman" w:hAnsi="Times New Roman" w:cs="Times New Roman"/>
          <w:sz w:val="24"/>
          <w:szCs w:val="24"/>
          <w:lang w:val="pt-PT"/>
        </w:rPr>
        <w:t xml:space="preserve"> </w:t>
      </w:r>
      <w:r w:rsidR="009B773F">
        <w:rPr>
          <w:rStyle w:val="longtext"/>
          <w:rFonts w:ascii="Times New Roman" w:hAnsi="Times New Roman" w:cs="Times New Roman"/>
          <w:sz w:val="24"/>
          <w:szCs w:val="24"/>
          <w:lang w:val="pt-PT"/>
        </w:rPr>
        <w:t>comum</w:t>
      </w:r>
      <w:r w:rsidR="000C102B">
        <w:rPr>
          <w:rStyle w:val="longtext"/>
          <w:rFonts w:ascii="Times New Roman" w:hAnsi="Times New Roman" w:cs="Times New Roman"/>
          <w:sz w:val="24"/>
          <w:szCs w:val="24"/>
          <w:lang w:val="pt-PT"/>
        </w:rPr>
        <w:t xml:space="preserve"> </w:t>
      </w:r>
      <w:r w:rsidR="009B773F">
        <w:rPr>
          <w:rStyle w:val="longtext"/>
          <w:rFonts w:ascii="Times New Roman" w:hAnsi="Times New Roman" w:cs="Times New Roman"/>
          <w:sz w:val="24"/>
          <w:szCs w:val="24"/>
          <w:lang w:val="pt-PT"/>
        </w:rPr>
        <w:t>subtrair</w:t>
      </w:r>
      <w:r w:rsidR="000C102B">
        <w:rPr>
          <w:rStyle w:val="longtext"/>
          <w:rFonts w:ascii="Times New Roman" w:hAnsi="Times New Roman" w:cs="Times New Roman"/>
          <w:sz w:val="24"/>
          <w:szCs w:val="24"/>
          <w:lang w:val="pt-PT"/>
        </w:rPr>
        <w:t xml:space="preserve"> </w:t>
      </w:r>
      <w:r w:rsidR="00CC6B08" w:rsidRPr="00CC6B08">
        <w:rPr>
          <w:rStyle w:val="longtext"/>
          <w:rFonts w:ascii="Times New Roman" w:hAnsi="Times New Roman" w:cs="Times New Roman"/>
          <w:sz w:val="24"/>
          <w:szCs w:val="24"/>
          <w:lang w:val="pt-PT"/>
        </w:rPr>
        <w:t>o</w:t>
      </w:r>
      <w:r w:rsidR="000C102B">
        <w:rPr>
          <w:rStyle w:val="longtext"/>
          <w:rFonts w:ascii="Times New Roman" w:hAnsi="Times New Roman" w:cs="Times New Roman"/>
          <w:sz w:val="24"/>
          <w:szCs w:val="24"/>
          <w:lang w:val="pt-PT"/>
        </w:rPr>
        <w:t xml:space="preserve">s </w:t>
      </w:r>
      <w:r w:rsidR="00CC6B08" w:rsidRPr="00CC6B08">
        <w:rPr>
          <w:rStyle w:val="longtext"/>
          <w:rFonts w:ascii="Times New Roman" w:hAnsi="Times New Roman" w:cs="Times New Roman"/>
          <w:sz w:val="24"/>
          <w:szCs w:val="24"/>
          <w:lang w:val="pt-PT"/>
        </w:rPr>
        <w:t>preços de alimentos e en</w:t>
      </w:r>
      <w:r w:rsidR="009B773F">
        <w:rPr>
          <w:rStyle w:val="longtext"/>
          <w:rFonts w:ascii="Times New Roman" w:hAnsi="Times New Roman" w:cs="Times New Roman"/>
          <w:sz w:val="24"/>
          <w:szCs w:val="24"/>
          <w:lang w:val="pt-PT"/>
        </w:rPr>
        <w:t>ergia a partir de uma medida de</w:t>
      </w:r>
      <w:r w:rsidR="000C102B">
        <w:rPr>
          <w:rStyle w:val="longtext"/>
          <w:rFonts w:ascii="Times New Roman" w:hAnsi="Times New Roman" w:cs="Times New Roman"/>
          <w:sz w:val="24"/>
          <w:szCs w:val="24"/>
          <w:lang w:val="pt-PT"/>
        </w:rPr>
        <w:t xml:space="preserve"> </w:t>
      </w:r>
      <w:r w:rsidR="009B773F">
        <w:rPr>
          <w:rStyle w:val="longtext"/>
          <w:rFonts w:ascii="Times New Roman" w:hAnsi="Times New Roman" w:cs="Times New Roman"/>
          <w:sz w:val="24"/>
          <w:szCs w:val="24"/>
          <w:lang w:val="pt-PT"/>
        </w:rPr>
        <w:t>inflação</w:t>
      </w:r>
      <w:r w:rsidR="000C102B">
        <w:rPr>
          <w:rStyle w:val="longtext"/>
          <w:rFonts w:ascii="Times New Roman" w:hAnsi="Times New Roman" w:cs="Times New Roman"/>
          <w:sz w:val="24"/>
          <w:szCs w:val="24"/>
          <w:lang w:val="pt-PT"/>
        </w:rPr>
        <w:t xml:space="preserve"> </w:t>
      </w:r>
      <w:r w:rsidR="009B773F">
        <w:rPr>
          <w:rStyle w:val="longtext"/>
          <w:rFonts w:ascii="Times New Roman" w:hAnsi="Times New Roman" w:cs="Times New Roman"/>
          <w:sz w:val="24"/>
          <w:szCs w:val="24"/>
          <w:lang w:val="pt-PT"/>
        </w:rPr>
        <w:t>acumulada</w:t>
      </w:r>
      <w:r w:rsidR="000C102B">
        <w:rPr>
          <w:rStyle w:val="longtext"/>
          <w:rFonts w:ascii="Times New Roman" w:hAnsi="Times New Roman" w:cs="Times New Roman"/>
          <w:sz w:val="24"/>
          <w:szCs w:val="24"/>
          <w:lang w:val="pt-PT"/>
        </w:rPr>
        <w:t xml:space="preserve"> </w:t>
      </w:r>
      <w:r w:rsidR="009B773F">
        <w:rPr>
          <w:rStyle w:val="longtext"/>
          <w:rFonts w:ascii="Times New Roman" w:hAnsi="Times New Roman" w:cs="Times New Roman"/>
          <w:sz w:val="24"/>
          <w:szCs w:val="24"/>
          <w:lang w:val="pt-PT"/>
        </w:rPr>
        <w:t>para</w:t>
      </w:r>
      <w:r w:rsidR="000C102B">
        <w:rPr>
          <w:rStyle w:val="longtext"/>
          <w:rFonts w:ascii="Times New Roman" w:hAnsi="Times New Roman" w:cs="Times New Roman"/>
          <w:sz w:val="24"/>
          <w:szCs w:val="24"/>
          <w:lang w:val="pt-PT"/>
        </w:rPr>
        <w:t xml:space="preserve"> </w:t>
      </w:r>
      <w:r w:rsidR="009B773F">
        <w:rPr>
          <w:rStyle w:val="longtext"/>
          <w:rFonts w:ascii="Times New Roman" w:hAnsi="Times New Roman" w:cs="Times New Roman"/>
          <w:sz w:val="24"/>
          <w:szCs w:val="24"/>
          <w:lang w:val="pt-PT"/>
        </w:rPr>
        <w:t>calcula</w:t>
      </w:r>
      <w:r w:rsidR="000C102B">
        <w:rPr>
          <w:rStyle w:val="longtext"/>
          <w:rFonts w:ascii="Times New Roman" w:hAnsi="Times New Roman" w:cs="Times New Roman"/>
          <w:sz w:val="24"/>
          <w:szCs w:val="24"/>
          <w:lang w:val="pt-PT"/>
        </w:rPr>
        <w:t xml:space="preserve">r </w:t>
      </w:r>
      <w:r w:rsidR="00CC6B08" w:rsidRPr="00CC6B08">
        <w:rPr>
          <w:rStyle w:val="longtext"/>
          <w:rFonts w:ascii="Times New Roman" w:hAnsi="Times New Roman" w:cs="Times New Roman"/>
          <w:sz w:val="24"/>
          <w:szCs w:val="24"/>
          <w:lang w:val="pt-PT"/>
        </w:rPr>
        <w:t>um</w:t>
      </w:r>
      <w:r w:rsidR="000C102B">
        <w:rPr>
          <w:rStyle w:val="longtext"/>
          <w:rFonts w:ascii="Times New Roman" w:hAnsi="Times New Roman" w:cs="Times New Roman"/>
          <w:sz w:val="24"/>
          <w:szCs w:val="24"/>
          <w:lang w:val="pt-PT"/>
        </w:rPr>
        <w:t xml:space="preserve">a </w:t>
      </w:r>
      <w:r w:rsidR="009B773F">
        <w:rPr>
          <w:rStyle w:val="longtext"/>
          <w:rFonts w:ascii="Times New Roman" w:hAnsi="Times New Roman" w:cs="Times New Roman"/>
          <w:sz w:val="24"/>
          <w:szCs w:val="24"/>
          <w:lang w:val="pt-PT"/>
        </w:rPr>
        <w:t>medida</w:t>
      </w:r>
      <w:r w:rsidR="000C102B">
        <w:rPr>
          <w:rStyle w:val="longtext"/>
          <w:rFonts w:ascii="Times New Roman" w:hAnsi="Times New Roman" w:cs="Times New Roman"/>
          <w:sz w:val="24"/>
          <w:szCs w:val="24"/>
          <w:lang w:val="pt-PT"/>
        </w:rPr>
        <w:t xml:space="preserve"> </w:t>
      </w:r>
      <w:r w:rsidR="009B773F">
        <w:rPr>
          <w:rStyle w:val="longtext"/>
          <w:rFonts w:ascii="Times New Roman" w:hAnsi="Times New Roman" w:cs="Times New Roman"/>
          <w:sz w:val="24"/>
          <w:szCs w:val="24"/>
          <w:lang w:val="pt-PT"/>
        </w:rPr>
        <w:t>de</w:t>
      </w:r>
      <w:r w:rsidR="000C102B">
        <w:rPr>
          <w:rStyle w:val="longtext"/>
          <w:rFonts w:ascii="Times New Roman" w:hAnsi="Times New Roman" w:cs="Times New Roman"/>
          <w:sz w:val="24"/>
          <w:szCs w:val="24"/>
          <w:lang w:val="pt-PT"/>
        </w:rPr>
        <w:t xml:space="preserve"> </w:t>
      </w:r>
      <w:r w:rsidR="009B773F">
        <w:rPr>
          <w:rStyle w:val="longtext"/>
          <w:rFonts w:ascii="Times New Roman" w:hAnsi="Times New Roman" w:cs="Times New Roman"/>
          <w:sz w:val="24"/>
          <w:szCs w:val="24"/>
          <w:lang w:val="pt-PT"/>
        </w:rPr>
        <w:t>núcleo</w:t>
      </w:r>
      <w:r w:rsidR="000C102B">
        <w:rPr>
          <w:rStyle w:val="longtext"/>
          <w:rFonts w:ascii="Times New Roman" w:hAnsi="Times New Roman" w:cs="Times New Roman"/>
          <w:sz w:val="24"/>
          <w:szCs w:val="24"/>
          <w:lang w:val="pt-PT"/>
        </w:rPr>
        <w:t xml:space="preserve"> </w:t>
      </w:r>
      <w:r w:rsidR="009B773F">
        <w:rPr>
          <w:rStyle w:val="longtext"/>
          <w:rFonts w:ascii="Times New Roman" w:hAnsi="Times New Roman" w:cs="Times New Roman"/>
          <w:sz w:val="24"/>
          <w:szCs w:val="24"/>
          <w:lang w:val="pt-PT"/>
        </w:rPr>
        <w:t>da</w:t>
      </w:r>
      <w:r w:rsidR="000C102B">
        <w:rPr>
          <w:rStyle w:val="longtext"/>
          <w:rFonts w:ascii="Times New Roman" w:hAnsi="Times New Roman" w:cs="Times New Roman"/>
          <w:sz w:val="24"/>
          <w:szCs w:val="24"/>
          <w:lang w:val="pt-PT"/>
        </w:rPr>
        <w:t xml:space="preserve"> </w:t>
      </w:r>
      <w:r w:rsidR="00CC6B08" w:rsidRPr="00CC6B08">
        <w:rPr>
          <w:rStyle w:val="longtext"/>
          <w:rFonts w:ascii="Times New Roman" w:hAnsi="Times New Roman" w:cs="Times New Roman"/>
          <w:sz w:val="24"/>
          <w:szCs w:val="24"/>
          <w:lang w:val="pt-PT"/>
        </w:rPr>
        <w:t>inflação.</w:t>
      </w:r>
      <w:r w:rsidR="000C102B">
        <w:rPr>
          <w:rStyle w:val="longtext"/>
          <w:rFonts w:ascii="Times New Roman" w:hAnsi="Times New Roman" w:cs="Times New Roman"/>
          <w:sz w:val="24"/>
          <w:szCs w:val="24"/>
          <w:lang w:val="pt-PT"/>
        </w:rPr>
        <w:t xml:space="preserve"> </w:t>
      </w:r>
      <w:r w:rsidR="00CC6B08" w:rsidRPr="00CC6B08">
        <w:rPr>
          <w:rStyle w:val="longtext"/>
          <w:rFonts w:ascii="Times New Roman" w:hAnsi="Times New Roman" w:cs="Times New Roman"/>
          <w:sz w:val="24"/>
          <w:szCs w:val="24"/>
          <w:lang w:val="pt-PT"/>
        </w:rPr>
        <w:t xml:space="preserve">No entanto, não é óbvio como mudanças nos </w:t>
      </w:r>
      <w:r w:rsidR="00B04983">
        <w:rPr>
          <w:rStyle w:val="longtext"/>
          <w:rFonts w:ascii="Times New Roman" w:hAnsi="Times New Roman" w:cs="Times New Roman"/>
          <w:sz w:val="24"/>
          <w:szCs w:val="24"/>
          <w:lang w:val="pt-PT"/>
        </w:rPr>
        <w:t xml:space="preserve">preços relativos afetam a </w:t>
      </w:r>
      <w:r w:rsidR="00CC6B08" w:rsidRPr="00CC6B08">
        <w:rPr>
          <w:rStyle w:val="longtext"/>
          <w:rFonts w:ascii="Times New Roman" w:hAnsi="Times New Roman" w:cs="Times New Roman"/>
          <w:sz w:val="24"/>
          <w:szCs w:val="24"/>
          <w:lang w:val="pt-PT"/>
        </w:rPr>
        <w:t>inflação</w:t>
      </w:r>
      <w:r w:rsidR="00B04983">
        <w:rPr>
          <w:rStyle w:val="longtext"/>
          <w:rFonts w:ascii="Times New Roman" w:hAnsi="Times New Roman" w:cs="Times New Roman"/>
          <w:sz w:val="24"/>
          <w:szCs w:val="24"/>
          <w:lang w:val="pt-PT"/>
        </w:rPr>
        <w:t xml:space="preserve"> agregada</w:t>
      </w:r>
      <w:r w:rsidR="00CC6B08" w:rsidRPr="00CC6B08">
        <w:rPr>
          <w:rStyle w:val="longtext"/>
          <w:rFonts w:ascii="Times New Roman" w:hAnsi="Times New Roman" w:cs="Times New Roman"/>
          <w:sz w:val="24"/>
          <w:szCs w:val="24"/>
          <w:lang w:val="pt-PT"/>
        </w:rPr>
        <w:t xml:space="preserve">. Estritamente falando, </w:t>
      </w:r>
      <w:r w:rsidR="00BB11A0">
        <w:rPr>
          <w:rStyle w:val="longtext"/>
          <w:rFonts w:ascii="Times New Roman" w:hAnsi="Times New Roman" w:cs="Times New Roman"/>
          <w:sz w:val="24"/>
          <w:szCs w:val="24"/>
          <w:lang w:val="pt-PT"/>
        </w:rPr>
        <w:t>um distúrbio relativamente puro</w:t>
      </w:r>
      <w:r w:rsidR="00CC6B08" w:rsidRPr="00CC6B08">
        <w:rPr>
          <w:rStyle w:val="longtext"/>
          <w:rFonts w:ascii="Times New Roman" w:hAnsi="Times New Roman" w:cs="Times New Roman"/>
          <w:sz w:val="24"/>
          <w:szCs w:val="24"/>
          <w:lang w:val="pt-PT"/>
        </w:rPr>
        <w:t xml:space="preserve"> é uma mudança na</w:t>
      </w:r>
      <w:r w:rsidR="00BB11A0">
        <w:rPr>
          <w:rStyle w:val="longtext"/>
          <w:rFonts w:ascii="Times New Roman" w:hAnsi="Times New Roman" w:cs="Times New Roman"/>
          <w:sz w:val="24"/>
          <w:szCs w:val="24"/>
          <w:lang w:val="pt-PT"/>
        </w:rPr>
        <w:t xml:space="preserve">s condições de oferta e </w:t>
      </w:r>
      <w:proofErr w:type="gramStart"/>
      <w:r w:rsidR="00BB11A0">
        <w:rPr>
          <w:rStyle w:val="longtext"/>
          <w:rFonts w:ascii="Times New Roman" w:hAnsi="Times New Roman" w:cs="Times New Roman"/>
          <w:sz w:val="24"/>
          <w:szCs w:val="24"/>
          <w:lang w:val="pt-PT"/>
        </w:rPr>
        <w:t>demanda,</w:t>
      </w:r>
      <w:proofErr w:type="gramEnd"/>
      <w:r w:rsidR="00BB11A0">
        <w:rPr>
          <w:rStyle w:val="longtext"/>
          <w:rFonts w:ascii="Times New Roman" w:hAnsi="Times New Roman" w:cs="Times New Roman"/>
          <w:sz w:val="24"/>
          <w:szCs w:val="24"/>
          <w:lang w:val="pt-PT"/>
        </w:rPr>
        <w:t xml:space="preserve"> que torna</w:t>
      </w:r>
      <w:r w:rsidR="00CC6B08" w:rsidRPr="00CC6B08">
        <w:rPr>
          <w:rStyle w:val="longtext"/>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fronteira de possibilidade de</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produção agregada</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apropriadamente definida</w:t>
      </w:r>
      <w:r w:rsidR="00BB11A0" w:rsidRPr="00BB11A0">
        <w:rPr>
          <w:rFonts w:ascii="Times New Roman" w:hAnsi="Times New Roman" w:cs="Times New Roman"/>
          <w:sz w:val="24"/>
          <w:szCs w:val="24"/>
          <w:lang w:val="pt-PT"/>
        </w:rPr>
        <w:t xml:space="preserve"> </w:t>
      </w:r>
      <w:r w:rsidR="00BB11A0">
        <w:rPr>
          <w:rFonts w:ascii="Times New Roman" w:hAnsi="Times New Roman" w:cs="Times New Roman"/>
          <w:sz w:val="24"/>
          <w:szCs w:val="24"/>
          <w:lang w:val="pt-PT"/>
        </w:rPr>
        <w:t xml:space="preserve">como </w:t>
      </w:r>
      <w:r w:rsidR="00BB11A0" w:rsidRPr="00BB11A0">
        <w:rPr>
          <w:rStyle w:val="hps"/>
          <w:rFonts w:ascii="Times New Roman" w:hAnsi="Times New Roman" w:cs="Times New Roman"/>
          <w:sz w:val="24"/>
          <w:szCs w:val="24"/>
          <w:lang w:val="pt-PT"/>
        </w:rPr>
        <w:t>inalterada</w:t>
      </w:r>
      <w:r w:rsidR="00CC6B08" w:rsidRPr="00CC6B08">
        <w:rPr>
          <w:rStyle w:val="longtext"/>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Na ausência de</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rigidez de preços</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esse choque</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não deve mudar</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o produto real</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agregada</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e</w:t>
      </w:r>
      <w:r w:rsidR="00261E98">
        <w:rPr>
          <w:rStyle w:val="hps"/>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o nível de preços</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agregado</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 xml:space="preserve">Também não </w:t>
      </w:r>
      <w:proofErr w:type="gramStart"/>
      <w:r w:rsidR="00BB11A0" w:rsidRPr="00BB11A0">
        <w:rPr>
          <w:rStyle w:val="hps"/>
          <w:rFonts w:ascii="Times New Roman" w:hAnsi="Times New Roman" w:cs="Times New Roman"/>
          <w:sz w:val="24"/>
          <w:szCs w:val="24"/>
          <w:lang w:val="pt-PT"/>
        </w:rPr>
        <w:t>é</w:t>
      </w:r>
      <w:proofErr w:type="gramEnd"/>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óbvio</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como as mudanças</w:t>
      </w:r>
      <w:r w:rsidR="00BB11A0" w:rsidRPr="00BB11A0">
        <w:rPr>
          <w:rFonts w:ascii="Times New Roman" w:hAnsi="Times New Roman" w:cs="Times New Roman"/>
          <w:sz w:val="24"/>
          <w:szCs w:val="24"/>
          <w:lang w:val="pt-PT"/>
        </w:rPr>
        <w:t xml:space="preserve"> </w:t>
      </w:r>
      <w:r w:rsidR="00261E98">
        <w:rPr>
          <w:rStyle w:val="hps"/>
          <w:rFonts w:ascii="Times New Roman" w:hAnsi="Times New Roman" w:cs="Times New Roman"/>
          <w:sz w:val="24"/>
          <w:szCs w:val="24"/>
          <w:lang w:val="pt-PT"/>
        </w:rPr>
        <w:t>nos preços relativos</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estão relacionadas</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a choques de oferta</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Grandes</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mudanças nos preços relativos</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não são</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necessariamente causadas</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por grandes</w:t>
      </w:r>
      <w:r w:rsidR="00BB11A0" w:rsidRPr="00BB11A0">
        <w:rPr>
          <w:rFonts w:ascii="Times New Roman" w:hAnsi="Times New Roman" w:cs="Times New Roman"/>
          <w:sz w:val="24"/>
          <w:szCs w:val="24"/>
          <w:lang w:val="pt-PT"/>
        </w:rPr>
        <w:t xml:space="preserve"> </w:t>
      </w:r>
      <w:r w:rsidR="00BB11A0" w:rsidRPr="00BB11A0">
        <w:rPr>
          <w:rStyle w:val="hps"/>
          <w:rFonts w:ascii="Times New Roman" w:hAnsi="Times New Roman" w:cs="Times New Roman"/>
          <w:sz w:val="24"/>
          <w:szCs w:val="24"/>
          <w:lang w:val="pt-PT"/>
        </w:rPr>
        <w:t>choques de oferta</w:t>
      </w:r>
      <w:r w:rsidR="00BB11A0">
        <w:rPr>
          <w:lang w:val="pt-PT"/>
        </w:rPr>
        <w:t>.</w:t>
      </w:r>
      <w:r w:rsidR="00261E98">
        <w:rPr>
          <w:lang w:val="pt-PT"/>
        </w:rPr>
        <w:t xml:space="preserve"> </w:t>
      </w:r>
      <w:r w:rsidR="00261E98" w:rsidRPr="00261E98">
        <w:rPr>
          <w:rStyle w:val="hps"/>
          <w:rFonts w:ascii="Times New Roman" w:hAnsi="Times New Roman" w:cs="Times New Roman"/>
          <w:sz w:val="24"/>
          <w:szCs w:val="24"/>
          <w:lang w:val="pt-PT"/>
        </w:rPr>
        <w:t>Preços relativos</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são afetados</w:t>
      </w:r>
      <w:r w:rsidR="00261E98" w:rsidRPr="00261E98">
        <w:rPr>
          <w:rFonts w:ascii="Times New Roman" w:hAnsi="Times New Roman" w:cs="Times New Roman"/>
          <w:sz w:val="24"/>
          <w:szCs w:val="24"/>
          <w:lang w:val="pt-PT"/>
        </w:rPr>
        <w:t xml:space="preserve"> </w:t>
      </w:r>
      <w:r w:rsidR="00261E98">
        <w:rPr>
          <w:rStyle w:val="hps"/>
          <w:rFonts w:ascii="Times New Roman" w:hAnsi="Times New Roman" w:cs="Times New Roman"/>
          <w:sz w:val="24"/>
          <w:szCs w:val="24"/>
          <w:lang w:val="pt-PT"/>
        </w:rPr>
        <w:t xml:space="preserve">por vários </w:t>
      </w:r>
      <w:r w:rsidR="00261E98" w:rsidRPr="00261E98">
        <w:rPr>
          <w:rStyle w:val="hps"/>
          <w:rFonts w:ascii="Times New Roman" w:hAnsi="Times New Roman" w:cs="Times New Roman"/>
          <w:sz w:val="24"/>
          <w:szCs w:val="24"/>
          <w:lang w:val="pt-PT"/>
        </w:rPr>
        <w:t>outros</w:t>
      </w:r>
      <w:r w:rsidR="00261E98">
        <w:rPr>
          <w:rStyle w:val="hps"/>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fatores</w:t>
      </w:r>
      <w:r w:rsidR="00261E98">
        <w:rPr>
          <w:rStyle w:val="hps"/>
          <w:rFonts w:ascii="Times New Roman" w:hAnsi="Times New Roman" w:cs="Times New Roman"/>
          <w:sz w:val="24"/>
          <w:szCs w:val="24"/>
          <w:lang w:val="pt-PT"/>
        </w:rPr>
        <w:t xml:space="preserve"> do que </w:t>
      </w:r>
      <w:proofErr w:type="gramStart"/>
      <w:r w:rsidR="00261E98">
        <w:rPr>
          <w:rStyle w:val="hps"/>
          <w:rFonts w:ascii="Times New Roman" w:hAnsi="Times New Roman" w:cs="Times New Roman"/>
          <w:sz w:val="24"/>
          <w:szCs w:val="24"/>
          <w:lang w:val="pt-PT"/>
        </w:rPr>
        <w:t xml:space="preserve">choques de </w:t>
      </w:r>
      <w:r w:rsidR="00261E98" w:rsidRPr="00261E98">
        <w:rPr>
          <w:rStyle w:val="hps"/>
          <w:rFonts w:ascii="Times New Roman" w:hAnsi="Times New Roman" w:cs="Times New Roman"/>
          <w:sz w:val="24"/>
          <w:szCs w:val="24"/>
          <w:lang w:val="pt-PT"/>
        </w:rPr>
        <w:t>oferta</w:t>
      </w:r>
      <w:r w:rsidR="00261E98">
        <w:rPr>
          <w:rFonts w:ascii="Times New Roman" w:hAnsi="Times New Roman" w:cs="Times New Roman"/>
          <w:sz w:val="24"/>
          <w:szCs w:val="24"/>
          <w:lang w:val="pt-PT"/>
        </w:rPr>
        <w:t xml:space="preserve">, como </w:t>
      </w:r>
      <w:r w:rsidR="00261E98" w:rsidRPr="00261E98">
        <w:rPr>
          <w:rStyle w:val="hps"/>
          <w:rFonts w:ascii="Times New Roman" w:hAnsi="Times New Roman" w:cs="Times New Roman"/>
          <w:sz w:val="24"/>
          <w:szCs w:val="24"/>
          <w:lang w:val="pt-PT"/>
        </w:rPr>
        <w:t>choques</w:t>
      </w:r>
      <w:proofErr w:type="gramEnd"/>
      <w:r w:rsidR="00261E98" w:rsidRPr="00261E98">
        <w:rPr>
          <w:rStyle w:val="hps"/>
          <w:rFonts w:ascii="Times New Roman" w:hAnsi="Times New Roman" w:cs="Times New Roman"/>
          <w:sz w:val="24"/>
          <w:szCs w:val="24"/>
          <w:lang w:val="pt-PT"/>
        </w:rPr>
        <w:t xml:space="preserve"> de demanda</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e elasticidades</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de</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substituição</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entre os bens</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Esses argumentos</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sugerem que</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as medidas adequadas</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de</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choques de oferta</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 xml:space="preserve">e </w:t>
      </w:r>
      <w:r w:rsidR="00AA37B1">
        <w:rPr>
          <w:rStyle w:val="hps"/>
          <w:rFonts w:ascii="Times New Roman" w:hAnsi="Times New Roman" w:cs="Times New Roman"/>
          <w:sz w:val="24"/>
          <w:szCs w:val="24"/>
          <w:lang w:val="pt-PT"/>
        </w:rPr>
        <w:t>núcleo de inflação</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 xml:space="preserve">deve ser </w:t>
      </w:r>
      <w:proofErr w:type="gramStart"/>
      <w:r w:rsidR="00261E98" w:rsidRPr="00261E98">
        <w:rPr>
          <w:rStyle w:val="hps"/>
          <w:rFonts w:ascii="Times New Roman" w:hAnsi="Times New Roman" w:cs="Times New Roman"/>
          <w:sz w:val="24"/>
          <w:szCs w:val="24"/>
          <w:lang w:val="pt-PT"/>
        </w:rPr>
        <w:t>baseada em</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um modelo estrutural</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que identifica</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os fatores que</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afetam as mudanças</w:t>
      </w:r>
      <w:r w:rsidR="00261E98" w:rsidRPr="00261E98">
        <w:rPr>
          <w:rFonts w:ascii="Times New Roman" w:hAnsi="Times New Roman" w:cs="Times New Roman"/>
          <w:sz w:val="24"/>
          <w:szCs w:val="24"/>
          <w:lang w:val="pt-PT"/>
        </w:rPr>
        <w:t xml:space="preserve"> </w:t>
      </w:r>
      <w:r w:rsidR="00AA37B1">
        <w:rPr>
          <w:rStyle w:val="hps"/>
          <w:rFonts w:ascii="Times New Roman" w:hAnsi="Times New Roman" w:cs="Times New Roman"/>
          <w:sz w:val="24"/>
          <w:szCs w:val="24"/>
          <w:lang w:val="pt-PT"/>
        </w:rPr>
        <w:t>nos preços relativos</w:t>
      </w:r>
      <w:r w:rsidR="00261E98" w:rsidRPr="00261E98">
        <w:rPr>
          <w:rFonts w:ascii="Times New Roman" w:hAnsi="Times New Roman" w:cs="Times New Roman"/>
          <w:sz w:val="24"/>
          <w:szCs w:val="24"/>
          <w:lang w:val="pt-PT"/>
        </w:rPr>
        <w:t xml:space="preserve"> </w:t>
      </w:r>
      <w:r w:rsidR="00AA37B1">
        <w:rPr>
          <w:rStyle w:val="hps"/>
          <w:rFonts w:ascii="Times New Roman" w:hAnsi="Times New Roman" w:cs="Times New Roman"/>
          <w:sz w:val="24"/>
          <w:szCs w:val="24"/>
          <w:lang w:val="pt-PT"/>
        </w:rPr>
        <w:t>e o</w:t>
      </w:r>
      <w:r w:rsidR="00261E98" w:rsidRPr="00261E98">
        <w:rPr>
          <w:rStyle w:val="hps"/>
          <w:rFonts w:ascii="Times New Roman" w:hAnsi="Times New Roman" w:cs="Times New Roman"/>
          <w:sz w:val="24"/>
          <w:szCs w:val="24"/>
          <w:lang w:val="pt-PT"/>
        </w:rPr>
        <w:t xml:space="preserve"> componente</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persistente</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da inflação</w:t>
      </w:r>
      <w:r w:rsidR="00261E98" w:rsidRPr="00261E98">
        <w:rPr>
          <w:rFonts w:ascii="Times New Roman" w:hAnsi="Times New Roman" w:cs="Times New Roman"/>
          <w:sz w:val="24"/>
          <w:szCs w:val="24"/>
          <w:lang w:val="pt-PT"/>
        </w:rPr>
        <w:t xml:space="preserve"> </w:t>
      </w:r>
      <w:r w:rsidR="00261E98" w:rsidRPr="00261E98">
        <w:rPr>
          <w:rStyle w:val="hps"/>
          <w:rFonts w:ascii="Times New Roman" w:hAnsi="Times New Roman" w:cs="Times New Roman"/>
          <w:sz w:val="24"/>
          <w:szCs w:val="24"/>
          <w:lang w:val="pt-PT"/>
        </w:rPr>
        <w:t>agregada</w:t>
      </w:r>
      <w:proofErr w:type="gramEnd"/>
      <w:r w:rsidR="00261E98" w:rsidRPr="00261E98">
        <w:rPr>
          <w:rStyle w:val="hps"/>
          <w:rFonts w:ascii="Times New Roman" w:hAnsi="Times New Roman" w:cs="Times New Roman"/>
          <w:sz w:val="24"/>
          <w:szCs w:val="24"/>
          <w:lang w:val="pt-PT"/>
        </w:rPr>
        <w:t>.</w:t>
      </w:r>
    </w:p>
    <w:p w:rsidR="00CC6B08" w:rsidRDefault="00604D09" w:rsidP="00C3357F">
      <w:pPr>
        <w:spacing w:after="100" w:afterAutospacing="1"/>
        <w:jc w:val="both"/>
        <w:rPr>
          <w:rStyle w:val="hps"/>
          <w:rFonts w:ascii="Times New Roman" w:hAnsi="Times New Roman" w:cs="Times New Roman"/>
          <w:sz w:val="24"/>
          <w:szCs w:val="24"/>
          <w:lang w:val="pt-PT"/>
        </w:rPr>
      </w:pPr>
      <w:r w:rsidRPr="00604D09">
        <w:rPr>
          <w:rStyle w:val="hps"/>
          <w:rFonts w:ascii="Times New Roman" w:hAnsi="Times New Roman" w:cs="Times New Roman"/>
          <w:sz w:val="24"/>
          <w:szCs w:val="24"/>
          <w:lang w:val="pt-PT"/>
        </w:rPr>
        <w:t>Outra questão</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t>importante é como</w:t>
      </w:r>
      <w:r w:rsidRPr="00604D09">
        <w:rPr>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o</w:t>
      </w:r>
      <w:r w:rsidR="00E1482C">
        <w:rPr>
          <w:rStyle w:val="hps"/>
          <w:rFonts w:ascii="Times New Roman" w:hAnsi="Times New Roman" w:cs="Times New Roman"/>
          <w:sz w:val="24"/>
          <w:szCs w:val="24"/>
          <w:lang w:val="pt-PT"/>
        </w:rPr>
        <w:t xml:space="preserve"> Banco C</w:t>
      </w:r>
      <w:r w:rsidRPr="00604D09">
        <w:rPr>
          <w:rStyle w:val="hps"/>
          <w:rFonts w:ascii="Times New Roman" w:hAnsi="Times New Roman" w:cs="Times New Roman"/>
          <w:sz w:val="24"/>
          <w:szCs w:val="24"/>
          <w:lang w:val="pt-PT"/>
        </w:rPr>
        <w:t>entral</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t>deve conduzir</w:t>
      </w:r>
      <w:r w:rsidRPr="00604D09">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a política </w:t>
      </w:r>
      <w:r w:rsidRPr="00604D09">
        <w:rPr>
          <w:rStyle w:val="hps"/>
          <w:rFonts w:ascii="Times New Roman" w:hAnsi="Times New Roman" w:cs="Times New Roman"/>
          <w:sz w:val="24"/>
          <w:szCs w:val="24"/>
          <w:lang w:val="pt-PT"/>
        </w:rPr>
        <w:t>monetária</w:t>
      </w:r>
      <w:r>
        <w:rPr>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 xml:space="preserve">na presença </w:t>
      </w:r>
      <w:r w:rsidRPr="00604D09">
        <w:rPr>
          <w:rStyle w:val="hps"/>
          <w:rFonts w:ascii="Times New Roman" w:hAnsi="Times New Roman" w:cs="Times New Roman"/>
          <w:sz w:val="24"/>
          <w:szCs w:val="24"/>
          <w:lang w:val="pt-PT"/>
        </w:rPr>
        <w:t>de</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t xml:space="preserve">choques </w:t>
      </w:r>
      <w:r>
        <w:rPr>
          <w:rStyle w:val="hps"/>
          <w:rFonts w:ascii="Times New Roman" w:hAnsi="Times New Roman" w:cs="Times New Roman"/>
          <w:sz w:val="24"/>
          <w:szCs w:val="24"/>
          <w:lang w:val="pt-PT"/>
        </w:rPr>
        <w:t xml:space="preserve">setoriais e </w:t>
      </w:r>
      <w:r w:rsidRPr="00604D09">
        <w:rPr>
          <w:rStyle w:val="hps"/>
          <w:rFonts w:ascii="Times New Roman" w:hAnsi="Times New Roman" w:cs="Times New Roman"/>
          <w:sz w:val="24"/>
          <w:szCs w:val="24"/>
          <w:lang w:val="pt-PT"/>
        </w:rPr>
        <w:t>específicos</w:t>
      </w:r>
      <w:r>
        <w:rPr>
          <w:rFonts w:ascii="Times New Roman" w:hAnsi="Times New Roman" w:cs="Times New Roman"/>
          <w:sz w:val="24"/>
          <w:szCs w:val="24"/>
          <w:lang w:val="pt-PT"/>
        </w:rPr>
        <w:t xml:space="preserve"> </w:t>
      </w:r>
      <w:r>
        <w:rPr>
          <w:rStyle w:val="hps"/>
          <w:rFonts w:ascii="Times New Roman" w:hAnsi="Times New Roman" w:cs="Times New Roman"/>
          <w:sz w:val="24"/>
          <w:szCs w:val="24"/>
          <w:lang w:val="pt-PT"/>
        </w:rPr>
        <w:t xml:space="preserve">que afetam a eficiência dos preços relativos de diferentes tipos de produtos. </w:t>
      </w:r>
      <w:r w:rsidR="00B8513E">
        <w:rPr>
          <w:rStyle w:val="hps"/>
          <w:rFonts w:ascii="Times New Roman" w:hAnsi="Times New Roman" w:cs="Times New Roman"/>
          <w:sz w:val="24"/>
          <w:szCs w:val="24"/>
          <w:lang w:val="pt-PT"/>
        </w:rPr>
        <w:t>O Banco C</w:t>
      </w:r>
      <w:r w:rsidRPr="00604D09">
        <w:rPr>
          <w:rStyle w:val="hps"/>
          <w:rFonts w:ascii="Times New Roman" w:hAnsi="Times New Roman" w:cs="Times New Roman"/>
          <w:sz w:val="24"/>
          <w:szCs w:val="24"/>
          <w:lang w:val="pt-PT"/>
        </w:rPr>
        <w:t>entral</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t>tem</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t>uma escolha</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t>entre várias medidas</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lastRenderedPageBreak/>
        <w:t>diferentes</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t>possíveis de</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t>inflação e</w:t>
      </w:r>
      <w:r w:rsidRPr="00604D09">
        <w:rPr>
          <w:rFonts w:ascii="Times New Roman" w:hAnsi="Times New Roman" w:cs="Times New Roman"/>
          <w:sz w:val="24"/>
          <w:szCs w:val="24"/>
          <w:lang w:val="pt-PT"/>
        </w:rPr>
        <w:t xml:space="preserve"> </w:t>
      </w:r>
      <w:r w:rsidR="00B8513E">
        <w:rPr>
          <w:rStyle w:val="hps"/>
          <w:rFonts w:ascii="Times New Roman" w:hAnsi="Times New Roman" w:cs="Times New Roman"/>
          <w:sz w:val="24"/>
          <w:szCs w:val="24"/>
          <w:lang w:val="pt-PT"/>
        </w:rPr>
        <w:t xml:space="preserve">gap </w:t>
      </w:r>
      <w:r w:rsidRPr="00604D09">
        <w:rPr>
          <w:rStyle w:val="hps"/>
          <w:rFonts w:ascii="Times New Roman" w:hAnsi="Times New Roman" w:cs="Times New Roman"/>
          <w:sz w:val="24"/>
          <w:szCs w:val="24"/>
          <w:lang w:val="pt-PT"/>
        </w:rPr>
        <w:t>do produto,</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t>e deve</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t>identificar</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t>quais variáveis</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t>​​</w:t>
      </w:r>
      <w:proofErr w:type="gramStart"/>
      <w:r w:rsidRPr="00604D09">
        <w:rPr>
          <w:rStyle w:val="hps"/>
          <w:rFonts w:ascii="Times New Roman" w:hAnsi="Times New Roman" w:cs="Times New Roman"/>
          <w:sz w:val="24"/>
          <w:szCs w:val="24"/>
          <w:lang w:val="pt-PT"/>
        </w:rPr>
        <w:t>são</w:t>
      </w:r>
      <w:proofErr w:type="gramEnd"/>
      <w:r w:rsidRPr="00604D09">
        <w:rPr>
          <w:rStyle w:val="hps"/>
          <w:rFonts w:ascii="Times New Roman" w:hAnsi="Times New Roman" w:cs="Times New Roman"/>
          <w:sz w:val="24"/>
          <w:szCs w:val="24"/>
          <w:lang w:val="pt-PT"/>
        </w:rPr>
        <w:t xml:space="preserve"> as variáveis</w:t>
      </w:r>
      <w:r w:rsidRPr="00604D09">
        <w:rPr>
          <w:rFonts w:ascii="Times New Roman" w:hAnsi="Times New Roman" w:cs="Times New Roman"/>
          <w:sz w:val="24"/>
          <w:szCs w:val="24"/>
          <w:lang w:val="pt-PT"/>
        </w:rPr>
        <w:t xml:space="preserve"> </w:t>
      </w:r>
      <w:r w:rsidRPr="00604D09">
        <w:rPr>
          <w:rStyle w:val="hps"/>
          <w:rFonts w:ascii="Times New Roman" w:hAnsi="Times New Roman" w:cs="Times New Roman"/>
          <w:sz w:val="24"/>
          <w:szCs w:val="24"/>
          <w:lang w:val="pt-PT"/>
        </w:rPr>
        <w:t>​​meta adequada</w:t>
      </w:r>
      <w:r w:rsidR="00B8513E">
        <w:rPr>
          <w:rStyle w:val="hps"/>
          <w:rFonts w:ascii="Times New Roman" w:hAnsi="Times New Roman" w:cs="Times New Roman"/>
          <w:sz w:val="24"/>
          <w:szCs w:val="24"/>
          <w:lang w:val="pt-PT"/>
        </w:rPr>
        <w:t>s</w:t>
      </w:r>
      <w:r w:rsidRPr="00604D09">
        <w:rPr>
          <w:rFonts w:ascii="Times New Roman" w:hAnsi="Times New Roman" w:cs="Times New Roman"/>
          <w:sz w:val="24"/>
          <w:szCs w:val="24"/>
          <w:lang w:val="pt-PT"/>
        </w:rPr>
        <w:t>.</w:t>
      </w:r>
    </w:p>
    <w:p w:rsidR="00E65A79" w:rsidRDefault="00E65A79" w:rsidP="00C3357F">
      <w:pPr>
        <w:spacing w:after="100" w:afterAutospacing="1"/>
        <w:jc w:val="both"/>
        <w:rPr>
          <w:rStyle w:val="longtext"/>
          <w:rFonts w:ascii="Times New Roman" w:eastAsia="BatangChe" w:hAnsi="Times New Roman" w:cs="Times New Roman"/>
          <w:sz w:val="24"/>
          <w:szCs w:val="24"/>
          <w:lang w:val="pt-PT"/>
        </w:rPr>
      </w:pPr>
      <w:r w:rsidRPr="00E65A79">
        <w:rPr>
          <w:rStyle w:val="hps"/>
          <w:rFonts w:ascii="Times New Roman" w:hAnsi="Times New Roman" w:cs="Times New Roman"/>
          <w:sz w:val="24"/>
          <w:szCs w:val="24"/>
          <w:lang w:val="pt-PT"/>
        </w:rPr>
        <w:t>Usando um modelo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 xml:space="preserve">de </w:t>
      </w:r>
      <w:proofErr w:type="gramStart"/>
      <w:r w:rsidRPr="00E65A79">
        <w:rPr>
          <w:rStyle w:val="hps"/>
          <w:rFonts w:ascii="Times New Roman" w:hAnsi="Times New Roman" w:cs="Times New Roman"/>
          <w:sz w:val="24"/>
          <w:szCs w:val="24"/>
          <w:lang w:val="pt-PT"/>
        </w:rPr>
        <w:t>otimização</w:t>
      </w:r>
      <w:proofErr w:type="gramEnd"/>
      <w:r w:rsidRPr="00E65A79">
        <w:rPr>
          <w:rStyle w:val="longtext"/>
          <w:rFonts w:ascii="Times New Roman" w:hAnsi="Times New Roman" w:cs="Times New Roman"/>
          <w:sz w:val="24"/>
          <w:szCs w:val="24"/>
          <w:lang w:val="pt-PT"/>
        </w:rPr>
        <w:t xml:space="preserve"> </w:t>
      </w:r>
      <w:r w:rsidR="00127716">
        <w:rPr>
          <w:rStyle w:val="hps"/>
          <w:rFonts w:ascii="Times New Roman" w:hAnsi="Times New Roman" w:cs="Times New Roman"/>
          <w:sz w:val="24"/>
          <w:szCs w:val="24"/>
          <w:lang w:val="pt-PT"/>
        </w:rPr>
        <w:t>tem-se</w:t>
      </w:r>
      <w:r w:rsidRPr="00E65A79">
        <w:rPr>
          <w:rStyle w:val="hps"/>
          <w:rFonts w:ascii="Times New Roman" w:hAnsi="Times New Roman" w:cs="Times New Roman"/>
          <w:sz w:val="24"/>
          <w:szCs w:val="24"/>
          <w:lang w:val="pt-PT"/>
        </w:rPr>
        <w:t xml:space="preserve"> uma vantagem importante</w:t>
      </w:r>
      <w:r w:rsidRPr="00E65A79">
        <w:rPr>
          <w:rStyle w:val="longtext"/>
          <w:rFonts w:ascii="Times New Roman" w:hAnsi="Times New Roman" w:cs="Times New Roman"/>
          <w:sz w:val="24"/>
          <w:szCs w:val="24"/>
          <w:lang w:val="pt-PT"/>
        </w:rPr>
        <w:t xml:space="preserve">, ou seja, </w:t>
      </w:r>
      <w:r w:rsidRPr="00E65A79">
        <w:rPr>
          <w:rStyle w:val="hps"/>
          <w:rFonts w:ascii="Times New Roman" w:hAnsi="Times New Roman" w:cs="Times New Roman"/>
          <w:sz w:val="24"/>
          <w:szCs w:val="24"/>
          <w:lang w:val="pt-PT"/>
        </w:rPr>
        <w:t>permite-nos</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avaliar as políticas</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monetárias</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alternativas</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em</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um quadro de</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bem-estar</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teórico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e analisar</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as variáveis ​​que</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 xml:space="preserve">devem ser estabilizados </w:t>
      </w:r>
      <w:r w:rsidR="00127716">
        <w:rPr>
          <w:rStyle w:val="hps"/>
          <w:rFonts w:ascii="Times New Roman" w:hAnsi="Times New Roman" w:cs="Times New Roman"/>
          <w:sz w:val="24"/>
          <w:szCs w:val="24"/>
          <w:lang w:val="pt-PT"/>
        </w:rPr>
        <w:t>dentro de um</w:t>
      </w:r>
      <w:r w:rsidRPr="00E65A79">
        <w:rPr>
          <w:rStyle w:val="hps"/>
          <w:rFonts w:ascii="Times New Roman" w:hAnsi="Times New Roman" w:cs="Times New Roman"/>
          <w:sz w:val="24"/>
          <w:szCs w:val="24"/>
          <w:lang w:val="pt-PT"/>
        </w:rPr>
        <w:t xml:space="preserve"> equilibrio </w:t>
      </w:r>
      <w:r w:rsidR="00127716">
        <w:rPr>
          <w:rStyle w:val="hps"/>
          <w:rFonts w:ascii="Times New Roman" w:hAnsi="Times New Roman" w:cs="Times New Roman"/>
          <w:sz w:val="24"/>
          <w:szCs w:val="24"/>
          <w:lang w:val="pt-PT"/>
        </w:rPr>
        <w:t>ótimo</w:t>
      </w:r>
      <w:r w:rsidRPr="00E65A79">
        <w:rPr>
          <w:rStyle w:val="hps"/>
          <w:rFonts w:ascii="Times New Roman" w:hAnsi="Times New Roman" w:cs="Times New Roman"/>
          <w:sz w:val="24"/>
          <w:szCs w:val="24"/>
          <w:lang w:val="pt-PT"/>
        </w:rPr>
        <w:t xml:space="preserve">. </w:t>
      </w:r>
      <w:r w:rsidR="00127716">
        <w:rPr>
          <w:rStyle w:val="hps"/>
          <w:rFonts w:ascii="Times New Roman" w:hAnsi="Times New Roman" w:cs="Times New Roman"/>
          <w:sz w:val="24"/>
          <w:szCs w:val="24"/>
          <w:lang w:val="pt-PT"/>
        </w:rPr>
        <w:t xml:space="preserve">Segundo Aoki, em seu artigo </w:t>
      </w:r>
      <w:r w:rsidR="00127716" w:rsidRPr="00127716">
        <w:rPr>
          <w:rStyle w:val="hps"/>
          <w:rFonts w:ascii="Times New Roman" w:hAnsi="Times New Roman" w:cs="Times New Roman"/>
          <w:i/>
          <w:sz w:val="24"/>
          <w:szCs w:val="24"/>
          <w:lang w:val="pt-PT"/>
        </w:rPr>
        <w:t>Optimal monetary policy responses to relative-price changes</w:t>
      </w:r>
      <w:r w:rsidR="00127716">
        <w:rPr>
          <w:rStyle w:val="hps"/>
          <w:rFonts w:ascii="Times New Roman" w:hAnsi="Times New Roman" w:cs="Times New Roman"/>
          <w:i/>
          <w:sz w:val="24"/>
          <w:szCs w:val="24"/>
          <w:lang w:val="pt-PT"/>
        </w:rPr>
        <w:t xml:space="preserve"> (2001),</w:t>
      </w:r>
      <w:r w:rsidR="00127716">
        <w:rPr>
          <w:rStyle w:val="hps"/>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a</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política</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monetária ótima</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é caracterizada</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como um</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regime</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de metas de inflação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 xml:space="preserve">que incorpora </w:t>
      </w:r>
      <w:r w:rsidR="00127716" w:rsidRPr="00E65A79">
        <w:rPr>
          <w:rStyle w:val="hps"/>
          <w:rFonts w:ascii="Times New Roman" w:hAnsi="Times New Roman" w:cs="Times New Roman"/>
          <w:sz w:val="24"/>
          <w:szCs w:val="24"/>
          <w:lang w:val="pt-PT"/>
        </w:rPr>
        <w:t>corretamente</w:t>
      </w:r>
      <w:r w:rsidR="00127716"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a</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inflação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medida</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escolhida</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Ele também é</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considerado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desejável</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para estabilizar</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o núcleo da inflação</w:t>
      </w:r>
      <w:r w:rsidRPr="00E65A79">
        <w:rPr>
          <w:rStyle w:val="longtext"/>
          <w:rFonts w:ascii="Times New Roman" w:hAnsi="Times New Roman" w:cs="Times New Roman"/>
          <w:sz w:val="24"/>
          <w:szCs w:val="24"/>
          <w:lang w:val="pt-PT"/>
        </w:rPr>
        <w:t xml:space="preserve">, ao invés de </w:t>
      </w:r>
      <w:r w:rsidRPr="00E65A79">
        <w:rPr>
          <w:rStyle w:val="hps"/>
          <w:rFonts w:ascii="Times New Roman" w:hAnsi="Times New Roman" w:cs="Times New Roman"/>
          <w:sz w:val="24"/>
          <w:szCs w:val="24"/>
          <w:lang w:val="pt-PT"/>
        </w:rPr>
        <w:t>uma medida mais ampla</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de</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inflação,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onde</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o núcleo da inflação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é identificado como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um índice de</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inflação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no setor</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de preços rígidos</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trabalho demonstra</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que a estabilização do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preço relativo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do bem</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flexível</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de preços</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em torno de seu</w:t>
      </w:r>
      <w:r w:rsidRPr="00E65A79">
        <w:rPr>
          <w:rStyle w:val="longtext"/>
          <w:rFonts w:ascii="Times New Roman" w:hAnsi="Times New Roman" w:cs="Times New Roman"/>
          <w:sz w:val="24"/>
          <w:szCs w:val="24"/>
          <w:lang w:val="pt-PT"/>
        </w:rPr>
        <w:t xml:space="preserve"> </w:t>
      </w:r>
      <w:r w:rsidR="0011143B">
        <w:rPr>
          <w:rStyle w:val="longtext"/>
          <w:rFonts w:ascii="Times New Roman" w:hAnsi="Times New Roman" w:cs="Times New Roman"/>
          <w:sz w:val="24"/>
          <w:szCs w:val="24"/>
          <w:lang w:val="pt-PT"/>
        </w:rPr>
        <w:t xml:space="preserve">valor </w:t>
      </w:r>
      <w:r w:rsidRPr="00E65A79">
        <w:rPr>
          <w:rStyle w:val="hps"/>
          <w:rFonts w:ascii="Times New Roman" w:hAnsi="Times New Roman" w:cs="Times New Roman"/>
          <w:sz w:val="24"/>
          <w:szCs w:val="24"/>
          <w:lang w:val="pt-PT"/>
        </w:rPr>
        <w:t>tempo variável</w:t>
      </w:r>
      <w:r w:rsidRPr="00E65A79">
        <w:rPr>
          <w:rStyle w:val="longtext"/>
          <w:rFonts w:ascii="Times New Roman" w:hAnsi="Times New Roman" w:cs="Times New Roman"/>
          <w:sz w:val="24"/>
          <w:szCs w:val="24"/>
          <w:lang w:val="pt-PT"/>
        </w:rPr>
        <w:t xml:space="preserve"> </w:t>
      </w:r>
      <w:r w:rsidR="0011143B">
        <w:rPr>
          <w:rStyle w:val="hps"/>
          <w:rFonts w:ascii="Times New Roman" w:hAnsi="Times New Roman" w:cs="Times New Roman"/>
          <w:sz w:val="24"/>
          <w:szCs w:val="24"/>
          <w:lang w:val="pt-PT"/>
        </w:rPr>
        <w:t>valor ótimo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é um dos</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objetivos apropriados</w:t>
      </w:r>
      <w:r w:rsidRPr="00E65A79">
        <w:rPr>
          <w:rStyle w:val="longtext"/>
          <w:rFonts w:ascii="Times New Roman" w:hAnsi="Times New Roman" w:cs="Times New Roman"/>
          <w:sz w:val="24"/>
          <w:szCs w:val="24"/>
          <w:lang w:val="pt-PT"/>
        </w:rPr>
        <w:t xml:space="preserve"> </w:t>
      </w:r>
      <w:r w:rsidR="0011143B">
        <w:rPr>
          <w:rStyle w:val="hps"/>
          <w:rFonts w:ascii="Times New Roman" w:hAnsi="Times New Roman" w:cs="Times New Roman"/>
          <w:sz w:val="24"/>
          <w:szCs w:val="24"/>
          <w:lang w:val="pt-PT"/>
        </w:rPr>
        <w:t>para o B</w:t>
      </w:r>
      <w:r w:rsidRPr="00E65A79">
        <w:rPr>
          <w:rStyle w:val="hps"/>
          <w:rFonts w:ascii="Times New Roman" w:hAnsi="Times New Roman" w:cs="Times New Roman"/>
          <w:sz w:val="24"/>
          <w:szCs w:val="24"/>
          <w:lang w:val="pt-PT"/>
        </w:rPr>
        <w:t>anco</w:t>
      </w:r>
      <w:r w:rsidRPr="00E65A79">
        <w:rPr>
          <w:rStyle w:val="longtext"/>
          <w:rFonts w:ascii="Times New Roman" w:hAnsi="Times New Roman" w:cs="Times New Roman"/>
          <w:sz w:val="24"/>
          <w:szCs w:val="24"/>
          <w:lang w:val="pt-PT"/>
        </w:rPr>
        <w:t xml:space="preserve"> </w:t>
      </w:r>
      <w:r w:rsidR="0011143B">
        <w:rPr>
          <w:rStyle w:val="hps"/>
          <w:rFonts w:ascii="Times New Roman" w:hAnsi="Times New Roman" w:cs="Times New Roman"/>
          <w:sz w:val="24"/>
          <w:szCs w:val="24"/>
          <w:lang w:val="pt-PT"/>
        </w:rPr>
        <w:t>C</w:t>
      </w:r>
      <w:r w:rsidRPr="00E65A79">
        <w:rPr>
          <w:rStyle w:val="hps"/>
          <w:rFonts w:ascii="Times New Roman" w:hAnsi="Times New Roman" w:cs="Times New Roman"/>
          <w:sz w:val="24"/>
          <w:szCs w:val="24"/>
          <w:lang w:val="pt-PT"/>
        </w:rPr>
        <w:t>entral.</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No entanto, 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modelo implica</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que a estabilização</w:t>
      </w:r>
      <w:r w:rsidRPr="00E65A79">
        <w:rPr>
          <w:rStyle w:val="longtext"/>
          <w:rFonts w:ascii="Times New Roman" w:hAnsi="Times New Roman" w:cs="Times New Roman"/>
          <w:sz w:val="24"/>
          <w:szCs w:val="24"/>
          <w:lang w:val="pt-PT"/>
        </w:rPr>
        <w:t xml:space="preserve"> </w:t>
      </w:r>
      <w:r w:rsidR="0011143B">
        <w:rPr>
          <w:rStyle w:val="hps"/>
          <w:rFonts w:ascii="Times New Roman" w:hAnsi="Times New Roman" w:cs="Times New Roman"/>
          <w:sz w:val="24"/>
          <w:szCs w:val="24"/>
          <w:lang w:val="pt-PT"/>
        </w:rPr>
        <w:t xml:space="preserve">do núcleo da inflação </w:t>
      </w:r>
      <w:r w:rsidRPr="00E65A79">
        <w:rPr>
          <w:rStyle w:val="hps"/>
          <w:rFonts w:ascii="Times New Roman" w:hAnsi="Times New Roman" w:cs="Times New Roman"/>
          <w:sz w:val="24"/>
          <w:szCs w:val="24"/>
          <w:lang w:val="pt-PT"/>
        </w:rPr>
        <w:t>é</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suficiente</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para manter</w:t>
      </w:r>
      <w:r w:rsidRPr="00E65A79">
        <w:rPr>
          <w:rStyle w:val="longtext"/>
          <w:rFonts w:ascii="Times New Roman" w:hAnsi="Times New Roman" w:cs="Times New Roman"/>
          <w:sz w:val="24"/>
          <w:szCs w:val="24"/>
          <w:lang w:val="pt-PT"/>
        </w:rPr>
        <w:t xml:space="preserve"> </w:t>
      </w:r>
      <w:r w:rsidR="0011143B">
        <w:rPr>
          <w:rStyle w:val="hps"/>
          <w:rFonts w:ascii="Times New Roman" w:hAnsi="Times New Roman" w:cs="Times New Roman"/>
          <w:sz w:val="24"/>
          <w:szCs w:val="24"/>
          <w:lang w:val="pt-PT"/>
        </w:rPr>
        <w:t>os preços relativos em seu eficiente valor</w:t>
      </w:r>
      <w:r w:rsidRPr="00E65A79">
        <w:rPr>
          <w:rStyle w:val="hps"/>
          <w:rFonts w:ascii="Times New Roman" w:hAnsi="Times New Roman" w:cs="Times New Roman"/>
          <w:sz w:val="24"/>
          <w:szCs w:val="24"/>
          <w:lang w:val="pt-PT"/>
        </w:rPr>
        <w:t>.</w:t>
      </w:r>
      <w:r w:rsidRPr="00E65A79">
        <w:rPr>
          <w:rStyle w:val="longtext"/>
          <w:rFonts w:ascii="Times New Roman" w:hAnsi="Times New Roman" w:cs="Times New Roman"/>
          <w:sz w:val="24"/>
          <w:szCs w:val="24"/>
          <w:lang w:val="pt-PT"/>
        </w:rPr>
        <w:t xml:space="preserve"> </w:t>
      </w:r>
      <w:r w:rsidR="0011143B">
        <w:rPr>
          <w:rStyle w:val="longtext"/>
          <w:rFonts w:ascii="Times New Roman" w:hAnsi="Times New Roman" w:cs="Times New Roman"/>
          <w:sz w:val="24"/>
          <w:szCs w:val="24"/>
          <w:lang w:val="pt-PT"/>
        </w:rPr>
        <w:t xml:space="preserve">O autor aborda </w:t>
      </w:r>
      <w:r w:rsidRPr="00E65A79">
        <w:rPr>
          <w:rStyle w:val="hps"/>
          <w:rFonts w:ascii="Times New Roman" w:hAnsi="Times New Roman" w:cs="Times New Roman"/>
          <w:sz w:val="24"/>
          <w:szCs w:val="24"/>
          <w:lang w:val="pt-PT"/>
        </w:rPr>
        <w:t>também</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a questão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 xml:space="preserve">da </w:t>
      </w:r>
      <w:r w:rsidR="0011143B" w:rsidRPr="00E65A79">
        <w:rPr>
          <w:rStyle w:val="hps"/>
          <w:rFonts w:ascii="Times New Roman" w:hAnsi="Times New Roman" w:cs="Times New Roman"/>
          <w:sz w:val="24"/>
          <w:szCs w:val="24"/>
          <w:lang w:val="pt-PT"/>
        </w:rPr>
        <w:t>variabilidade</w:t>
      </w:r>
      <w:r w:rsidR="0011143B">
        <w:rPr>
          <w:rStyle w:val="hps"/>
          <w:rFonts w:ascii="Times New Roman" w:hAnsi="Times New Roman" w:cs="Times New Roman"/>
          <w:sz w:val="24"/>
          <w:szCs w:val="24"/>
          <w:lang w:val="pt-PT"/>
        </w:rPr>
        <w:t xml:space="preserve"> do </w:t>
      </w:r>
      <w:r w:rsidR="0011143B" w:rsidRPr="0032043B">
        <w:rPr>
          <w:rStyle w:val="hps"/>
          <w:rFonts w:ascii="Times New Roman" w:hAnsi="Times New Roman" w:cs="Times New Roman"/>
          <w:i/>
          <w:sz w:val="24"/>
          <w:szCs w:val="24"/>
          <w:lang w:val="pt-PT"/>
        </w:rPr>
        <w:t>trade-</w:t>
      </w:r>
      <w:proofErr w:type="gramStart"/>
      <w:r w:rsidR="0011143B" w:rsidRPr="0032043B">
        <w:rPr>
          <w:rStyle w:val="hps"/>
          <w:rFonts w:ascii="Times New Roman" w:hAnsi="Times New Roman" w:cs="Times New Roman"/>
          <w:i/>
          <w:sz w:val="24"/>
          <w:szCs w:val="24"/>
          <w:lang w:val="pt-PT"/>
        </w:rPr>
        <w:t>off</w:t>
      </w:r>
      <w:proofErr w:type="gramEnd"/>
      <w:r w:rsidR="0011143B">
        <w:rPr>
          <w:rStyle w:val="hps"/>
          <w:rFonts w:ascii="Times New Roman" w:hAnsi="Times New Roman" w:cs="Times New Roman"/>
          <w:sz w:val="24"/>
          <w:szCs w:val="24"/>
          <w:lang w:val="pt-PT"/>
        </w:rPr>
        <w:t xml:space="preserve"> do</w:t>
      </w:r>
      <w:r w:rsidR="0032043B">
        <w:rPr>
          <w:rStyle w:val="hps"/>
          <w:rFonts w:ascii="Times New Roman" w:hAnsi="Times New Roman" w:cs="Times New Roman"/>
          <w:sz w:val="24"/>
          <w:szCs w:val="24"/>
          <w:lang w:val="pt-PT"/>
        </w:rPr>
        <w:t xml:space="preserve"> gap do produto-inflação</w:t>
      </w:r>
      <w:r w:rsidRPr="00E65A79">
        <w:rPr>
          <w:rStyle w:val="longtext"/>
          <w:rFonts w:ascii="Times New Roman" w:hAnsi="Times New Roman" w:cs="Times New Roman"/>
          <w:sz w:val="24"/>
          <w:szCs w:val="24"/>
          <w:lang w:val="pt-PT"/>
        </w:rPr>
        <w:t xml:space="preserve">, que tem sido </w:t>
      </w:r>
      <w:r w:rsidRPr="00E65A79">
        <w:rPr>
          <w:rStyle w:val="hps"/>
          <w:rFonts w:ascii="Times New Roman" w:hAnsi="Times New Roman" w:cs="Times New Roman"/>
          <w:sz w:val="24"/>
          <w:szCs w:val="24"/>
          <w:lang w:val="pt-PT"/>
        </w:rPr>
        <w:t>um importante princípio orientador</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nos estudos de</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política monetária.</w:t>
      </w:r>
      <w:r w:rsidRPr="00E65A79">
        <w:rPr>
          <w:rStyle w:val="longtext"/>
          <w:rFonts w:ascii="Times New Roman" w:hAnsi="Times New Roman" w:cs="Times New Roman"/>
          <w:sz w:val="24"/>
          <w:szCs w:val="24"/>
          <w:lang w:val="pt-PT"/>
        </w:rPr>
        <w:t xml:space="preserve"> </w:t>
      </w:r>
      <w:r w:rsidR="0032043B">
        <w:rPr>
          <w:rStyle w:val="hps"/>
          <w:rFonts w:ascii="Times New Roman" w:hAnsi="Times New Roman" w:cs="Times New Roman"/>
          <w:sz w:val="24"/>
          <w:szCs w:val="24"/>
          <w:lang w:val="pt-PT"/>
        </w:rPr>
        <w:t>O modelo de Aoki (2001)</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sugere que</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 xml:space="preserve">há um </w:t>
      </w:r>
      <w:r w:rsidRPr="0032043B">
        <w:rPr>
          <w:rStyle w:val="hps"/>
          <w:rFonts w:ascii="Times New Roman" w:hAnsi="Times New Roman" w:cs="Times New Roman"/>
          <w:i/>
          <w:sz w:val="24"/>
          <w:szCs w:val="24"/>
          <w:lang w:val="pt-PT"/>
        </w:rPr>
        <w:t>trade</w:t>
      </w:r>
      <w:r w:rsidRPr="0032043B">
        <w:rPr>
          <w:rStyle w:val="longtext"/>
          <w:rFonts w:ascii="Times New Roman" w:hAnsi="Times New Roman" w:cs="Times New Roman"/>
          <w:i/>
          <w:sz w:val="24"/>
          <w:szCs w:val="24"/>
          <w:lang w:val="pt-PT"/>
        </w:rPr>
        <w:t>-</w:t>
      </w:r>
      <w:proofErr w:type="gramStart"/>
      <w:r w:rsidRPr="0032043B">
        <w:rPr>
          <w:rStyle w:val="longtext"/>
          <w:rFonts w:ascii="Times New Roman" w:hAnsi="Times New Roman" w:cs="Times New Roman"/>
          <w:i/>
          <w:sz w:val="24"/>
          <w:szCs w:val="24"/>
          <w:lang w:val="pt-PT"/>
        </w:rPr>
        <w:t>off</w:t>
      </w:r>
      <w:proofErr w:type="gramEnd"/>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entre</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a estabilização do</w:t>
      </w:r>
      <w:r w:rsidRPr="00E65A79">
        <w:rPr>
          <w:rStyle w:val="longtext"/>
          <w:rFonts w:ascii="Times New Roman" w:hAnsi="Times New Roman" w:cs="Times New Roman"/>
          <w:sz w:val="24"/>
          <w:szCs w:val="24"/>
          <w:lang w:val="pt-PT"/>
        </w:rPr>
        <w:t xml:space="preserve"> </w:t>
      </w:r>
      <w:r w:rsidR="0032043B">
        <w:rPr>
          <w:rStyle w:val="hps"/>
          <w:rFonts w:ascii="Times New Roman" w:hAnsi="Times New Roman" w:cs="Times New Roman"/>
          <w:sz w:val="24"/>
          <w:szCs w:val="24"/>
          <w:lang w:val="pt-PT"/>
        </w:rPr>
        <w:t xml:space="preserve">gap </w:t>
      </w:r>
      <w:r w:rsidRPr="00E65A79">
        <w:rPr>
          <w:rStyle w:val="hps"/>
          <w:rFonts w:ascii="Times New Roman" w:hAnsi="Times New Roman" w:cs="Times New Roman"/>
          <w:sz w:val="24"/>
          <w:szCs w:val="24"/>
          <w:lang w:val="pt-PT"/>
        </w:rPr>
        <w:t>do produto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agregado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e da inflação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agregada</w:t>
      </w:r>
      <w:r w:rsidRPr="00E65A79">
        <w:rPr>
          <w:rStyle w:val="longtext"/>
          <w:rFonts w:ascii="Times New Roman" w:hAnsi="Times New Roman" w:cs="Times New Roman"/>
          <w:sz w:val="24"/>
          <w:szCs w:val="24"/>
          <w:lang w:val="pt-PT"/>
        </w:rPr>
        <w:t xml:space="preserve">, mas </w:t>
      </w:r>
      <w:r w:rsidRPr="00E65A79">
        <w:rPr>
          <w:rStyle w:val="hps"/>
          <w:rFonts w:ascii="Times New Roman" w:hAnsi="Times New Roman" w:cs="Times New Roman"/>
          <w:sz w:val="24"/>
          <w:szCs w:val="24"/>
          <w:lang w:val="pt-PT"/>
        </w:rPr>
        <w:t>que não há</w:t>
      </w:r>
      <w:r w:rsidRPr="00E65A79">
        <w:rPr>
          <w:rStyle w:val="longtext"/>
          <w:rFonts w:ascii="Times New Roman" w:hAnsi="Times New Roman" w:cs="Times New Roman"/>
          <w:sz w:val="24"/>
          <w:szCs w:val="24"/>
          <w:lang w:val="pt-PT"/>
        </w:rPr>
        <w:t xml:space="preserve"> </w:t>
      </w:r>
      <w:r w:rsidRPr="0032043B">
        <w:rPr>
          <w:rStyle w:val="hps"/>
          <w:rFonts w:ascii="Times New Roman" w:hAnsi="Times New Roman" w:cs="Times New Roman"/>
          <w:i/>
          <w:sz w:val="24"/>
          <w:szCs w:val="24"/>
          <w:lang w:val="pt-PT"/>
        </w:rPr>
        <w:t>trade-off</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entre</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estabilização</w:t>
      </w:r>
      <w:r w:rsidRPr="00E65A79">
        <w:rPr>
          <w:rStyle w:val="longtext"/>
          <w:rFonts w:ascii="Times New Roman" w:hAnsi="Times New Roman" w:cs="Times New Roman"/>
          <w:sz w:val="24"/>
          <w:szCs w:val="24"/>
          <w:lang w:val="pt-PT"/>
        </w:rPr>
        <w:t xml:space="preserve"> </w:t>
      </w:r>
      <w:r w:rsidR="0032043B">
        <w:rPr>
          <w:rStyle w:val="hps"/>
          <w:rFonts w:ascii="Times New Roman" w:hAnsi="Times New Roman" w:cs="Times New Roman"/>
          <w:sz w:val="24"/>
          <w:szCs w:val="24"/>
          <w:lang w:val="pt-PT"/>
        </w:rPr>
        <w:t xml:space="preserve">do gap </w:t>
      </w:r>
      <w:r w:rsidRPr="00E65A79">
        <w:rPr>
          <w:rStyle w:val="hps"/>
          <w:rFonts w:ascii="Times New Roman" w:hAnsi="Times New Roman" w:cs="Times New Roman"/>
          <w:sz w:val="24"/>
          <w:szCs w:val="24"/>
          <w:lang w:val="pt-PT"/>
        </w:rPr>
        <w:t>do produto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agregado</w:t>
      </w:r>
      <w:r w:rsidRPr="00E65A79">
        <w:rPr>
          <w:rStyle w:val="longtext"/>
          <w:rFonts w:ascii="Times New Roman" w:hAnsi="Times New Roman" w:cs="Times New Roman"/>
          <w:sz w:val="24"/>
          <w:szCs w:val="24"/>
          <w:lang w:val="pt-PT"/>
        </w:rPr>
        <w:t xml:space="preserve"> </w:t>
      </w:r>
      <w:r w:rsidR="0032043B">
        <w:rPr>
          <w:rStyle w:val="hps"/>
          <w:rFonts w:ascii="Times New Roman" w:hAnsi="Times New Roman" w:cs="Times New Roman"/>
          <w:sz w:val="24"/>
          <w:szCs w:val="24"/>
          <w:lang w:val="pt-PT"/>
        </w:rPr>
        <w:t>e estabilização</w:t>
      </w:r>
      <w:r w:rsidRPr="00E65A79">
        <w:rPr>
          <w:rStyle w:val="longtext"/>
          <w:rFonts w:ascii="Times New Roman" w:hAnsi="Times New Roman" w:cs="Times New Roman"/>
          <w:sz w:val="24"/>
          <w:szCs w:val="24"/>
          <w:lang w:val="pt-PT"/>
        </w:rPr>
        <w:t xml:space="preserve"> </w:t>
      </w:r>
      <w:r w:rsidR="0032043B">
        <w:rPr>
          <w:rStyle w:val="longtext"/>
          <w:rFonts w:ascii="Times New Roman" w:hAnsi="Times New Roman" w:cs="Times New Roman"/>
          <w:sz w:val="24"/>
          <w:szCs w:val="24"/>
          <w:lang w:val="pt-PT"/>
        </w:rPr>
        <w:t>d</w:t>
      </w:r>
      <w:r w:rsidRPr="00E65A79">
        <w:rPr>
          <w:rStyle w:val="hps"/>
          <w:rFonts w:ascii="Times New Roman" w:hAnsi="Times New Roman" w:cs="Times New Roman"/>
          <w:sz w:val="24"/>
          <w:szCs w:val="24"/>
          <w:lang w:val="pt-PT"/>
        </w:rPr>
        <w:t>o núcleo da inflação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Assim, neste</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modelo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se a variabilidade</w:t>
      </w:r>
      <w:r w:rsidRPr="00E65A79">
        <w:rPr>
          <w:rStyle w:val="longtext"/>
          <w:rFonts w:ascii="Times New Roman" w:hAnsi="Times New Roman" w:cs="Times New Roman"/>
          <w:sz w:val="24"/>
          <w:szCs w:val="24"/>
          <w:lang w:val="pt-PT"/>
        </w:rPr>
        <w:t xml:space="preserve"> </w:t>
      </w:r>
      <w:r w:rsidR="0032043B">
        <w:rPr>
          <w:rStyle w:val="longtext"/>
          <w:rFonts w:ascii="Times New Roman" w:hAnsi="Times New Roman" w:cs="Times New Roman"/>
          <w:sz w:val="24"/>
          <w:szCs w:val="24"/>
          <w:lang w:val="pt-PT"/>
        </w:rPr>
        <w:t xml:space="preserve">do </w:t>
      </w:r>
      <w:r w:rsidR="0032043B" w:rsidRPr="0032043B">
        <w:rPr>
          <w:rStyle w:val="hps"/>
          <w:rFonts w:ascii="Times New Roman" w:hAnsi="Times New Roman" w:cs="Times New Roman"/>
          <w:i/>
          <w:sz w:val="24"/>
          <w:szCs w:val="24"/>
          <w:lang w:val="pt-PT"/>
        </w:rPr>
        <w:t>trade-</w:t>
      </w:r>
      <w:proofErr w:type="gramStart"/>
      <w:r w:rsidR="0032043B" w:rsidRPr="0032043B">
        <w:rPr>
          <w:rStyle w:val="hps"/>
          <w:rFonts w:ascii="Times New Roman" w:hAnsi="Times New Roman" w:cs="Times New Roman"/>
          <w:i/>
          <w:sz w:val="24"/>
          <w:szCs w:val="24"/>
          <w:lang w:val="pt-PT"/>
        </w:rPr>
        <w:t>off</w:t>
      </w:r>
      <w:proofErr w:type="gramEnd"/>
      <w:r w:rsidR="0032043B" w:rsidRPr="00E65A79">
        <w:rPr>
          <w:rStyle w:val="longtext"/>
          <w:rFonts w:ascii="Times New Roman" w:hAnsi="Times New Roman" w:cs="Times New Roman"/>
          <w:sz w:val="24"/>
          <w:szCs w:val="24"/>
          <w:lang w:val="pt-PT"/>
        </w:rPr>
        <w:t xml:space="preserve"> </w:t>
      </w:r>
      <w:r w:rsidR="0032043B">
        <w:rPr>
          <w:rStyle w:val="longtext"/>
          <w:rFonts w:ascii="Times New Roman" w:hAnsi="Times New Roman" w:cs="Times New Roman"/>
          <w:sz w:val="24"/>
          <w:szCs w:val="24"/>
          <w:lang w:val="pt-PT"/>
        </w:rPr>
        <w:t xml:space="preserve">do </w:t>
      </w:r>
      <w:r w:rsidRPr="00E65A79">
        <w:rPr>
          <w:rStyle w:val="hps"/>
          <w:rFonts w:ascii="Times New Roman" w:hAnsi="Times New Roman" w:cs="Times New Roman"/>
          <w:sz w:val="24"/>
          <w:szCs w:val="24"/>
          <w:lang w:val="pt-PT"/>
        </w:rPr>
        <w:t>gap</w:t>
      </w:r>
      <w:r w:rsidR="0032043B">
        <w:rPr>
          <w:rStyle w:val="hps"/>
          <w:rFonts w:ascii="Times New Roman" w:hAnsi="Times New Roman" w:cs="Times New Roman"/>
          <w:sz w:val="24"/>
          <w:szCs w:val="24"/>
          <w:lang w:val="pt-PT"/>
        </w:rPr>
        <w:t xml:space="preserve"> do produto</w:t>
      </w:r>
      <w:r w:rsidRPr="00E65A79">
        <w:rPr>
          <w:rStyle w:val="hps"/>
          <w:rFonts w:ascii="Times New Roman" w:hAnsi="Times New Roman" w:cs="Times New Roman"/>
          <w:sz w:val="24"/>
          <w:szCs w:val="24"/>
          <w:lang w:val="pt-PT"/>
        </w:rPr>
        <w:t>-</w:t>
      </w:r>
      <w:r w:rsidRPr="00E65A79">
        <w:rPr>
          <w:rStyle w:val="longtext"/>
          <w:rFonts w:ascii="Times New Roman" w:hAnsi="Times New Roman" w:cs="Times New Roman"/>
          <w:sz w:val="24"/>
          <w:szCs w:val="24"/>
          <w:lang w:val="pt-PT"/>
        </w:rPr>
        <w:t xml:space="preserve">inflação </w:t>
      </w:r>
      <w:r w:rsidRPr="00E65A79">
        <w:rPr>
          <w:rStyle w:val="hps"/>
          <w:rFonts w:ascii="Times New Roman" w:hAnsi="Times New Roman" w:cs="Times New Roman"/>
          <w:sz w:val="24"/>
          <w:szCs w:val="24"/>
          <w:lang w:val="pt-PT"/>
        </w:rPr>
        <w:t>existe ou não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depende de que</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as medidas de inflação</w:t>
      </w:r>
      <w:r w:rsidRPr="00E65A79">
        <w:rPr>
          <w:rStyle w:val="longtext"/>
          <w:rFonts w:ascii="Times New Roman" w:hAnsi="Times New Roman" w:cs="Times New Roman"/>
          <w:sz w:val="24"/>
          <w:szCs w:val="24"/>
          <w:lang w:val="pt-PT"/>
        </w:rPr>
        <w:t xml:space="preserve"> </w:t>
      </w:r>
      <w:r w:rsidRPr="00E65A79">
        <w:rPr>
          <w:rStyle w:val="hps"/>
          <w:rFonts w:ascii="Times New Roman" w:hAnsi="Times New Roman" w:cs="Times New Roman"/>
          <w:sz w:val="24"/>
          <w:szCs w:val="24"/>
          <w:lang w:val="pt-PT"/>
        </w:rPr>
        <w:t xml:space="preserve">e </w:t>
      </w:r>
      <w:r w:rsidR="0032043B">
        <w:rPr>
          <w:rStyle w:val="hps"/>
          <w:rFonts w:ascii="Times New Roman" w:hAnsi="Times New Roman" w:cs="Times New Roman"/>
          <w:sz w:val="24"/>
          <w:szCs w:val="24"/>
          <w:lang w:val="pt-PT"/>
        </w:rPr>
        <w:t>gap</w:t>
      </w:r>
      <w:r w:rsidRPr="00E65A79">
        <w:rPr>
          <w:rStyle w:val="hps"/>
          <w:rFonts w:ascii="Times New Roman" w:hAnsi="Times New Roman" w:cs="Times New Roman"/>
          <w:sz w:val="24"/>
          <w:szCs w:val="24"/>
          <w:lang w:val="pt-PT"/>
        </w:rPr>
        <w:t xml:space="preserve"> do produto</w:t>
      </w:r>
      <w:r w:rsidRPr="00E65A79">
        <w:rPr>
          <w:rStyle w:val="longtext"/>
          <w:rFonts w:ascii="Times New Roman" w:hAnsi="Times New Roman" w:cs="Times New Roman"/>
          <w:sz w:val="24"/>
          <w:szCs w:val="24"/>
          <w:lang w:val="pt-PT"/>
        </w:rPr>
        <w:t xml:space="preserve"> </w:t>
      </w:r>
      <w:r w:rsidR="0032043B">
        <w:rPr>
          <w:rStyle w:val="hps"/>
          <w:rFonts w:ascii="Times New Roman" w:hAnsi="Times New Roman" w:cs="Times New Roman"/>
          <w:sz w:val="24"/>
          <w:szCs w:val="24"/>
          <w:lang w:val="pt-PT"/>
        </w:rPr>
        <w:t>o</w:t>
      </w:r>
      <w:r>
        <w:rPr>
          <w:rStyle w:val="hps"/>
          <w:lang w:val="pt-PT"/>
        </w:rPr>
        <w:t xml:space="preserve"> </w:t>
      </w:r>
      <w:r w:rsidR="0032043B">
        <w:rPr>
          <w:rStyle w:val="hps"/>
          <w:rFonts w:ascii="Times New Roman" w:eastAsia="BatangChe" w:hAnsi="Times New Roman" w:cs="Times New Roman"/>
          <w:sz w:val="24"/>
          <w:szCs w:val="24"/>
          <w:lang w:val="pt-PT"/>
        </w:rPr>
        <w:t>Banco C</w:t>
      </w:r>
      <w:r w:rsidRPr="00E65A79">
        <w:rPr>
          <w:rStyle w:val="hps"/>
          <w:rFonts w:ascii="Times New Roman" w:eastAsia="BatangChe" w:hAnsi="Times New Roman" w:cs="Times New Roman"/>
          <w:sz w:val="24"/>
          <w:szCs w:val="24"/>
          <w:lang w:val="pt-PT"/>
        </w:rPr>
        <w:t>entral</w:t>
      </w:r>
      <w:r>
        <w:rPr>
          <w:rFonts w:ascii="Times New Roman" w:eastAsia="BatangChe" w:hAnsi="Times New Roman" w:cs="Times New Roman"/>
          <w:sz w:val="24"/>
          <w:szCs w:val="24"/>
          <w:lang w:val="pt-PT"/>
        </w:rPr>
        <w:t xml:space="preserve"> </w:t>
      </w:r>
      <w:r w:rsidRPr="00E65A79">
        <w:rPr>
          <w:rStyle w:val="hps"/>
          <w:rFonts w:ascii="Times New Roman" w:eastAsia="BatangChe" w:hAnsi="Times New Roman" w:cs="Times New Roman"/>
          <w:sz w:val="24"/>
          <w:szCs w:val="24"/>
          <w:lang w:val="pt-PT"/>
        </w:rPr>
        <w:t>escolhe</w:t>
      </w:r>
      <w:r w:rsidRPr="00E65A79">
        <w:rPr>
          <w:rStyle w:val="longtext"/>
          <w:rFonts w:ascii="Times New Roman" w:eastAsia="BatangChe" w:hAnsi="Times New Roman" w:cs="Times New Roman"/>
          <w:sz w:val="24"/>
          <w:szCs w:val="24"/>
          <w:lang w:val="pt-PT"/>
        </w:rPr>
        <w:t xml:space="preserve"> </w:t>
      </w:r>
      <w:r w:rsidRPr="00E65A79">
        <w:rPr>
          <w:rStyle w:val="hps"/>
          <w:rFonts w:ascii="Times New Roman" w:eastAsia="BatangChe" w:hAnsi="Times New Roman" w:cs="Times New Roman"/>
          <w:sz w:val="24"/>
          <w:szCs w:val="24"/>
          <w:lang w:val="pt-PT"/>
        </w:rPr>
        <w:t>estabilizar</w:t>
      </w:r>
      <w:r w:rsidRPr="00E65A79">
        <w:rPr>
          <w:rStyle w:val="longtext"/>
          <w:rFonts w:ascii="Times New Roman" w:eastAsia="BatangChe" w:hAnsi="Times New Roman" w:cs="Times New Roman"/>
          <w:sz w:val="24"/>
          <w:szCs w:val="24"/>
          <w:lang w:val="pt-PT"/>
        </w:rPr>
        <w:t xml:space="preserve">. </w:t>
      </w:r>
    </w:p>
    <w:p w:rsidR="00873197" w:rsidRDefault="00E601F6"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Dentro do componente choque de oferta, que compõe a variação do Índice</w:t>
      </w:r>
      <w:r w:rsidR="00873197">
        <w:rPr>
          <w:rFonts w:ascii="Times New Roman" w:hAnsi="Times New Roman" w:cs="Times New Roman"/>
          <w:sz w:val="24"/>
          <w:szCs w:val="24"/>
        </w:rPr>
        <w:t xml:space="preserve"> Nacional de Preços ao Consumi</w:t>
      </w:r>
      <w:r>
        <w:rPr>
          <w:rFonts w:ascii="Times New Roman" w:hAnsi="Times New Roman" w:cs="Times New Roman"/>
          <w:sz w:val="24"/>
          <w:szCs w:val="24"/>
        </w:rPr>
        <w:t xml:space="preserve">dor Amplo (IPCA), enfatizaremos inovações em índices de preços de </w:t>
      </w:r>
      <w:r w:rsidRPr="00E601F6">
        <w:rPr>
          <w:rFonts w:ascii="Times New Roman" w:hAnsi="Times New Roman" w:cs="Times New Roman"/>
          <w:i/>
          <w:sz w:val="24"/>
          <w:szCs w:val="24"/>
        </w:rPr>
        <w:t>commodities</w:t>
      </w:r>
      <w:r>
        <w:rPr>
          <w:rFonts w:ascii="Times New Roman" w:hAnsi="Times New Roman" w:cs="Times New Roman"/>
          <w:sz w:val="24"/>
          <w:szCs w:val="24"/>
        </w:rPr>
        <w:t xml:space="preserve"> em reais medidos pelo Índice de </w:t>
      </w:r>
      <w:r w:rsidRPr="00E601F6">
        <w:rPr>
          <w:rFonts w:ascii="Times New Roman" w:hAnsi="Times New Roman" w:cs="Times New Roman"/>
          <w:i/>
          <w:sz w:val="24"/>
          <w:szCs w:val="24"/>
        </w:rPr>
        <w:t>Commodities</w:t>
      </w:r>
      <w:r>
        <w:rPr>
          <w:rFonts w:ascii="Times New Roman" w:hAnsi="Times New Roman" w:cs="Times New Roman"/>
          <w:sz w:val="24"/>
          <w:szCs w:val="24"/>
        </w:rPr>
        <w:t xml:space="preserve"> Brasil (</w:t>
      </w:r>
      <w:proofErr w:type="gramStart"/>
      <w:r>
        <w:rPr>
          <w:rFonts w:ascii="Times New Roman" w:hAnsi="Times New Roman" w:cs="Times New Roman"/>
          <w:sz w:val="24"/>
          <w:szCs w:val="24"/>
        </w:rPr>
        <w:t>IC-</w:t>
      </w:r>
      <w:proofErr w:type="spellStart"/>
      <w:r>
        <w:rPr>
          <w:rFonts w:ascii="Times New Roman" w:hAnsi="Times New Roman" w:cs="Times New Roman"/>
          <w:sz w:val="24"/>
          <w:szCs w:val="24"/>
        </w:rPr>
        <w:t>Br</w:t>
      </w:r>
      <w:proofErr w:type="spellEnd"/>
      <w:proofErr w:type="gramEnd"/>
      <w:r>
        <w:rPr>
          <w:rFonts w:ascii="Times New Roman" w:hAnsi="Times New Roman" w:cs="Times New Roman"/>
          <w:sz w:val="24"/>
          <w:szCs w:val="24"/>
        </w:rPr>
        <w:t xml:space="preserve">), que visa identificar a parcela das variações de preços das </w:t>
      </w:r>
      <w:r w:rsidRPr="00E601F6">
        <w:rPr>
          <w:rFonts w:ascii="Times New Roman" w:hAnsi="Times New Roman" w:cs="Times New Roman"/>
          <w:i/>
          <w:sz w:val="24"/>
          <w:szCs w:val="24"/>
        </w:rPr>
        <w:t>commodities</w:t>
      </w:r>
      <w:r>
        <w:rPr>
          <w:rFonts w:ascii="Times New Roman" w:hAnsi="Times New Roman" w:cs="Times New Roman"/>
          <w:sz w:val="24"/>
          <w:szCs w:val="24"/>
        </w:rPr>
        <w:t xml:space="preserve"> nos mercados internacionais que é relevante para a inflação doméstica.</w:t>
      </w:r>
      <w:r w:rsidR="00A6270C">
        <w:rPr>
          <w:rFonts w:ascii="Times New Roman" w:hAnsi="Times New Roman" w:cs="Times New Roman"/>
          <w:sz w:val="24"/>
          <w:szCs w:val="24"/>
        </w:rPr>
        <w:t xml:space="preserve"> Apoiando-se sobre a dinâmica dos preços das </w:t>
      </w:r>
      <w:r w:rsidR="00A6270C" w:rsidRPr="00A6270C">
        <w:rPr>
          <w:rFonts w:ascii="Times New Roman" w:hAnsi="Times New Roman" w:cs="Times New Roman"/>
          <w:i/>
          <w:sz w:val="24"/>
          <w:szCs w:val="24"/>
        </w:rPr>
        <w:t>commodities</w:t>
      </w:r>
      <w:r w:rsidR="00A6270C">
        <w:rPr>
          <w:rFonts w:ascii="Times New Roman" w:hAnsi="Times New Roman" w:cs="Times New Roman"/>
          <w:sz w:val="24"/>
          <w:szCs w:val="24"/>
        </w:rPr>
        <w:t xml:space="preserve"> nos mercados internacionais e consequentemente seus potenciais impactos sobre a dinâmica dos preços ao consumidor no Brasil, nosso objetivo neste trabalho é ilustrar como variações no </w:t>
      </w:r>
      <w:proofErr w:type="gramStart"/>
      <w:r w:rsidR="00A6270C">
        <w:rPr>
          <w:rFonts w:ascii="Times New Roman" w:hAnsi="Times New Roman" w:cs="Times New Roman"/>
          <w:sz w:val="24"/>
          <w:szCs w:val="24"/>
        </w:rPr>
        <w:t>IC-</w:t>
      </w:r>
      <w:proofErr w:type="spellStart"/>
      <w:r w:rsidR="00A6270C">
        <w:rPr>
          <w:rFonts w:ascii="Times New Roman" w:hAnsi="Times New Roman" w:cs="Times New Roman"/>
          <w:sz w:val="24"/>
          <w:szCs w:val="24"/>
        </w:rPr>
        <w:t>Br</w:t>
      </w:r>
      <w:proofErr w:type="spellEnd"/>
      <w:proofErr w:type="gramEnd"/>
      <w:r w:rsidR="00A6270C">
        <w:rPr>
          <w:rFonts w:ascii="Times New Roman" w:hAnsi="Times New Roman" w:cs="Times New Roman"/>
          <w:sz w:val="24"/>
          <w:szCs w:val="24"/>
        </w:rPr>
        <w:t xml:space="preserve"> são repa</w:t>
      </w:r>
      <w:r w:rsidR="006A0188">
        <w:rPr>
          <w:rFonts w:ascii="Times New Roman" w:hAnsi="Times New Roman" w:cs="Times New Roman"/>
          <w:sz w:val="24"/>
          <w:szCs w:val="24"/>
        </w:rPr>
        <w:t>ssadas aos preços ao consumidor, e dentro de um estudo aprofundado teórica e empiricamente, apresentar a resposta ótima da politica monetária à estes choques apresentados.</w:t>
      </w:r>
    </w:p>
    <w:p w:rsidR="00F03C05" w:rsidRDefault="00F03C05" w:rsidP="00C3357F">
      <w:pPr>
        <w:spacing w:after="100" w:afterAutospacing="1"/>
        <w:jc w:val="both"/>
        <w:rPr>
          <w:rFonts w:ascii="Times New Roman" w:hAnsi="Times New Roman" w:cs="Times New Roman"/>
          <w:sz w:val="24"/>
          <w:szCs w:val="24"/>
        </w:rPr>
      </w:pPr>
    </w:p>
    <w:p w:rsidR="007379F0" w:rsidRDefault="001415D8" w:rsidP="00C3357F">
      <w:pPr>
        <w:spacing w:after="100" w:afterAutospacing="1"/>
        <w:jc w:val="both"/>
        <w:rPr>
          <w:rFonts w:ascii="Times New Roman" w:hAnsi="Times New Roman" w:cs="Times New Roman"/>
          <w:sz w:val="24"/>
          <w:szCs w:val="24"/>
        </w:rPr>
      </w:pPr>
      <w:r w:rsidRPr="001415D8">
        <w:rPr>
          <w:rFonts w:ascii="Times New Roman" w:hAnsi="Times New Roman" w:cs="Times New Roman"/>
          <w:b/>
          <w:sz w:val="24"/>
          <w:szCs w:val="24"/>
        </w:rPr>
        <w:lastRenderedPageBreak/>
        <w:t>3. Método Utilizado</w:t>
      </w:r>
    </w:p>
    <w:p w:rsidR="00275233" w:rsidRDefault="001415D8"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Para estimar o repasse do </w:t>
      </w:r>
      <w:proofErr w:type="gramStart"/>
      <w:r>
        <w:rPr>
          <w:rFonts w:ascii="Times New Roman" w:hAnsi="Times New Roman" w:cs="Times New Roman"/>
          <w:sz w:val="24"/>
          <w:szCs w:val="24"/>
        </w:rPr>
        <w:t>IC-</w:t>
      </w:r>
      <w:proofErr w:type="spellStart"/>
      <w:r>
        <w:rPr>
          <w:rFonts w:ascii="Times New Roman" w:hAnsi="Times New Roman" w:cs="Times New Roman"/>
          <w:sz w:val="24"/>
          <w:szCs w:val="24"/>
        </w:rPr>
        <w:t>Br</w:t>
      </w:r>
      <w:proofErr w:type="spellEnd"/>
      <w:proofErr w:type="gramEnd"/>
      <w:r>
        <w:rPr>
          <w:rFonts w:ascii="Times New Roman" w:hAnsi="Times New Roman" w:cs="Times New Roman"/>
          <w:sz w:val="24"/>
          <w:szCs w:val="24"/>
        </w:rPr>
        <w:t xml:space="preserve"> para o </w:t>
      </w:r>
      <w:r w:rsidR="001849D1">
        <w:rPr>
          <w:rFonts w:ascii="Times New Roman" w:hAnsi="Times New Roman" w:cs="Times New Roman"/>
          <w:sz w:val="24"/>
          <w:szCs w:val="24"/>
        </w:rPr>
        <w:t>Índice</w:t>
      </w:r>
      <w:r>
        <w:rPr>
          <w:rFonts w:ascii="Times New Roman" w:hAnsi="Times New Roman" w:cs="Times New Roman"/>
          <w:sz w:val="24"/>
          <w:szCs w:val="24"/>
        </w:rPr>
        <w:t xml:space="preserve"> Nacional de Preços ao Consumidor Amplo (IPCA), iremos recorrer à metodologia do modelo de Vetores Auto Regressivos (</w:t>
      </w:r>
      <w:proofErr w:type="spellStart"/>
      <w:r>
        <w:rPr>
          <w:rFonts w:ascii="Times New Roman" w:hAnsi="Times New Roman" w:cs="Times New Roman"/>
          <w:sz w:val="24"/>
          <w:szCs w:val="24"/>
        </w:rPr>
        <w:t>VARs</w:t>
      </w:r>
      <w:proofErr w:type="spellEnd"/>
      <w:r>
        <w:rPr>
          <w:rFonts w:ascii="Times New Roman" w:hAnsi="Times New Roman" w:cs="Times New Roman"/>
          <w:sz w:val="24"/>
          <w:szCs w:val="24"/>
        </w:rPr>
        <w:t xml:space="preserve">). </w:t>
      </w:r>
    </w:p>
    <w:p w:rsidR="00275233" w:rsidRDefault="00275233"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Conforme define o Banco Central do Brasil, em seu </w:t>
      </w:r>
      <w:r w:rsidRPr="00503B4A">
        <w:rPr>
          <w:rFonts w:ascii="Times New Roman" w:hAnsi="Times New Roman" w:cs="Times New Roman"/>
          <w:i/>
          <w:sz w:val="24"/>
          <w:szCs w:val="24"/>
        </w:rPr>
        <w:t>Relatório de Inflação</w:t>
      </w:r>
      <w:r>
        <w:rPr>
          <w:rFonts w:ascii="Times New Roman" w:hAnsi="Times New Roman" w:cs="Times New Roman"/>
          <w:sz w:val="24"/>
          <w:szCs w:val="24"/>
        </w:rPr>
        <w:t xml:space="preserve"> de junho de 2004:</w:t>
      </w:r>
    </w:p>
    <w:p w:rsidR="00490CDE" w:rsidRPr="00490CDE" w:rsidRDefault="00490CDE" w:rsidP="00490CDE">
      <w:pPr>
        <w:autoSpaceDE w:val="0"/>
        <w:autoSpaceDN w:val="0"/>
        <w:adjustRightInd w:val="0"/>
        <w:spacing w:line="240" w:lineRule="auto"/>
        <w:ind w:left="567"/>
        <w:jc w:val="both"/>
        <w:rPr>
          <w:rFonts w:ascii="Times New Roman" w:hAnsi="Times New Roman" w:cs="Times New Roman"/>
          <w:i/>
        </w:rPr>
      </w:pPr>
      <w:r w:rsidRPr="00490CDE">
        <w:rPr>
          <w:rFonts w:ascii="Times New Roman" w:hAnsi="Times New Roman" w:cs="Times New Roman"/>
          <w:i/>
        </w:rPr>
        <w:t xml:space="preserve">Os modelos de vetores </w:t>
      </w:r>
      <w:proofErr w:type="spellStart"/>
      <w:proofErr w:type="gramStart"/>
      <w:r w:rsidRPr="00490CDE">
        <w:rPr>
          <w:rFonts w:ascii="Times New Roman" w:hAnsi="Times New Roman" w:cs="Times New Roman"/>
          <w:i/>
        </w:rPr>
        <w:t>auto-regressivos</w:t>
      </w:r>
      <w:proofErr w:type="spellEnd"/>
      <w:proofErr w:type="gramEnd"/>
      <w:r w:rsidRPr="00490CDE">
        <w:rPr>
          <w:rFonts w:ascii="Times New Roman" w:hAnsi="Times New Roman" w:cs="Times New Roman"/>
          <w:i/>
        </w:rPr>
        <w:t xml:space="preserve"> (VAR) surgiram na década de 80 como resposta às críticas ao grande número de restrições impostas às estimações pelos modelos estruturais. A </w:t>
      </w:r>
      <w:proofErr w:type="spellStart"/>
      <w:r w:rsidRPr="00490CDE">
        <w:rPr>
          <w:rFonts w:ascii="Times New Roman" w:hAnsi="Times New Roman" w:cs="Times New Roman"/>
          <w:i/>
        </w:rPr>
        <w:t>idéia</w:t>
      </w:r>
      <w:proofErr w:type="spellEnd"/>
      <w:r w:rsidRPr="00490CDE">
        <w:rPr>
          <w:rFonts w:ascii="Times New Roman" w:hAnsi="Times New Roman" w:cs="Times New Roman"/>
          <w:i/>
        </w:rPr>
        <w:t xml:space="preserve"> era desenvolver modelos dinâmicos com o mínimo de restrições, nos quais todas as variáveis econômicas fossem tratadas como endógenas. Sendo assim, os modelos VAR examinam relações lineares entre cada variável e os valores defasados dela própria e de todas as demais variáveis, impondo como </w:t>
      </w:r>
      <w:proofErr w:type="gramStart"/>
      <w:r w:rsidRPr="00490CDE">
        <w:rPr>
          <w:rFonts w:ascii="Times New Roman" w:hAnsi="Times New Roman" w:cs="Times New Roman"/>
          <w:i/>
        </w:rPr>
        <w:t>restrições</w:t>
      </w:r>
      <w:proofErr w:type="gramEnd"/>
    </w:p>
    <w:p w:rsidR="00275233" w:rsidRPr="00490CDE" w:rsidRDefault="00490CDE" w:rsidP="00490CDE">
      <w:pPr>
        <w:autoSpaceDE w:val="0"/>
        <w:autoSpaceDN w:val="0"/>
        <w:adjustRightInd w:val="0"/>
        <w:spacing w:line="240" w:lineRule="auto"/>
        <w:ind w:left="567"/>
        <w:jc w:val="both"/>
        <w:rPr>
          <w:rFonts w:ascii="Times New Roman" w:hAnsi="Times New Roman" w:cs="Times New Roman"/>
          <w:i/>
        </w:rPr>
      </w:pPr>
      <w:proofErr w:type="gramStart"/>
      <w:r w:rsidRPr="00490CDE">
        <w:rPr>
          <w:rFonts w:ascii="Times New Roman" w:hAnsi="Times New Roman" w:cs="Times New Roman"/>
          <w:i/>
        </w:rPr>
        <w:t>à</w:t>
      </w:r>
      <w:proofErr w:type="gramEnd"/>
      <w:r w:rsidRPr="00490CDE">
        <w:rPr>
          <w:rFonts w:ascii="Times New Roman" w:hAnsi="Times New Roman" w:cs="Times New Roman"/>
          <w:i/>
        </w:rPr>
        <w:t xml:space="preserve"> estrutura da economia somente: a escolha do conjunto relevante de variáveis e do número máximo de defasagens envolvidas nas relações entre elas. Nos modelos VAR, o número de defasagens é normalmente escolhido com base em critérios estatísticos, como os de </w:t>
      </w:r>
      <w:proofErr w:type="spellStart"/>
      <w:r w:rsidRPr="00490CDE">
        <w:rPr>
          <w:rFonts w:ascii="Times New Roman" w:hAnsi="Times New Roman" w:cs="Times New Roman"/>
          <w:i/>
        </w:rPr>
        <w:t>Akaike</w:t>
      </w:r>
      <w:proofErr w:type="spellEnd"/>
      <w:r w:rsidRPr="00490CDE">
        <w:rPr>
          <w:rFonts w:ascii="Times New Roman" w:hAnsi="Times New Roman" w:cs="Times New Roman"/>
          <w:i/>
        </w:rPr>
        <w:t xml:space="preserve"> ou Schwarz.</w:t>
      </w:r>
    </w:p>
    <w:p w:rsidR="00490CDE" w:rsidRDefault="00490CDE" w:rsidP="00490CDE">
      <w:pPr>
        <w:autoSpaceDE w:val="0"/>
        <w:autoSpaceDN w:val="0"/>
        <w:adjustRightInd w:val="0"/>
        <w:spacing w:line="240" w:lineRule="auto"/>
        <w:jc w:val="left"/>
        <w:rPr>
          <w:rFonts w:ascii="Times New Roman" w:hAnsi="Times New Roman" w:cs="Times New Roman"/>
        </w:rPr>
      </w:pPr>
    </w:p>
    <w:p w:rsidR="00FF6923" w:rsidRPr="00490CDE" w:rsidRDefault="00FF6923" w:rsidP="00490CDE">
      <w:pPr>
        <w:autoSpaceDE w:val="0"/>
        <w:autoSpaceDN w:val="0"/>
        <w:adjustRightInd w:val="0"/>
        <w:spacing w:line="240" w:lineRule="auto"/>
        <w:jc w:val="left"/>
        <w:rPr>
          <w:rFonts w:ascii="Times New Roman" w:hAnsi="Times New Roman" w:cs="Times New Roman"/>
        </w:rPr>
      </w:pPr>
    </w:p>
    <w:p w:rsidR="004C52DA" w:rsidRDefault="001415D8"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Baseado em trabalhos e métodos empíricos já utilizados pelo Banco Central em anos anteriores, serão utilizados neste </w:t>
      </w:r>
      <w:r w:rsidR="00490CDE">
        <w:rPr>
          <w:rFonts w:ascii="Times New Roman" w:hAnsi="Times New Roman" w:cs="Times New Roman"/>
          <w:sz w:val="24"/>
          <w:szCs w:val="24"/>
        </w:rPr>
        <w:t>artigo</w:t>
      </w:r>
      <w:r>
        <w:rPr>
          <w:rFonts w:ascii="Times New Roman" w:hAnsi="Times New Roman" w:cs="Times New Roman"/>
          <w:sz w:val="24"/>
          <w:szCs w:val="24"/>
        </w:rPr>
        <w:t xml:space="preserve"> dados mensais mais r</w:t>
      </w:r>
      <w:r w:rsidR="00490CDE">
        <w:rPr>
          <w:rFonts w:ascii="Times New Roman" w:hAnsi="Times New Roman" w:cs="Times New Roman"/>
          <w:sz w:val="24"/>
          <w:szCs w:val="24"/>
        </w:rPr>
        <w:t>ecentes, de 2006 a 2010</w:t>
      </w:r>
      <w:r>
        <w:rPr>
          <w:rFonts w:ascii="Times New Roman" w:hAnsi="Times New Roman" w:cs="Times New Roman"/>
          <w:sz w:val="24"/>
          <w:szCs w:val="24"/>
        </w:rPr>
        <w:t xml:space="preserve">, onde </w:t>
      </w:r>
      <w:proofErr w:type="gramStart"/>
      <w:r>
        <w:rPr>
          <w:rFonts w:ascii="Times New Roman" w:hAnsi="Times New Roman" w:cs="Times New Roman"/>
          <w:sz w:val="24"/>
          <w:szCs w:val="24"/>
        </w:rPr>
        <w:t>serão</w:t>
      </w:r>
      <w:proofErr w:type="gramEnd"/>
      <w:r>
        <w:rPr>
          <w:rFonts w:ascii="Times New Roman" w:hAnsi="Times New Roman" w:cs="Times New Roman"/>
          <w:sz w:val="24"/>
          <w:szCs w:val="24"/>
        </w:rPr>
        <w:t xml:space="preserve"> incluídos a variação da média mensal dos preços das </w:t>
      </w:r>
      <w:r w:rsidRPr="001415D8">
        <w:rPr>
          <w:rFonts w:ascii="Times New Roman" w:hAnsi="Times New Roman" w:cs="Times New Roman"/>
          <w:i/>
          <w:sz w:val="24"/>
          <w:szCs w:val="24"/>
        </w:rPr>
        <w:t>commodities</w:t>
      </w:r>
      <w:r>
        <w:rPr>
          <w:rFonts w:ascii="Times New Roman" w:hAnsi="Times New Roman" w:cs="Times New Roman"/>
          <w:sz w:val="24"/>
          <w:szCs w:val="24"/>
        </w:rPr>
        <w:t xml:space="preserve"> em reais; o IBC-</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 como medida da atividade econômica; a taxa Sistema Especial de Liquidação e de Custodia (Selic), como variável de politica monetária; a variação média mensal da taxa de câmbio; e a inflação medida pelo IPCA. </w:t>
      </w:r>
      <w:r w:rsidR="004C52DA">
        <w:rPr>
          <w:rFonts w:ascii="Times New Roman" w:hAnsi="Times New Roman" w:cs="Times New Roman"/>
          <w:sz w:val="24"/>
          <w:szCs w:val="24"/>
        </w:rPr>
        <w:t xml:space="preserve">Com isso, busca-se capturar tanto os impactos diretos da elevação de custos de produção dos bens finais, quanto dos efeitos de segunda ordem, que consistem na propagação da elevação dos preços de alguns bens ou serviços para os demais. </w:t>
      </w:r>
    </w:p>
    <w:p w:rsidR="004C52DA" w:rsidRDefault="004C52DA" w:rsidP="00C3357F">
      <w:pPr>
        <w:spacing w:after="100" w:afterAutospacing="1"/>
        <w:jc w:val="both"/>
        <w:rPr>
          <w:rFonts w:ascii="Times New Roman" w:hAnsi="Times New Roman" w:cs="Times New Roman"/>
          <w:sz w:val="24"/>
          <w:szCs w:val="24"/>
        </w:rPr>
      </w:pPr>
    </w:p>
    <w:p w:rsidR="004C52DA" w:rsidRDefault="004C52DA" w:rsidP="00C3357F">
      <w:pPr>
        <w:spacing w:after="100" w:afterAutospacing="1"/>
        <w:jc w:val="both"/>
        <w:rPr>
          <w:rFonts w:ascii="Times New Roman" w:hAnsi="Times New Roman" w:cs="Times New Roman"/>
          <w:sz w:val="24"/>
          <w:szCs w:val="24"/>
        </w:rPr>
      </w:pPr>
      <w:r w:rsidRPr="004C52DA">
        <w:rPr>
          <w:rFonts w:ascii="Times New Roman" w:hAnsi="Times New Roman" w:cs="Times New Roman"/>
          <w:b/>
          <w:sz w:val="24"/>
          <w:szCs w:val="24"/>
        </w:rPr>
        <w:t>4. Apresentação dos resultados</w:t>
      </w:r>
    </w:p>
    <w:p w:rsidR="000E4CF3" w:rsidRDefault="000E4CF3"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Conforme mencionado anteriormente, estaremos expondo neste capítulo exercícios de </w:t>
      </w:r>
      <w:r w:rsidR="00FF6923">
        <w:rPr>
          <w:rFonts w:ascii="Times New Roman" w:hAnsi="Times New Roman" w:cs="Times New Roman"/>
          <w:sz w:val="24"/>
          <w:szCs w:val="24"/>
        </w:rPr>
        <w:t>pesquisas e cálculo</w:t>
      </w:r>
      <w:r>
        <w:rPr>
          <w:rFonts w:ascii="Times New Roman" w:hAnsi="Times New Roman" w:cs="Times New Roman"/>
          <w:sz w:val="24"/>
          <w:szCs w:val="24"/>
        </w:rPr>
        <w:t xml:space="preserve"> feitos e apresentados pelo Banco Central ilustrando como variações no </w:t>
      </w:r>
      <w:proofErr w:type="gramStart"/>
      <w:r>
        <w:rPr>
          <w:rFonts w:ascii="Times New Roman" w:hAnsi="Times New Roman" w:cs="Times New Roman"/>
          <w:sz w:val="24"/>
          <w:szCs w:val="24"/>
        </w:rPr>
        <w:t>IC-</w:t>
      </w:r>
      <w:proofErr w:type="spellStart"/>
      <w:r>
        <w:rPr>
          <w:rFonts w:ascii="Times New Roman" w:hAnsi="Times New Roman" w:cs="Times New Roman"/>
          <w:sz w:val="24"/>
          <w:szCs w:val="24"/>
        </w:rPr>
        <w:t>Br</w:t>
      </w:r>
      <w:proofErr w:type="spellEnd"/>
      <w:proofErr w:type="gramEnd"/>
      <w:r w:rsidR="007527AE">
        <w:rPr>
          <w:rStyle w:val="Refdenotaderodap"/>
          <w:rFonts w:ascii="Times New Roman" w:hAnsi="Times New Roman" w:cs="Times New Roman"/>
          <w:sz w:val="24"/>
          <w:szCs w:val="24"/>
        </w:rPr>
        <w:footnoteReference w:id="1"/>
      </w:r>
      <w:r w:rsidR="007527AE">
        <w:rPr>
          <w:rFonts w:ascii="Times New Roman" w:hAnsi="Times New Roman" w:cs="Times New Roman"/>
          <w:sz w:val="24"/>
          <w:szCs w:val="24"/>
        </w:rPr>
        <w:t xml:space="preserve"> </w:t>
      </w:r>
      <w:r w:rsidR="00FF6923">
        <w:rPr>
          <w:rFonts w:ascii="Times New Roman" w:hAnsi="Times New Roman" w:cs="Times New Roman"/>
          <w:sz w:val="24"/>
          <w:szCs w:val="24"/>
        </w:rPr>
        <w:t>são repassadas aos preços ao consumidor.</w:t>
      </w:r>
    </w:p>
    <w:p w:rsidR="00BB64FD" w:rsidRDefault="00BB64FD" w:rsidP="00C3357F">
      <w:pPr>
        <w:spacing w:after="100" w:afterAutospacing="1"/>
        <w:jc w:val="both"/>
        <w:rPr>
          <w:rFonts w:ascii="Times New Roman" w:hAnsi="Times New Roman" w:cs="Times New Roman"/>
          <w:sz w:val="24"/>
          <w:szCs w:val="24"/>
        </w:rPr>
      </w:pPr>
    </w:p>
    <w:p w:rsidR="000E4CF3" w:rsidRDefault="00BB64FD"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O gráfico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abaixo mostra a evolução do IC-</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(entre o período de 2005 a 2010), tomando por base o período estudado,  bem como de outros índices de </w:t>
      </w:r>
      <w:r w:rsidRPr="009D6E24">
        <w:rPr>
          <w:rFonts w:ascii="Times New Roman" w:hAnsi="Times New Roman" w:cs="Times New Roman"/>
          <w:i/>
          <w:sz w:val="24"/>
          <w:szCs w:val="24"/>
        </w:rPr>
        <w:t>commodities</w:t>
      </w:r>
      <w:r>
        <w:rPr>
          <w:rFonts w:ascii="Times New Roman" w:hAnsi="Times New Roman" w:cs="Times New Roman"/>
          <w:sz w:val="24"/>
          <w:szCs w:val="24"/>
        </w:rPr>
        <w:t xml:space="preserve"> frequentemente referenciados nas analises econômicas. Vale atentar para a oscilação do índice </w:t>
      </w:r>
      <w:proofErr w:type="gramStart"/>
      <w:r>
        <w:rPr>
          <w:rFonts w:ascii="Times New Roman" w:hAnsi="Times New Roman" w:cs="Times New Roman"/>
          <w:sz w:val="24"/>
          <w:szCs w:val="24"/>
        </w:rPr>
        <w:t>IC-</w:t>
      </w:r>
      <w:proofErr w:type="spellStart"/>
      <w:r>
        <w:rPr>
          <w:rFonts w:ascii="Times New Roman" w:hAnsi="Times New Roman" w:cs="Times New Roman"/>
          <w:sz w:val="24"/>
          <w:szCs w:val="24"/>
        </w:rPr>
        <w:t>Br</w:t>
      </w:r>
      <w:proofErr w:type="spellEnd"/>
      <w:proofErr w:type="gramEnd"/>
      <w:r>
        <w:rPr>
          <w:rFonts w:ascii="Times New Roman" w:hAnsi="Times New Roman" w:cs="Times New Roman"/>
          <w:sz w:val="24"/>
          <w:szCs w:val="24"/>
        </w:rPr>
        <w:t xml:space="preserve"> em relação aos demais, visto que daremos maior ênfase a este em específico.</w:t>
      </w:r>
    </w:p>
    <w:p w:rsidR="009517C8" w:rsidRDefault="009517C8" w:rsidP="00C01DEE">
      <w:pPr>
        <w:spacing w:line="240" w:lineRule="auto"/>
        <w:jc w:val="both"/>
        <w:rPr>
          <w:rFonts w:ascii="Times New Roman" w:hAnsi="Times New Roman" w:cs="Times New Roman"/>
          <w:sz w:val="24"/>
          <w:szCs w:val="24"/>
        </w:rPr>
      </w:pPr>
    </w:p>
    <w:p w:rsidR="00035A90" w:rsidRDefault="00A81A68" w:rsidP="00C01DEE">
      <w:pPr>
        <w:spacing w:line="240" w:lineRule="auto"/>
        <w:jc w:val="both"/>
        <w:rPr>
          <w:rFonts w:ascii="Times New Roman" w:eastAsia="Times New Roman" w:hAnsi="Times New Roman" w:cs="Times New Roman"/>
          <w:b/>
          <w:color w:val="000000"/>
          <w:sz w:val="20"/>
          <w:szCs w:val="20"/>
          <w:lang w:eastAsia="pt-BR"/>
        </w:rPr>
      </w:pPr>
      <w:r>
        <w:rPr>
          <w:rFonts w:ascii="Times New Roman" w:eastAsia="Times New Roman" w:hAnsi="Times New Roman" w:cs="Times New Roman"/>
          <w:b/>
          <w:color w:val="000000"/>
          <w:sz w:val="20"/>
          <w:szCs w:val="20"/>
          <w:lang w:eastAsia="pt-BR"/>
        </w:rPr>
        <w:t xml:space="preserve">Gráfico 1 – </w:t>
      </w:r>
      <w:proofErr w:type="gramStart"/>
      <w:r>
        <w:rPr>
          <w:rFonts w:ascii="Times New Roman" w:eastAsia="Times New Roman" w:hAnsi="Times New Roman" w:cs="Times New Roman"/>
          <w:b/>
          <w:color w:val="000000"/>
          <w:sz w:val="20"/>
          <w:szCs w:val="20"/>
          <w:lang w:eastAsia="pt-BR"/>
        </w:rPr>
        <w:t>IC-</w:t>
      </w:r>
      <w:proofErr w:type="spellStart"/>
      <w:r>
        <w:rPr>
          <w:rFonts w:ascii="Times New Roman" w:eastAsia="Times New Roman" w:hAnsi="Times New Roman" w:cs="Times New Roman"/>
          <w:b/>
          <w:color w:val="000000"/>
          <w:sz w:val="20"/>
          <w:szCs w:val="20"/>
          <w:lang w:eastAsia="pt-BR"/>
        </w:rPr>
        <w:t>Br</w:t>
      </w:r>
      <w:proofErr w:type="spellEnd"/>
      <w:proofErr w:type="gramEnd"/>
      <w:r>
        <w:rPr>
          <w:rFonts w:ascii="Times New Roman" w:eastAsia="Times New Roman" w:hAnsi="Times New Roman" w:cs="Times New Roman"/>
          <w:b/>
          <w:color w:val="000000"/>
          <w:sz w:val="20"/>
          <w:szCs w:val="20"/>
          <w:lang w:eastAsia="pt-BR"/>
        </w:rPr>
        <w:t xml:space="preserve"> e outros índices (em R$)</w:t>
      </w:r>
    </w:p>
    <w:p w:rsidR="00A81A68" w:rsidRDefault="00A81A68" w:rsidP="00C01DEE">
      <w:pPr>
        <w:spacing w:line="240" w:lineRule="auto"/>
        <w:jc w:val="both"/>
        <w:rPr>
          <w:rFonts w:ascii="Times New Roman" w:eastAsia="Times New Roman" w:hAnsi="Times New Roman" w:cs="Times New Roman"/>
          <w:b/>
          <w:color w:val="000000"/>
          <w:sz w:val="20"/>
          <w:szCs w:val="20"/>
          <w:lang w:eastAsia="pt-BR"/>
        </w:rPr>
      </w:pPr>
    </w:p>
    <w:p w:rsidR="00035A90" w:rsidRDefault="00A81A68" w:rsidP="00C01DEE">
      <w:pPr>
        <w:spacing w:line="240" w:lineRule="auto"/>
        <w:jc w:val="both"/>
        <w:rPr>
          <w:rFonts w:ascii="Times New Roman" w:eastAsia="Times New Roman" w:hAnsi="Times New Roman" w:cs="Times New Roman"/>
          <w:b/>
          <w:color w:val="000000"/>
          <w:sz w:val="20"/>
          <w:szCs w:val="20"/>
          <w:lang w:eastAsia="pt-BR"/>
        </w:rPr>
      </w:pPr>
      <w:r>
        <w:rPr>
          <w:rFonts w:ascii="Times New Roman" w:eastAsia="Times New Roman" w:hAnsi="Times New Roman" w:cs="Times New Roman"/>
          <w:b/>
          <w:noProof/>
          <w:color w:val="000000"/>
          <w:sz w:val="20"/>
          <w:szCs w:val="20"/>
          <w:lang w:eastAsia="pt-BR"/>
        </w:rPr>
        <w:drawing>
          <wp:inline distT="0" distB="0" distL="0" distR="0" wp14:anchorId="4DF3CD65" wp14:editId="1D1B8066">
            <wp:extent cx="3719206" cy="207894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1.png"/>
                    <pic:cNvPicPr/>
                  </pic:nvPicPr>
                  <pic:blipFill>
                    <a:blip r:embed="rId8">
                      <a:extLst>
                        <a:ext uri="{28A0092B-C50C-407E-A947-70E740481C1C}">
                          <a14:useLocalDpi xmlns:a14="http://schemas.microsoft.com/office/drawing/2010/main" val="0"/>
                        </a:ext>
                      </a:extLst>
                    </a:blip>
                    <a:stretch>
                      <a:fillRect/>
                    </a:stretch>
                  </pic:blipFill>
                  <pic:spPr>
                    <a:xfrm>
                      <a:off x="0" y="0"/>
                      <a:ext cx="3719206" cy="2078941"/>
                    </a:xfrm>
                    <a:prstGeom prst="rect">
                      <a:avLst/>
                    </a:prstGeom>
                  </pic:spPr>
                </pic:pic>
              </a:graphicData>
            </a:graphic>
          </wp:inline>
        </w:drawing>
      </w:r>
    </w:p>
    <w:p w:rsidR="00FF6923" w:rsidRDefault="00FF6923" w:rsidP="00C01DEE">
      <w:pPr>
        <w:spacing w:line="240" w:lineRule="auto"/>
        <w:jc w:val="both"/>
        <w:rPr>
          <w:rFonts w:ascii="Times New Roman" w:eastAsia="Times New Roman" w:hAnsi="Times New Roman" w:cs="Times New Roman"/>
          <w:b/>
          <w:color w:val="000000"/>
          <w:sz w:val="20"/>
          <w:szCs w:val="20"/>
          <w:lang w:eastAsia="pt-BR"/>
        </w:rPr>
      </w:pPr>
    </w:p>
    <w:p w:rsidR="00FF6923" w:rsidRDefault="00FF6923" w:rsidP="00C01DEE">
      <w:pPr>
        <w:spacing w:line="240" w:lineRule="auto"/>
        <w:jc w:val="both"/>
        <w:rPr>
          <w:rFonts w:ascii="Times New Roman" w:eastAsia="Times New Roman" w:hAnsi="Times New Roman" w:cs="Times New Roman"/>
          <w:b/>
          <w:color w:val="000000"/>
          <w:sz w:val="20"/>
          <w:szCs w:val="20"/>
          <w:lang w:eastAsia="pt-BR"/>
        </w:rPr>
      </w:pPr>
    </w:p>
    <w:p w:rsidR="00BB64FD" w:rsidRPr="009517C8" w:rsidRDefault="00BB64FD" w:rsidP="009517C8">
      <w:pPr>
        <w:spacing w:after="100" w:afterAutospacing="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 xml:space="preserve">Na cesta que compõe o </w:t>
      </w:r>
      <w:proofErr w:type="gramStart"/>
      <w:r>
        <w:rPr>
          <w:rFonts w:ascii="Times New Roman" w:eastAsia="Times New Roman" w:hAnsi="Times New Roman" w:cs="Times New Roman"/>
          <w:color w:val="000000"/>
          <w:sz w:val="24"/>
          <w:szCs w:val="24"/>
          <w:lang w:eastAsia="pt-BR"/>
        </w:rPr>
        <w:t>IC-</w:t>
      </w:r>
      <w:proofErr w:type="spellStart"/>
      <w:r>
        <w:rPr>
          <w:rFonts w:ascii="Times New Roman" w:eastAsia="Times New Roman" w:hAnsi="Times New Roman" w:cs="Times New Roman"/>
          <w:color w:val="000000"/>
          <w:sz w:val="24"/>
          <w:szCs w:val="24"/>
          <w:lang w:eastAsia="pt-BR"/>
        </w:rPr>
        <w:t>Br</w:t>
      </w:r>
      <w:proofErr w:type="spellEnd"/>
      <w:proofErr w:type="gramEnd"/>
      <w:r>
        <w:rPr>
          <w:rFonts w:ascii="Times New Roman" w:eastAsia="Times New Roman" w:hAnsi="Times New Roman" w:cs="Times New Roman"/>
          <w:color w:val="000000"/>
          <w:sz w:val="24"/>
          <w:szCs w:val="24"/>
          <w:lang w:eastAsia="pt-BR"/>
        </w:rPr>
        <w:t>, os pesos foram obtidos a partir de modelos de Vetores Auto Regressivos (</w:t>
      </w:r>
      <w:proofErr w:type="spellStart"/>
      <w:r>
        <w:rPr>
          <w:rFonts w:ascii="Times New Roman" w:eastAsia="Times New Roman" w:hAnsi="Times New Roman" w:cs="Times New Roman"/>
          <w:color w:val="000000"/>
          <w:sz w:val="24"/>
          <w:szCs w:val="24"/>
          <w:lang w:eastAsia="pt-BR"/>
        </w:rPr>
        <w:t>VARs</w:t>
      </w:r>
      <w:proofErr w:type="spellEnd"/>
      <w:r>
        <w:rPr>
          <w:rFonts w:ascii="Times New Roman" w:eastAsia="Times New Roman" w:hAnsi="Times New Roman" w:cs="Times New Roman"/>
          <w:color w:val="000000"/>
          <w:sz w:val="24"/>
          <w:szCs w:val="24"/>
          <w:lang w:eastAsia="pt-BR"/>
        </w:rPr>
        <w:t xml:space="preserve">), construídos para estimar os repasses de preços de cada </w:t>
      </w:r>
      <w:r w:rsidRPr="009517C8">
        <w:rPr>
          <w:rFonts w:ascii="Times New Roman" w:eastAsia="Times New Roman" w:hAnsi="Times New Roman" w:cs="Times New Roman"/>
          <w:i/>
          <w:color w:val="000000"/>
          <w:sz w:val="24"/>
          <w:szCs w:val="24"/>
          <w:lang w:eastAsia="pt-BR"/>
        </w:rPr>
        <w:t>commodity</w:t>
      </w:r>
      <w:r>
        <w:rPr>
          <w:rFonts w:ascii="Times New Roman" w:eastAsia="Times New Roman" w:hAnsi="Times New Roman" w:cs="Times New Roman"/>
          <w:color w:val="000000"/>
          <w:sz w:val="24"/>
          <w:szCs w:val="24"/>
          <w:lang w:eastAsia="pt-BR"/>
        </w:rPr>
        <w:t xml:space="preserve"> para a inflação. Nesse sentido, foi possível construir o </w:t>
      </w:r>
      <w:proofErr w:type="gramStart"/>
      <w:r>
        <w:rPr>
          <w:rFonts w:ascii="Times New Roman" w:eastAsia="Times New Roman" w:hAnsi="Times New Roman" w:cs="Times New Roman"/>
          <w:color w:val="000000"/>
          <w:sz w:val="24"/>
          <w:szCs w:val="24"/>
          <w:lang w:eastAsia="pt-BR"/>
        </w:rPr>
        <w:t>IC-</w:t>
      </w:r>
      <w:proofErr w:type="spellStart"/>
      <w:r>
        <w:rPr>
          <w:rFonts w:ascii="Times New Roman" w:eastAsia="Times New Roman" w:hAnsi="Times New Roman" w:cs="Times New Roman"/>
          <w:color w:val="000000"/>
          <w:sz w:val="24"/>
          <w:szCs w:val="24"/>
          <w:lang w:eastAsia="pt-BR"/>
        </w:rPr>
        <w:t>Br</w:t>
      </w:r>
      <w:proofErr w:type="spellEnd"/>
      <w:proofErr w:type="gramEnd"/>
      <w:r w:rsidR="009517C8">
        <w:rPr>
          <w:rFonts w:ascii="Times New Roman" w:eastAsia="Times New Roman" w:hAnsi="Times New Roman" w:cs="Times New Roman"/>
          <w:color w:val="000000"/>
          <w:sz w:val="24"/>
          <w:szCs w:val="24"/>
          <w:lang w:eastAsia="pt-BR"/>
        </w:rPr>
        <w:t xml:space="preserve">, bem como segmenta-lo em três </w:t>
      </w:r>
      <w:proofErr w:type="spellStart"/>
      <w:r w:rsidR="009D6E24">
        <w:rPr>
          <w:rFonts w:ascii="Times New Roman" w:eastAsia="Times New Roman" w:hAnsi="Times New Roman" w:cs="Times New Roman"/>
          <w:color w:val="000000"/>
          <w:sz w:val="24"/>
          <w:szCs w:val="24"/>
          <w:lang w:eastAsia="pt-BR"/>
        </w:rPr>
        <w:t>sub</w:t>
      </w:r>
      <w:r w:rsidR="009517C8">
        <w:rPr>
          <w:rFonts w:ascii="Times New Roman" w:eastAsia="Times New Roman" w:hAnsi="Times New Roman" w:cs="Times New Roman"/>
          <w:color w:val="000000"/>
          <w:sz w:val="24"/>
          <w:szCs w:val="24"/>
          <w:lang w:eastAsia="pt-BR"/>
        </w:rPr>
        <w:t>índices</w:t>
      </w:r>
      <w:proofErr w:type="spellEnd"/>
      <w:r w:rsidR="009517C8">
        <w:rPr>
          <w:rFonts w:ascii="Times New Roman" w:eastAsia="Times New Roman" w:hAnsi="Times New Roman" w:cs="Times New Roman"/>
          <w:color w:val="000000"/>
          <w:sz w:val="24"/>
          <w:szCs w:val="24"/>
          <w:lang w:eastAsia="pt-BR"/>
        </w:rPr>
        <w:t>, o IC-</w:t>
      </w:r>
      <w:proofErr w:type="spellStart"/>
      <w:r w:rsidR="009517C8">
        <w:rPr>
          <w:rFonts w:ascii="Times New Roman" w:eastAsia="Times New Roman" w:hAnsi="Times New Roman" w:cs="Times New Roman"/>
          <w:color w:val="000000"/>
          <w:sz w:val="24"/>
          <w:szCs w:val="24"/>
          <w:lang w:eastAsia="pt-BR"/>
        </w:rPr>
        <w:t>Br</w:t>
      </w:r>
      <w:proofErr w:type="spellEnd"/>
      <w:r w:rsidR="009517C8">
        <w:rPr>
          <w:rFonts w:ascii="Times New Roman" w:eastAsia="Times New Roman" w:hAnsi="Times New Roman" w:cs="Times New Roman"/>
          <w:color w:val="000000"/>
          <w:sz w:val="24"/>
          <w:szCs w:val="24"/>
          <w:lang w:eastAsia="pt-BR"/>
        </w:rPr>
        <w:t xml:space="preserve"> Agropecuária, o IC-</w:t>
      </w:r>
      <w:proofErr w:type="spellStart"/>
      <w:r w:rsidR="009517C8">
        <w:rPr>
          <w:rFonts w:ascii="Times New Roman" w:eastAsia="Times New Roman" w:hAnsi="Times New Roman" w:cs="Times New Roman"/>
          <w:color w:val="000000"/>
          <w:sz w:val="24"/>
          <w:szCs w:val="24"/>
          <w:lang w:eastAsia="pt-BR"/>
        </w:rPr>
        <w:t>Br</w:t>
      </w:r>
      <w:proofErr w:type="spellEnd"/>
      <w:r w:rsidR="009517C8">
        <w:rPr>
          <w:rFonts w:ascii="Times New Roman" w:eastAsia="Times New Roman" w:hAnsi="Times New Roman" w:cs="Times New Roman"/>
          <w:color w:val="000000"/>
          <w:sz w:val="24"/>
          <w:szCs w:val="24"/>
          <w:lang w:eastAsia="pt-BR"/>
        </w:rPr>
        <w:t xml:space="preserve"> Metal e o IC-</w:t>
      </w:r>
      <w:proofErr w:type="spellStart"/>
      <w:r w:rsidR="009517C8">
        <w:rPr>
          <w:rFonts w:ascii="Times New Roman" w:eastAsia="Times New Roman" w:hAnsi="Times New Roman" w:cs="Times New Roman"/>
          <w:color w:val="000000"/>
          <w:sz w:val="24"/>
          <w:szCs w:val="24"/>
          <w:lang w:eastAsia="pt-BR"/>
        </w:rPr>
        <w:t>Br</w:t>
      </w:r>
      <w:proofErr w:type="spellEnd"/>
      <w:r w:rsidR="009517C8">
        <w:rPr>
          <w:rFonts w:ascii="Times New Roman" w:eastAsia="Times New Roman" w:hAnsi="Times New Roman" w:cs="Times New Roman"/>
          <w:color w:val="000000"/>
          <w:sz w:val="24"/>
          <w:szCs w:val="24"/>
          <w:lang w:eastAsia="pt-BR"/>
        </w:rPr>
        <w:t xml:space="preserve"> Energia, conforme o Gráfico 2 abaixo.</w:t>
      </w:r>
    </w:p>
    <w:p w:rsidR="00BB64FD" w:rsidRDefault="00BB64FD" w:rsidP="00C01DEE">
      <w:pPr>
        <w:spacing w:line="240" w:lineRule="auto"/>
        <w:jc w:val="both"/>
        <w:rPr>
          <w:rFonts w:ascii="Times New Roman" w:eastAsia="Times New Roman" w:hAnsi="Times New Roman" w:cs="Times New Roman"/>
          <w:color w:val="000000"/>
          <w:sz w:val="24"/>
          <w:szCs w:val="24"/>
          <w:lang w:eastAsia="pt-BR"/>
        </w:rPr>
      </w:pPr>
    </w:p>
    <w:p w:rsidR="00A81A68" w:rsidRDefault="00A81A68" w:rsidP="00C01DEE">
      <w:pPr>
        <w:spacing w:line="240" w:lineRule="auto"/>
        <w:jc w:val="both"/>
        <w:rPr>
          <w:rFonts w:ascii="Times New Roman" w:eastAsia="Times New Roman" w:hAnsi="Times New Roman" w:cs="Times New Roman"/>
          <w:b/>
          <w:color w:val="000000"/>
          <w:sz w:val="20"/>
          <w:szCs w:val="20"/>
          <w:lang w:eastAsia="pt-BR"/>
        </w:rPr>
      </w:pPr>
      <w:r>
        <w:rPr>
          <w:rFonts w:ascii="Times New Roman" w:eastAsia="Times New Roman" w:hAnsi="Times New Roman" w:cs="Times New Roman"/>
          <w:b/>
          <w:color w:val="000000"/>
          <w:sz w:val="20"/>
          <w:szCs w:val="20"/>
          <w:lang w:eastAsia="pt-BR"/>
        </w:rPr>
        <w:t xml:space="preserve">Gráfico 2 – </w:t>
      </w:r>
      <w:proofErr w:type="gramStart"/>
      <w:r>
        <w:rPr>
          <w:rFonts w:ascii="Times New Roman" w:eastAsia="Times New Roman" w:hAnsi="Times New Roman" w:cs="Times New Roman"/>
          <w:b/>
          <w:color w:val="000000"/>
          <w:sz w:val="20"/>
          <w:szCs w:val="20"/>
          <w:lang w:eastAsia="pt-BR"/>
        </w:rPr>
        <w:t>IC-</w:t>
      </w:r>
      <w:proofErr w:type="spellStart"/>
      <w:r>
        <w:rPr>
          <w:rFonts w:ascii="Times New Roman" w:eastAsia="Times New Roman" w:hAnsi="Times New Roman" w:cs="Times New Roman"/>
          <w:b/>
          <w:color w:val="000000"/>
          <w:sz w:val="20"/>
          <w:szCs w:val="20"/>
          <w:lang w:eastAsia="pt-BR"/>
        </w:rPr>
        <w:t>Br</w:t>
      </w:r>
      <w:proofErr w:type="spellEnd"/>
      <w:proofErr w:type="gramEnd"/>
      <w:r>
        <w:rPr>
          <w:rFonts w:ascii="Times New Roman" w:eastAsia="Times New Roman" w:hAnsi="Times New Roman" w:cs="Times New Roman"/>
          <w:b/>
          <w:color w:val="000000"/>
          <w:sz w:val="20"/>
          <w:szCs w:val="20"/>
          <w:lang w:eastAsia="pt-BR"/>
        </w:rPr>
        <w:t xml:space="preserve"> segmentos (em R$)</w:t>
      </w:r>
    </w:p>
    <w:p w:rsidR="00A81A68" w:rsidRDefault="00A81A68" w:rsidP="00C01DEE">
      <w:pPr>
        <w:spacing w:line="240" w:lineRule="auto"/>
        <w:jc w:val="both"/>
        <w:rPr>
          <w:rFonts w:ascii="Times New Roman" w:eastAsia="Times New Roman" w:hAnsi="Times New Roman" w:cs="Times New Roman"/>
          <w:b/>
          <w:color w:val="000000"/>
          <w:sz w:val="20"/>
          <w:szCs w:val="20"/>
          <w:lang w:eastAsia="pt-BR"/>
        </w:rPr>
      </w:pPr>
    </w:p>
    <w:p w:rsidR="00A81A68" w:rsidRDefault="00A81A68" w:rsidP="00C01DEE">
      <w:pPr>
        <w:spacing w:line="240" w:lineRule="auto"/>
        <w:jc w:val="both"/>
        <w:rPr>
          <w:rFonts w:ascii="Times New Roman" w:eastAsia="Times New Roman" w:hAnsi="Times New Roman" w:cs="Times New Roman"/>
          <w:b/>
          <w:color w:val="000000"/>
          <w:sz w:val="20"/>
          <w:szCs w:val="20"/>
          <w:lang w:eastAsia="pt-BR"/>
        </w:rPr>
      </w:pPr>
      <w:r>
        <w:rPr>
          <w:rFonts w:ascii="Times New Roman" w:eastAsia="Times New Roman" w:hAnsi="Times New Roman" w:cs="Times New Roman"/>
          <w:b/>
          <w:noProof/>
          <w:color w:val="000000"/>
          <w:sz w:val="20"/>
          <w:szCs w:val="20"/>
          <w:lang w:eastAsia="pt-BR"/>
        </w:rPr>
        <w:drawing>
          <wp:inline distT="0" distB="0" distL="0" distR="0">
            <wp:extent cx="3727755" cy="2221398"/>
            <wp:effectExtent l="0" t="0" r="635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2.png"/>
                    <pic:cNvPicPr/>
                  </pic:nvPicPr>
                  <pic:blipFill>
                    <a:blip r:embed="rId9">
                      <a:extLst>
                        <a:ext uri="{28A0092B-C50C-407E-A947-70E740481C1C}">
                          <a14:useLocalDpi xmlns:a14="http://schemas.microsoft.com/office/drawing/2010/main" val="0"/>
                        </a:ext>
                      </a:extLst>
                    </a:blip>
                    <a:stretch>
                      <a:fillRect/>
                    </a:stretch>
                  </pic:blipFill>
                  <pic:spPr>
                    <a:xfrm>
                      <a:off x="0" y="0"/>
                      <a:ext cx="3727755" cy="2221398"/>
                    </a:xfrm>
                    <a:prstGeom prst="rect">
                      <a:avLst/>
                    </a:prstGeom>
                  </pic:spPr>
                </pic:pic>
              </a:graphicData>
            </a:graphic>
          </wp:inline>
        </w:drawing>
      </w:r>
    </w:p>
    <w:p w:rsidR="00035A90" w:rsidRDefault="00035A90" w:rsidP="00C01DEE">
      <w:pPr>
        <w:spacing w:line="240" w:lineRule="auto"/>
        <w:jc w:val="both"/>
        <w:rPr>
          <w:rFonts w:ascii="Times New Roman" w:eastAsia="Times New Roman" w:hAnsi="Times New Roman" w:cs="Times New Roman"/>
          <w:b/>
          <w:color w:val="000000"/>
          <w:sz w:val="20"/>
          <w:szCs w:val="20"/>
          <w:lang w:eastAsia="pt-BR"/>
        </w:rPr>
      </w:pPr>
    </w:p>
    <w:p w:rsidR="00F050A9" w:rsidRDefault="00F050A9" w:rsidP="001E0E73">
      <w:pPr>
        <w:spacing w:after="100" w:afterAutospacing="1"/>
        <w:jc w:val="both"/>
        <w:rPr>
          <w:rFonts w:ascii="Times New Roman" w:hAnsi="Times New Roman" w:cs="Times New Roman"/>
          <w:sz w:val="24"/>
          <w:szCs w:val="24"/>
        </w:rPr>
      </w:pPr>
    </w:p>
    <w:p w:rsidR="001D05DB" w:rsidRDefault="009517C8" w:rsidP="001E0E73">
      <w:pPr>
        <w:spacing w:after="100" w:afterAut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Para estimar o repasse do </w:t>
      </w:r>
      <w:proofErr w:type="gramStart"/>
      <w:r>
        <w:rPr>
          <w:rFonts w:ascii="Times New Roman" w:hAnsi="Times New Roman" w:cs="Times New Roman"/>
          <w:sz w:val="24"/>
          <w:szCs w:val="24"/>
        </w:rPr>
        <w:t>IC-</w:t>
      </w:r>
      <w:proofErr w:type="spellStart"/>
      <w:r>
        <w:rPr>
          <w:rFonts w:ascii="Times New Roman" w:hAnsi="Times New Roman" w:cs="Times New Roman"/>
          <w:sz w:val="24"/>
          <w:szCs w:val="24"/>
        </w:rPr>
        <w:t>Br</w:t>
      </w:r>
      <w:proofErr w:type="spellEnd"/>
      <w:proofErr w:type="gramEnd"/>
      <w:r>
        <w:rPr>
          <w:rFonts w:ascii="Times New Roman" w:hAnsi="Times New Roman" w:cs="Times New Roman"/>
          <w:sz w:val="24"/>
          <w:szCs w:val="24"/>
        </w:rPr>
        <w:t xml:space="preserve"> para o Índice Nacional de Preços ao Consumidor Amplo (IPCA), recorreu-se novamente à metodologia VAR. Foram utilizados dados mensais dos de 2006 a 2010, incluindo-se a variação da media mensal dos preços das </w:t>
      </w:r>
      <w:r w:rsidRPr="009517C8">
        <w:rPr>
          <w:rFonts w:ascii="Times New Roman" w:hAnsi="Times New Roman" w:cs="Times New Roman"/>
          <w:i/>
          <w:sz w:val="24"/>
          <w:szCs w:val="24"/>
        </w:rPr>
        <w:t>commodities</w:t>
      </w:r>
      <w:r>
        <w:rPr>
          <w:rFonts w:ascii="Times New Roman" w:hAnsi="Times New Roman" w:cs="Times New Roman"/>
          <w:sz w:val="24"/>
          <w:szCs w:val="24"/>
        </w:rPr>
        <w:t xml:space="preserve"> em reais; o IBC-</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como medida da atividade econômica; a taxa Sistema Especial de  </w:t>
      </w:r>
      <w:r w:rsidR="001E0E73">
        <w:rPr>
          <w:rFonts w:ascii="Times New Roman" w:hAnsi="Times New Roman" w:cs="Times New Roman"/>
          <w:sz w:val="24"/>
          <w:szCs w:val="24"/>
        </w:rPr>
        <w:t xml:space="preserve">Liquidação e Custódia (Selic), como variável de politica monetária;  a variação media mensal da taxa de câmbio; e a inflação medida pelo IPCA. Com isso, conforme apresenta o trabalho, busca-se capturar tanto os </w:t>
      </w:r>
      <w:proofErr w:type="spellStart"/>
      <w:r w:rsidR="001E0E73">
        <w:rPr>
          <w:rFonts w:ascii="Times New Roman" w:hAnsi="Times New Roman" w:cs="Times New Roman"/>
          <w:sz w:val="24"/>
          <w:szCs w:val="24"/>
        </w:rPr>
        <w:t>impacos</w:t>
      </w:r>
      <w:proofErr w:type="spellEnd"/>
      <w:r w:rsidR="001E0E73">
        <w:rPr>
          <w:rFonts w:ascii="Times New Roman" w:hAnsi="Times New Roman" w:cs="Times New Roman"/>
          <w:sz w:val="24"/>
          <w:szCs w:val="24"/>
        </w:rPr>
        <w:t xml:space="preserve"> diretos da elevação de custos de produção dos bens finais, quanto dos efeitos de segunda ordem, que consistem na propagação da elevação dos preços de alguns bens ou serviços para os demais.</w:t>
      </w:r>
    </w:p>
    <w:p w:rsidR="001D05DB" w:rsidRDefault="001D05DB" w:rsidP="00C01DEE">
      <w:pPr>
        <w:spacing w:line="240" w:lineRule="auto"/>
        <w:jc w:val="both"/>
        <w:rPr>
          <w:rFonts w:ascii="Times New Roman" w:eastAsia="Times New Roman" w:hAnsi="Times New Roman" w:cs="Times New Roman"/>
          <w:b/>
          <w:color w:val="000000"/>
          <w:sz w:val="20"/>
          <w:szCs w:val="20"/>
          <w:lang w:eastAsia="pt-BR"/>
        </w:rPr>
      </w:pPr>
    </w:p>
    <w:p w:rsidR="00C01DEE" w:rsidRDefault="00C01DEE" w:rsidP="00C01DEE">
      <w:pPr>
        <w:spacing w:line="240" w:lineRule="auto"/>
        <w:jc w:val="both"/>
        <w:rPr>
          <w:rFonts w:ascii="Times New Roman" w:eastAsia="Times New Roman" w:hAnsi="Times New Roman" w:cs="Times New Roman"/>
          <w:b/>
          <w:color w:val="000000"/>
          <w:sz w:val="20"/>
          <w:szCs w:val="20"/>
          <w:lang w:eastAsia="pt-BR"/>
        </w:rPr>
      </w:pPr>
      <w:r w:rsidRPr="00C01DEE">
        <w:rPr>
          <w:rFonts w:ascii="Times New Roman" w:eastAsia="Times New Roman" w:hAnsi="Times New Roman" w:cs="Times New Roman"/>
          <w:b/>
          <w:color w:val="000000"/>
          <w:sz w:val="20"/>
          <w:szCs w:val="20"/>
          <w:lang w:eastAsia="pt-BR"/>
        </w:rPr>
        <w:t xml:space="preserve">Tabela 1 - Índice de Preços de Commodities </w:t>
      </w:r>
    </w:p>
    <w:p w:rsidR="00035A90" w:rsidRDefault="00035A90" w:rsidP="00C01DEE">
      <w:pPr>
        <w:spacing w:line="240" w:lineRule="auto"/>
        <w:jc w:val="both"/>
        <w:rPr>
          <w:rFonts w:ascii="Times New Roman" w:eastAsia="Times New Roman" w:hAnsi="Times New Roman" w:cs="Times New Roman"/>
          <w:b/>
          <w:color w:val="000000"/>
          <w:sz w:val="20"/>
          <w:szCs w:val="20"/>
          <w:lang w:eastAsia="pt-BR"/>
        </w:rPr>
      </w:pPr>
    </w:p>
    <w:tbl>
      <w:tblPr>
        <w:tblW w:w="9060" w:type="dxa"/>
        <w:tblInd w:w="55" w:type="dxa"/>
        <w:tblCellMar>
          <w:left w:w="70" w:type="dxa"/>
          <w:right w:w="70" w:type="dxa"/>
        </w:tblCellMar>
        <w:tblLook w:val="04A0" w:firstRow="1" w:lastRow="0" w:firstColumn="1" w:lastColumn="0" w:noHBand="0" w:noVBand="1"/>
      </w:tblPr>
      <w:tblGrid>
        <w:gridCol w:w="2860"/>
        <w:gridCol w:w="580"/>
        <w:gridCol w:w="580"/>
        <w:gridCol w:w="580"/>
        <w:gridCol w:w="580"/>
        <w:gridCol w:w="620"/>
        <w:gridCol w:w="720"/>
        <w:gridCol w:w="620"/>
        <w:gridCol w:w="948"/>
        <w:gridCol w:w="972"/>
      </w:tblGrid>
      <w:tr w:rsidR="00035A90" w:rsidRPr="00035A90" w:rsidTr="00035A90">
        <w:trPr>
          <w:trHeight w:val="300"/>
        </w:trPr>
        <w:tc>
          <w:tcPr>
            <w:tcW w:w="286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7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1920" w:type="dxa"/>
            <w:gridSpan w:val="2"/>
            <w:tcBorders>
              <w:top w:val="nil"/>
              <w:left w:val="nil"/>
              <w:bottom w:val="nil"/>
              <w:right w:val="nil"/>
            </w:tcBorders>
            <w:shd w:val="clear" w:color="auto" w:fill="auto"/>
            <w:noWrap/>
            <w:vAlign w:val="bottom"/>
            <w:hideMark/>
          </w:tcPr>
          <w:p w:rsidR="00035A90" w:rsidRPr="00035A90" w:rsidRDefault="00035A90" w:rsidP="00035A90">
            <w:pPr>
              <w:spacing w:line="240" w:lineRule="auto"/>
              <w:ind w:left="-107"/>
              <w:jc w:val="lef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 (variações % - Em </w:t>
            </w:r>
            <w:r w:rsidRPr="00035A90">
              <w:rPr>
                <w:rFonts w:ascii="Times New Roman" w:eastAsia="Times New Roman" w:hAnsi="Times New Roman" w:cs="Times New Roman"/>
                <w:color w:val="000000"/>
                <w:sz w:val="20"/>
                <w:szCs w:val="20"/>
                <w:lang w:eastAsia="pt-BR"/>
              </w:rPr>
              <w:t>R$)</w:t>
            </w:r>
          </w:p>
        </w:tc>
      </w:tr>
      <w:tr w:rsidR="00035A90" w:rsidRPr="00035A90" w:rsidTr="00035A90">
        <w:trPr>
          <w:trHeight w:val="300"/>
        </w:trPr>
        <w:tc>
          <w:tcPr>
            <w:tcW w:w="2860" w:type="dxa"/>
            <w:tcBorders>
              <w:top w:val="single" w:sz="4" w:space="0" w:color="auto"/>
              <w:left w:val="single" w:sz="4" w:space="0" w:color="auto"/>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r w:rsidRPr="00035A90">
              <w:rPr>
                <w:rFonts w:ascii="Times New Roman" w:eastAsia="Times New Roman" w:hAnsi="Times New Roman" w:cs="Times New Roman"/>
                <w:color w:val="000000"/>
                <w:sz w:val="20"/>
                <w:szCs w:val="20"/>
                <w:lang w:eastAsia="pt-BR"/>
              </w:rPr>
              <w:t> </w:t>
            </w:r>
          </w:p>
        </w:tc>
        <w:tc>
          <w:tcPr>
            <w:tcW w:w="580" w:type="dxa"/>
            <w:tcBorders>
              <w:top w:val="single" w:sz="4" w:space="0" w:color="auto"/>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2006</w:t>
            </w:r>
          </w:p>
        </w:tc>
        <w:tc>
          <w:tcPr>
            <w:tcW w:w="580" w:type="dxa"/>
            <w:tcBorders>
              <w:top w:val="single" w:sz="4" w:space="0" w:color="auto"/>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2007</w:t>
            </w:r>
          </w:p>
        </w:tc>
        <w:tc>
          <w:tcPr>
            <w:tcW w:w="580" w:type="dxa"/>
            <w:tcBorders>
              <w:top w:val="single" w:sz="4" w:space="0" w:color="auto"/>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2008</w:t>
            </w:r>
          </w:p>
        </w:tc>
        <w:tc>
          <w:tcPr>
            <w:tcW w:w="580" w:type="dxa"/>
            <w:tcBorders>
              <w:top w:val="single" w:sz="4" w:space="0" w:color="auto"/>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2009</w:t>
            </w:r>
          </w:p>
        </w:tc>
        <w:tc>
          <w:tcPr>
            <w:tcW w:w="620" w:type="dxa"/>
            <w:tcBorders>
              <w:top w:val="single" w:sz="4" w:space="0" w:color="auto"/>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2010¹</w:t>
            </w:r>
          </w:p>
        </w:tc>
        <w:tc>
          <w:tcPr>
            <w:tcW w:w="720" w:type="dxa"/>
            <w:tcBorders>
              <w:top w:val="single" w:sz="4" w:space="0" w:color="auto"/>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∆12m</w:t>
            </w:r>
            <w:proofErr w:type="gramStart"/>
            <w:r>
              <w:rPr>
                <w:rFonts w:ascii="Calibri" w:eastAsia="Times New Roman" w:hAnsi="Calibri" w:cs="Times New Roman"/>
                <w:color w:val="000000"/>
                <w:sz w:val="20"/>
                <w:szCs w:val="20"/>
                <w:lang w:eastAsia="pt-BR"/>
              </w:rPr>
              <w:t>²</w:t>
            </w:r>
            <w:proofErr w:type="gramEnd"/>
          </w:p>
        </w:tc>
        <w:tc>
          <w:tcPr>
            <w:tcW w:w="620" w:type="dxa"/>
            <w:tcBorders>
              <w:top w:val="single" w:sz="4" w:space="0" w:color="auto"/>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Pr>
                <w:rFonts w:ascii="Calibri" w:eastAsia="Times New Roman" w:hAnsi="Calibri" w:cs="Times New Roman"/>
                <w:color w:val="000000"/>
                <w:sz w:val="20"/>
                <w:szCs w:val="20"/>
                <w:lang w:eastAsia="pt-BR"/>
              </w:rPr>
              <w:t>∆3m</w:t>
            </w:r>
            <w:proofErr w:type="gramStart"/>
            <w:r>
              <w:rPr>
                <w:rFonts w:ascii="Calibri" w:eastAsia="Times New Roman" w:hAnsi="Calibri" w:cs="Times New Roman"/>
                <w:color w:val="000000"/>
                <w:sz w:val="20"/>
                <w:szCs w:val="20"/>
                <w:lang w:eastAsia="pt-BR"/>
              </w:rPr>
              <w:t>²</w:t>
            </w:r>
            <w:proofErr w:type="gramEnd"/>
            <w:r>
              <w:rPr>
                <w:rFonts w:ascii="Calibri" w:eastAsia="Times New Roman" w:hAnsi="Calibri" w:cs="Times New Roman"/>
                <w:color w:val="000000"/>
                <w:sz w:val="20"/>
                <w:szCs w:val="20"/>
                <w:lang w:eastAsia="pt-BR"/>
              </w:rPr>
              <w:t xml:space="preserve"> </w:t>
            </w:r>
          </w:p>
        </w:tc>
        <w:tc>
          <w:tcPr>
            <w:tcW w:w="948" w:type="dxa"/>
            <w:tcBorders>
              <w:top w:val="single" w:sz="4" w:space="0" w:color="auto"/>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Out/2010</w:t>
            </w:r>
          </w:p>
        </w:tc>
        <w:tc>
          <w:tcPr>
            <w:tcW w:w="972" w:type="dxa"/>
            <w:tcBorders>
              <w:top w:val="single" w:sz="4" w:space="0" w:color="auto"/>
              <w:left w:val="nil"/>
              <w:bottom w:val="single" w:sz="4" w:space="0" w:color="auto"/>
              <w:right w:val="single" w:sz="4" w:space="0" w:color="auto"/>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proofErr w:type="spellStart"/>
            <w:r w:rsidRPr="00035A90">
              <w:rPr>
                <w:rFonts w:ascii="Calibri" w:eastAsia="Times New Roman" w:hAnsi="Calibri" w:cs="Times New Roman"/>
                <w:color w:val="000000"/>
                <w:sz w:val="20"/>
                <w:szCs w:val="20"/>
                <w:lang w:eastAsia="pt-BR"/>
              </w:rPr>
              <w:t>Nov</w:t>
            </w:r>
            <w:proofErr w:type="spellEnd"/>
            <w:r w:rsidRPr="00035A90">
              <w:rPr>
                <w:rFonts w:ascii="Calibri" w:eastAsia="Times New Roman" w:hAnsi="Calibri" w:cs="Times New Roman"/>
                <w:color w:val="000000"/>
                <w:sz w:val="20"/>
                <w:szCs w:val="20"/>
                <w:lang w:eastAsia="pt-BR"/>
              </w:rPr>
              <w:t>/2010</w:t>
            </w:r>
          </w:p>
        </w:tc>
      </w:tr>
      <w:tr w:rsidR="00035A90" w:rsidRPr="00035A90" w:rsidTr="00035A90">
        <w:trPr>
          <w:trHeight w:val="300"/>
        </w:trPr>
        <w:tc>
          <w:tcPr>
            <w:tcW w:w="2860" w:type="dxa"/>
            <w:tcBorders>
              <w:top w:val="nil"/>
              <w:left w:val="single" w:sz="4" w:space="0" w:color="auto"/>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r w:rsidRPr="00035A90">
              <w:rPr>
                <w:rFonts w:ascii="Times New Roman" w:eastAsia="Times New Roman" w:hAnsi="Times New Roman" w:cs="Times New Roman"/>
                <w:color w:val="000000"/>
                <w:sz w:val="20"/>
                <w:szCs w:val="20"/>
                <w:lang w:eastAsia="pt-BR"/>
              </w:rPr>
              <w:t>IC-</w:t>
            </w:r>
            <w:proofErr w:type="spellStart"/>
            <w:r w:rsidRPr="00035A90">
              <w:rPr>
                <w:rFonts w:ascii="Times New Roman" w:eastAsia="Times New Roman" w:hAnsi="Times New Roman" w:cs="Times New Roman"/>
                <w:color w:val="000000"/>
                <w:sz w:val="20"/>
                <w:szCs w:val="20"/>
                <w:lang w:eastAsia="pt-BR"/>
              </w:rPr>
              <w:t>Br</w:t>
            </w:r>
            <w:proofErr w:type="spellEnd"/>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6,2</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7,4</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-4,4</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6,4</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23,7</w:t>
            </w:r>
          </w:p>
        </w:tc>
        <w:tc>
          <w:tcPr>
            <w:tcW w:w="7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29,2</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14,7</w:t>
            </w:r>
          </w:p>
        </w:tc>
        <w:tc>
          <w:tcPr>
            <w:tcW w:w="948"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8,0</w:t>
            </w:r>
          </w:p>
        </w:tc>
        <w:tc>
          <w:tcPr>
            <w:tcW w:w="972" w:type="dxa"/>
            <w:tcBorders>
              <w:top w:val="nil"/>
              <w:left w:val="nil"/>
              <w:bottom w:val="nil"/>
              <w:right w:val="single" w:sz="4" w:space="0" w:color="auto"/>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1,5</w:t>
            </w:r>
          </w:p>
        </w:tc>
      </w:tr>
      <w:tr w:rsidR="00035A90" w:rsidRPr="00035A90" w:rsidTr="00035A90">
        <w:trPr>
          <w:trHeight w:val="300"/>
        </w:trPr>
        <w:tc>
          <w:tcPr>
            <w:tcW w:w="2860" w:type="dxa"/>
            <w:tcBorders>
              <w:top w:val="nil"/>
              <w:left w:val="single" w:sz="4" w:space="0" w:color="auto"/>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r w:rsidRPr="00035A90">
              <w:rPr>
                <w:rFonts w:ascii="Times New Roman" w:eastAsia="Times New Roman" w:hAnsi="Times New Roman" w:cs="Times New Roman"/>
                <w:color w:val="000000"/>
                <w:sz w:val="20"/>
                <w:szCs w:val="20"/>
                <w:lang w:eastAsia="pt-BR"/>
              </w:rPr>
              <w:t>IC-</w:t>
            </w:r>
            <w:proofErr w:type="spellStart"/>
            <w:r w:rsidRPr="00035A90">
              <w:rPr>
                <w:rFonts w:ascii="Times New Roman" w:eastAsia="Times New Roman" w:hAnsi="Times New Roman" w:cs="Times New Roman"/>
                <w:color w:val="000000"/>
                <w:sz w:val="20"/>
                <w:szCs w:val="20"/>
                <w:lang w:eastAsia="pt-BR"/>
              </w:rPr>
              <w:t>Br</w:t>
            </w:r>
            <w:proofErr w:type="spellEnd"/>
            <w:r w:rsidRPr="00035A90">
              <w:rPr>
                <w:rFonts w:ascii="Times New Roman" w:eastAsia="Times New Roman" w:hAnsi="Times New Roman" w:cs="Times New Roman"/>
                <w:color w:val="000000"/>
                <w:sz w:val="20"/>
                <w:szCs w:val="20"/>
                <w:lang w:eastAsia="pt-BR"/>
              </w:rPr>
              <w:t xml:space="preserve"> Agropecuária</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8,0</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3,7</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10,5</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-3,5</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31,3</w:t>
            </w:r>
          </w:p>
        </w:tc>
        <w:tc>
          <w:tcPr>
            <w:tcW w:w="7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35,7</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18,5</w:t>
            </w:r>
          </w:p>
        </w:tc>
        <w:tc>
          <w:tcPr>
            <w:tcW w:w="948"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11,1</w:t>
            </w:r>
          </w:p>
        </w:tc>
        <w:tc>
          <w:tcPr>
            <w:tcW w:w="972" w:type="dxa"/>
            <w:tcBorders>
              <w:top w:val="nil"/>
              <w:left w:val="nil"/>
              <w:bottom w:val="nil"/>
              <w:right w:val="single" w:sz="4" w:space="0" w:color="auto"/>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0,4</w:t>
            </w:r>
          </w:p>
        </w:tc>
      </w:tr>
      <w:tr w:rsidR="00035A90" w:rsidRPr="00035A90" w:rsidTr="00035A90">
        <w:trPr>
          <w:trHeight w:val="300"/>
        </w:trPr>
        <w:tc>
          <w:tcPr>
            <w:tcW w:w="2860" w:type="dxa"/>
            <w:tcBorders>
              <w:top w:val="nil"/>
              <w:left w:val="single" w:sz="4" w:space="0" w:color="auto"/>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r w:rsidRPr="00035A90">
              <w:rPr>
                <w:rFonts w:ascii="Times New Roman" w:eastAsia="Times New Roman" w:hAnsi="Times New Roman" w:cs="Times New Roman"/>
                <w:color w:val="000000"/>
                <w:sz w:val="20"/>
                <w:szCs w:val="20"/>
                <w:lang w:eastAsia="pt-BR"/>
              </w:rPr>
              <w:t>IC-</w:t>
            </w:r>
            <w:proofErr w:type="spellStart"/>
            <w:r w:rsidRPr="00035A90">
              <w:rPr>
                <w:rFonts w:ascii="Times New Roman" w:eastAsia="Times New Roman" w:hAnsi="Times New Roman" w:cs="Times New Roman"/>
                <w:color w:val="000000"/>
                <w:sz w:val="20"/>
                <w:szCs w:val="20"/>
                <w:lang w:eastAsia="pt-BR"/>
              </w:rPr>
              <w:t>Br</w:t>
            </w:r>
            <w:proofErr w:type="spellEnd"/>
            <w:r w:rsidRPr="00035A90">
              <w:rPr>
                <w:rFonts w:ascii="Times New Roman" w:eastAsia="Times New Roman" w:hAnsi="Times New Roman" w:cs="Times New Roman"/>
                <w:color w:val="000000"/>
                <w:sz w:val="20"/>
                <w:szCs w:val="20"/>
                <w:lang w:eastAsia="pt-BR"/>
              </w:rPr>
              <w:t xml:space="preserve"> Metal</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28,0</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1,7</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-29,6</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30,0</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17,9</w:t>
            </w:r>
          </w:p>
        </w:tc>
        <w:tc>
          <w:tcPr>
            <w:tcW w:w="7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25,8</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8,8</w:t>
            </w:r>
          </w:p>
        </w:tc>
        <w:tc>
          <w:tcPr>
            <w:tcW w:w="948"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4,5</w:t>
            </w:r>
          </w:p>
        </w:tc>
        <w:tc>
          <w:tcPr>
            <w:tcW w:w="972" w:type="dxa"/>
            <w:tcBorders>
              <w:top w:val="nil"/>
              <w:left w:val="nil"/>
              <w:bottom w:val="nil"/>
              <w:right w:val="single" w:sz="4" w:space="0" w:color="auto"/>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0,8</w:t>
            </w:r>
          </w:p>
        </w:tc>
      </w:tr>
      <w:tr w:rsidR="00035A90" w:rsidRPr="00035A90" w:rsidTr="00035A90">
        <w:trPr>
          <w:trHeight w:val="300"/>
        </w:trPr>
        <w:tc>
          <w:tcPr>
            <w:tcW w:w="2860" w:type="dxa"/>
            <w:tcBorders>
              <w:top w:val="nil"/>
              <w:left w:val="single" w:sz="4" w:space="0" w:color="auto"/>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proofErr w:type="spellStart"/>
            <w:r w:rsidRPr="00035A90">
              <w:rPr>
                <w:rFonts w:ascii="Times New Roman" w:eastAsia="Times New Roman" w:hAnsi="Times New Roman" w:cs="Times New Roman"/>
                <w:color w:val="000000"/>
                <w:sz w:val="20"/>
                <w:szCs w:val="20"/>
                <w:lang w:eastAsia="pt-BR"/>
              </w:rPr>
              <w:t>Ic-Br</w:t>
            </w:r>
            <w:proofErr w:type="spellEnd"/>
            <w:r w:rsidRPr="00035A90">
              <w:rPr>
                <w:rFonts w:ascii="Times New Roman" w:eastAsia="Times New Roman" w:hAnsi="Times New Roman" w:cs="Times New Roman"/>
                <w:color w:val="000000"/>
                <w:sz w:val="20"/>
                <w:szCs w:val="20"/>
                <w:lang w:eastAsia="pt-BR"/>
              </w:rPr>
              <w:t xml:space="preserve"> Energia</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-23,5</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21,9</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-11,9</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2,3</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8,1</w:t>
            </w:r>
          </w:p>
        </w:tc>
        <w:tc>
          <w:tcPr>
            <w:tcW w:w="7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12,7</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11,3</w:t>
            </w:r>
          </w:p>
        </w:tc>
        <w:tc>
          <w:tcPr>
            <w:tcW w:w="948"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3,9</w:t>
            </w:r>
          </w:p>
        </w:tc>
        <w:tc>
          <w:tcPr>
            <w:tcW w:w="972" w:type="dxa"/>
            <w:tcBorders>
              <w:top w:val="nil"/>
              <w:left w:val="nil"/>
              <w:bottom w:val="nil"/>
              <w:right w:val="single" w:sz="4" w:space="0" w:color="auto"/>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5,2</w:t>
            </w:r>
          </w:p>
        </w:tc>
      </w:tr>
      <w:tr w:rsidR="00035A90" w:rsidRPr="00035A90" w:rsidTr="00035A90">
        <w:trPr>
          <w:trHeight w:val="300"/>
        </w:trPr>
        <w:tc>
          <w:tcPr>
            <w:tcW w:w="2860" w:type="dxa"/>
            <w:tcBorders>
              <w:top w:val="nil"/>
              <w:left w:val="single" w:sz="4" w:space="0" w:color="auto"/>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r w:rsidRPr="00035A90">
              <w:rPr>
                <w:rFonts w:ascii="Times New Roman" w:eastAsia="Times New Roman" w:hAnsi="Times New Roman" w:cs="Times New Roman"/>
                <w:color w:val="000000"/>
                <w:sz w:val="20"/>
                <w:szCs w:val="20"/>
                <w:lang w:eastAsia="pt-BR"/>
              </w:rPr>
              <w:t>S&amp;P GSCI Composto</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-8,1</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17,2</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-25,6</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13,3</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7,9</w:t>
            </w:r>
          </w:p>
        </w:tc>
        <w:tc>
          <w:tcPr>
            <w:tcW w:w="7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9,7</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12,6</w:t>
            </w:r>
          </w:p>
        </w:tc>
        <w:tc>
          <w:tcPr>
            <w:tcW w:w="948"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proofErr w:type="gramStart"/>
            <w:r w:rsidRPr="00035A90">
              <w:rPr>
                <w:rFonts w:ascii="Calibri" w:eastAsia="Times New Roman" w:hAnsi="Calibri" w:cs="Times New Roman"/>
                <w:color w:val="000000"/>
                <w:sz w:val="20"/>
                <w:szCs w:val="20"/>
                <w:lang w:eastAsia="pt-BR"/>
              </w:rPr>
              <w:t>4</w:t>
            </w:r>
            <w:proofErr w:type="gramEnd"/>
          </w:p>
        </w:tc>
        <w:tc>
          <w:tcPr>
            <w:tcW w:w="972" w:type="dxa"/>
            <w:tcBorders>
              <w:top w:val="nil"/>
              <w:left w:val="nil"/>
              <w:bottom w:val="nil"/>
              <w:right w:val="single" w:sz="4" w:space="0" w:color="auto"/>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proofErr w:type="gramStart"/>
            <w:r w:rsidRPr="00035A90">
              <w:rPr>
                <w:rFonts w:ascii="Calibri" w:eastAsia="Times New Roman" w:hAnsi="Calibri" w:cs="Times New Roman"/>
                <w:color w:val="000000"/>
                <w:sz w:val="20"/>
                <w:szCs w:val="20"/>
                <w:lang w:eastAsia="pt-BR"/>
              </w:rPr>
              <w:t>3</w:t>
            </w:r>
            <w:proofErr w:type="gramEnd"/>
          </w:p>
        </w:tc>
      </w:tr>
      <w:tr w:rsidR="00035A90" w:rsidRPr="00035A90" w:rsidTr="00035A90">
        <w:trPr>
          <w:trHeight w:val="300"/>
        </w:trPr>
        <w:tc>
          <w:tcPr>
            <w:tcW w:w="2860" w:type="dxa"/>
            <w:tcBorders>
              <w:top w:val="nil"/>
              <w:left w:val="single" w:sz="4" w:space="0" w:color="auto"/>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r w:rsidRPr="00035A90">
              <w:rPr>
                <w:rFonts w:ascii="Times New Roman" w:eastAsia="Times New Roman" w:hAnsi="Times New Roman" w:cs="Times New Roman"/>
                <w:color w:val="000000"/>
                <w:sz w:val="20"/>
                <w:szCs w:val="20"/>
                <w:lang w:eastAsia="pt-BR"/>
              </w:rPr>
              <w:t>S&amp;P GSCI Agrícola</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18,6</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17,6</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4,5</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-13,5</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22,4</w:t>
            </w:r>
          </w:p>
        </w:tc>
        <w:tc>
          <w:tcPr>
            <w:tcW w:w="7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22,1</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16,1</w:t>
            </w:r>
          </w:p>
        </w:tc>
        <w:tc>
          <w:tcPr>
            <w:tcW w:w="948"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15,1</w:t>
            </w:r>
          </w:p>
        </w:tc>
        <w:tc>
          <w:tcPr>
            <w:tcW w:w="972" w:type="dxa"/>
            <w:tcBorders>
              <w:top w:val="nil"/>
              <w:left w:val="nil"/>
              <w:bottom w:val="nil"/>
              <w:right w:val="single" w:sz="4" w:space="0" w:color="auto"/>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-3,2</w:t>
            </w:r>
          </w:p>
        </w:tc>
      </w:tr>
      <w:tr w:rsidR="00035A90" w:rsidRPr="00035A90" w:rsidTr="00035A90">
        <w:trPr>
          <w:trHeight w:val="300"/>
        </w:trPr>
        <w:tc>
          <w:tcPr>
            <w:tcW w:w="2860" w:type="dxa"/>
            <w:tcBorders>
              <w:top w:val="nil"/>
              <w:left w:val="single" w:sz="4" w:space="0" w:color="auto"/>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r w:rsidRPr="00035A90">
              <w:rPr>
                <w:rFonts w:ascii="Times New Roman" w:eastAsia="Times New Roman" w:hAnsi="Times New Roman" w:cs="Times New Roman"/>
                <w:color w:val="000000"/>
                <w:sz w:val="20"/>
                <w:szCs w:val="20"/>
                <w:lang w:eastAsia="pt-BR"/>
              </w:rPr>
              <w:t xml:space="preserve">S&amp;P GSCI Metais Industriais </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38,6</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-25,6</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-33</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44,1</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4,8</w:t>
            </w:r>
          </w:p>
        </w:tc>
        <w:tc>
          <w:tcPr>
            <w:tcW w:w="7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12,2</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8,1</w:t>
            </w:r>
          </w:p>
        </w:tc>
        <w:tc>
          <w:tcPr>
            <w:tcW w:w="948"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2,7</w:t>
            </w:r>
          </w:p>
        </w:tc>
        <w:tc>
          <w:tcPr>
            <w:tcW w:w="972" w:type="dxa"/>
            <w:tcBorders>
              <w:top w:val="nil"/>
              <w:left w:val="nil"/>
              <w:bottom w:val="nil"/>
              <w:right w:val="single" w:sz="4" w:space="0" w:color="auto"/>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-0,6</w:t>
            </w:r>
          </w:p>
        </w:tc>
      </w:tr>
      <w:tr w:rsidR="00035A90" w:rsidRPr="00035A90" w:rsidTr="00035A90">
        <w:trPr>
          <w:trHeight w:val="300"/>
        </w:trPr>
        <w:tc>
          <w:tcPr>
            <w:tcW w:w="2860" w:type="dxa"/>
            <w:tcBorders>
              <w:top w:val="nil"/>
              <w:left w:val="single" w:sz="4" w:space="0" w:color="auto"/>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r w:rsidRPr="00035A90">
              <w:rPr>
                <w:rFonts w:ascii="Times New Roman" w:eastAsia="Times New Roman" w:hAnsi="Times New Roman" w:cs="Times New Roman"/>
                <w:color w:val="000000"/>
                <w:sz w:val="20"/>
                <w:szCs w:val="20"/>
                <w:lang w:eastAsia="pt-BR"/>
              </w:rPr>
              <w:t>S&amp;P GSCI Energia</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-16,5</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26,9</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-34,3</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22,4</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3,6</w:t>
            </w:r>
          </w:p>
        </w:tc>
        <w:tc>
          <w:tcPr>
            <w:tcW w:w="7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5,8</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13,1</w:t>
            </w:r>
          </w:p>
        </w:tc>
        <w:tc>
          <w:tcPr>
            <w:tcW w:w="948"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proofErr w:type="gramStart"/>
            <w:r w:rsidRPr="00035A90">
              <w:rPr>
                <w:rFonts w:ascii="Calibri" w:eastAsia="Times New Roman" w:hAnsi="Calibri" w:cs="Times New Roman"/>
                <w:color w:val="000000"/>
                <w:sz w:val="20"/>
                <w:szCs w:val="20"/>
                <w:lang w:eastAsia="pt-BR"/>
              </w:rPr>
              <w:t>2</w:t>
            </w:r>
            <w:proofErr w:type="gramEnd"/>
          </w:p>
        </w:tc>
        <w:tc>
          <w:tcPr>
            <w:tcW w:w="972" w:type="dxa"/>
            <w:tcBorders>
              <w:top w:val="nil"/>
              <w:left w:val="nil"/>
              <w:bottom w:val="nil"/>
              <w:right w:val="single" w:sz="4" w:space="0" w:color="auto"/>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4,5</w:t>
            </w:r>
          </w:p>
        </w:tc>
      </w:tr>
      <w:tr w:rsidR="00035A90" w:rsidRPr="00035A90" w:rsidTr="00035A90">
        <w:trPr>
          <w:trHeight w:val="300"/>
        </w:trPr>
        <w:tc>
          <w:tcPr>
            <w:tcW w:w="2860" w:type="dxa"/>
            <w:tcBorders>
              <w:top w:val="nil"/>
              <w:left w:val="single" w:sz="4" w:space="0" w:color="auto"/>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r w:rsidRPr="00035A90">
              <w:rPr>
                <w:rFonts w:ascii="Times New Roman" w:eastAsia="Times New Roman" w:hAnsi="Times New Roman" w:cs="Times New Roman"/>
                <w:color w:val="000000"/>
                <w:sz w:val="20"/>
                <w:szCs w:val="20"/>
                <w:lang w:eastAsia="pt-BR"/>
              </w:rPr>
              <w:t>CRB</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9,4</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-4,9</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-0,9</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0,7</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12,9</w:t>
            </w:r>
          </w:p>
        </w:tc>
        <w:tc>
          <w:tcPr>
            <w:tcW w:w="7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14,0</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3,8</w:t>
            </w:r>
          </w:p>
        </w:tc>
        <w:tc>
          <w:tcPr>
            <w:tcW w:w="948" w:type="dxa"/>
            <w:tcBorders>
              <w:top w:val="nil"/>
              <w:left w:val="nil"/>
              <w:bottom w:val="nil"/>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1,3</w:t>
            </w:r>
          </w:p>
        </w:tc>
        <w:tc>
          <w:tcPr>
            <w:tcW w:w="972" w:type="dxa"/>
            <w:tcBorders>
              <w:top w:val="nil"/>
              <w:left w:val="nil"/>
              <w:bottom w:val="nil"/>
              <w:right w:val="single" w:sz="4" w:space="0" w:color="auto"/>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-0,4</w:t>
            </w:r>
          </w:p>
        </w:tc>
      </w:tr>
      <w:tr w:rsidR="00035A90" w:rsidRPr="00035A90" w:rsidTr="00035A90">
        <w:trPr>
          <w:trHeight w:val="300"/>
        </w:trPr>
        <w:tc>
          <w:tcPr>
            <w:tcW w:w="2860" w:type="dxa"/>
            <w:tcBorders>
              <w:top w:val="nil"/>
              <w:left w:val="single" w:sz="4" w:space="0" w:color="auto"/>
              <w:bottom w:val="single" w:sz="4" w:space="0" w:color="auto"/>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r w:rsidRPr="00035A90">
              <w:rPr>
                <w:rFonts w:ascii="Times New Roman" w:eastAsia="Times New Roman" w:hAnsi="Times New Roman" w:cs="Times New Roman"/>
                <w:color w:val="000000"/>
                <w:sz w:val="20"/>
                <w:szCs w:val="20"/>
                <w:lang w:eastAsia="pt-BR"/>
              </w:rPr>
              <w:t xml:space="preserve">CRB - Reuters </w:t>
            </w:r>
            <w:proofErr w:type="spellStart"/>
            <w:r w:rsidRPr="00035A90">
              <w:rPr>
                <w:rFonts w:ascii="Times New Roman" w:eastAsia="Times New Roman" w:hAnsi="Times New Roman" w:cs="Times New Roman"/>
                <w:color w:val="000000"/>
                <w:sz w:val="20"/>
                <w:szCs w:val="20"/>
                <w:lang w:eastAsia="pt-BR"/>
              </w:rPr>
              <w:t>Jefferies</w:t>
            </w:r>
            <w:proofErr w:type="spellEnd"/>
            <w:r w:rsidRPr="00035A90">
              <w:rPr>
                <w:rFonts w:ascii="Times New Roman" w:eastAsia="Times New Roman" w:hAnsi="Times New Roman" w:cs="Times New Roman"/>
                <w:color w:val="000000"/>
                <w:sz w:val="20"/>
                <w:szCs w:val="20"/>
                <w:lang w:eastAsia="pt-BR"/>
              </w:rPr>
              <w:t xml:space="preserve"> </w:t>
            </w:r>
          </w:p>
        </w:tc>
        <w:tc>
          <w:tcPr>
            <w:tcW w:w="580" w:type="dxa"/>
            <w:tcBorders>
              <w:top w:val="nil"/>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-15,3</w:t>
            </w:r>
          </w:p>
        </w:tc>
        <w:tc>
          <w:tcPr>
            <w:tcW w:w="580" w:type="dxa"/>
            <w:tcBorders>
              <w:top w:val="nil"/>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-2,7</w:t>
            </w:r>
          </w:p>
        </w:tc>
        <w:tc>
          <w:tcPr>
            <w:tcW w:w="580" w:type="dxa"/>
            <w:tcBorders>
              <w:top w:val="nil"/>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-16,8</w:t>
            </w:r>
          </w:p>
        </w:tc>
        <w:tc>
          <w:tcPr>
            <w:tcW w:w="580" w:type="dxa"/>
            <w:tcBorders>
              <w:top w:val="nil"/>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-6,9</w:t>
            </w:r>
          </w:p>
        </w:tc>
        <w:tc>
          <w:tcPr>
            <w:tcW w:w="620" w:type="dxa"/>
            <w:tcBorders>
              <w:top w:val="nil"/>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4,5</w:t>
            </w:r>
          </w:p>
        </w:tc>
        <w:tc>
          <w:tcPr>
            <w:tcW w:w="720" w:type="dxa"/>
            <w:tcBorders>
              <w:top w:val="nil"/>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6,1</w:t>
            </w:r>
          </w:p>
        </w:tc>
        <w:tc>
          <w:tcPr>
            <w:tcW w:w="620" w:type="dxa"/>
            <w:tcBorders>
              <w:top w:val="nil"/>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11,4</w:t>
            </w:r>
          </w:p>
        </w:tc>
        <w:tc>
          <w:tcPr>
            <w:tcW w:w="948" w:type="dxa"/>
            <w:tcBorders>
              <w:top w:val="nil"/>
              <w:left w:val="nil"/>
              <w:bottom w:val="single" w:sz="4" w:space="0" w:color="auto"/>
              <w:right w:val="nil"/>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5,5</w:t>
            </w:r>
          </w:p>
        </w:tc>
        <w:tc>
          <w:tcPr>
            <w:tcW w:w="972" w:type="dxa"/>
            <w:tcBorders>
              <w:top w:val="nil"/>
              <w:left w:val="nil"/>
              <w:bottom w:val="single" w:sz="4" w:space="0" w:color="auto"/>
              <w:right w:val="single" w:sz="4" w:space="0" w:color="auto"/>
            </w:tcBorders>
            <w:shd w:val="clear" w:color="auto" w:fill="auto"/>
            <w:noWrap/>
            <w:vAlign w:val="bottom"/>
            <w:hideMark/>
          </w:tcPr>
          <w:p w:rsidR="00035A90" w:rsidRPr="00035A90" w:rsidRDefault="00035A90" w:rsidP="00035A90">
            <w:pPr>
              <w:spacing w:line="240" w:lineRule="auto"/>
              <w:rPr>
                <w:rFonts w:ascii="Calibri" w:eastAsia="Times New Roman" w:hAnsi="Calibri" w:cs="Times New Roman"/>
                <w:color w:val="000000"/>
                <w:sz w:val="20"/>
                <w:szCs w:val="20"/>
                <w:lang w:eastAsia="pt-BR"/>
              </w:rPr>
            </w:pPr>
            <w:r w:rsidRPr="00035A90">
              <w:rPr>
                <w:rFonts w:ascii="Calibri" w:eastAsia="Times New Roman" w:hAnsi="Calibri" w:cs="Times New Roman"/>
                <w:color w:val="000000"/>
                <w:sz w:val="20"/>
                <w:szCs w:val="20"/>
                <w:lang w:eastAsia="pt-BR"/>
              </w:rPr>
              <w:t>1,1</w:t>
            </w:r>
          </w:p>
        </w:tc>
      </w:tr>
      <w:tr w:rsidR="00035A90" w:rsidRPr="00E9004B" w:rsidTr="00035A90">
        <w:trPr>
          <w:trHeight w:val="300"/>
        </w:trPr>
        <w:tc>
          <w:tcPr>
            <w:tcW w:w="6520" w:type="dxa"/>
            <w:gridSpan w:val="7"/>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val="en-US" w:eastAsia="pt-BR"/>
              </w:rPr>
            </w:pPr>
            <w:proofErr w:type="spellStart"/>
            <w:r w:rsidRPr="00035A90">
              <w:rPr>
                <w:rFonts w:ascii="Times New Roman" w:eastAsia="Times New Roman" w:hAnsi="Times New Roman" w:cs="Times New Roman"/>
                <w:color w:val="000000"/>
                <w:sz w:val="20"/>
                <w:szCs w:val="20"/>
                <w:lang w:val="en-US" w:eastAsia="pt-BR"/>
              </w:rPr>
              <w:t>Fontes</w:t>
            </w:r>
            <w:proofErr w:type="spellEnd"/>
            <w:r w:rsidRPr="00035A90">
              <w:rPr>
                <w:rFonts w:ascii="Times New Roman" w:eastAsia="Times New Roman" w:hAnsi="Times New Roman" w:cs="Times New Roman"/>
                <w:color w:val="000000"/>
                <w:sz w:val="20"/>
                <w:szCs w:val="20"/>
                <w:lang w:val="en-US" w:eastAsia="pt-BR"/>
              </w:rPr>
              <w:t>: Commodity Research Bureau, Thomson Reuters, S&amp;P GSCI e BCB</w:t>
            </w: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val="en-US" w:eastAsia="pt-BR"/>
              </w:rPr>
            </w:pPr>
          </w:p>
        </w:tc>
        <w:tc>
          <w:tcPr>
            <w:tcW w:w="948"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val="en-US" w:eastAsia="pt-BR"/>
              </w:rPr>
            </w:pPr>
          </w:p>
        </w:tc>
        <w:tc>
          <w:tcPr>
            <w:tcW w:w="972"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val="en-US" w:eastAsia="pt-BR"/>
              </w:rPr>
            </w:pPr>
          </w:p>
        </w:tc>
      </w:tr>
      <w:tr w:rsidR="00035A90" w:rsidRPr="00035A90" w:rsidTr="00035A90">
        <w:trPr>
          <w:trHeight w:val="300"/>
        </w:trPr>
        <w:tc>
          <w:tcPr>
            <w:tcW w:w="3440" w:type="dxa"/>
            <w:gridSpan w:val="2"/>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proofErr w:type="gramStart"/>
            <w:r w:rsidRPr="00035A90">
              <w:rPr>
                <w:rFonts w:ascii="Times New Roman" w:eastAsia="Times New Roman" w:hAnsi="Times New Roman" w:cs="Times New Roman"/>
                <w:color w:val="000000"/>
                <w:sz w:val="20"/>
                <w:szCs w:val="20"/>
                <w:lang w:eastAsia="pt-BR"/>
              </w:rPr>
              <w:t>¹</w:t>
            </w:r>
            <w:proofErr w:type="gramEnd"/>
            <w:r w:rsidRPr="00035A90">
              <w:rPr>
                <w:rFonts w:ascii="Times New Roman" w:eastAsia="Times New Roman" w:hAnsi="Times New Roman" w:cs="Times New Roman"/>
                <w:color w:val="000000"/>
                <w:sz w:val="20"/>
                <w:szCs w:val="20"/>
                <w:lang w:eastAsia="pt-BR"/>
              </w:rPr>
              <w:t xml:space="preserve"> Novembro/2010 ante dezembro/2009</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7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948"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972"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r>
      <w:tr w:rsidR="00035A90" w:rsidRPr="00035A90" w:rsidTr="00035A90">
        <w:trPr>
          <w:trHeight w:val="300"/>
        </w:trPr>
        <w:tc>
          <w:tcPr>
            <w:tcW w:w="286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Times New Roman" w:eastAsia="Times New Roman" w:hAnsi="Times New Roman" w:cs="Times New Roman"/>
                <w:color w:val="000000"/>
                <w:sz w:val="20"/>
                <w:szCs w:val="20"/>
                <w:lang w:eastAsia="pt-BR"/>
              </w:rPr>
            </w:pPr>
            <w:proofErr w:type="gramStart"/>
            <w:r w:rsidRPr="00035A90">
              <w:rPr>
                <w:rFonts w:ascii="Times New Roman" w:eastAsia="Times New Roman" w:hAnsi="Times New Roman" w:cs="Times New Roman"/>
                <w:color w:val="000000"/>
                <w:sz w:val="20"/>
                <w:szCs w:val="20"/>
                <w:lang w:eastAsia="pt-BR"/>
              </w:rPr>
              <w:t>²</w:t>
            </w:r>
            <w:proofErr w:type="gramEnd"/>
            <w:r w:rsidRPr="00035A90">
              <w:rPr>
                <w:rFonts w:ascii="Times New Roman" w:eastAsia="Times New Roman" w:hAnsi="Times New Roman" w:cs="Times New Roman"/>
                <w:color w:val="000000"/>
                <w:sz w:val="20"/>
                <w:szCs w:val="20"/>
                <w:lang w:eastAsia="pt-BR"/>
              </w:rPr>
              <w:t xml:space="preserve"> Até novembro/2010</w:t>
            </w: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58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7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620"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948"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c>
          <w:tcPr>
            <w:tcW w:w="972" w:type="dxa"/>
            <w:tcBorders>
              <w:top w:val="nil"/>
              <w:left w:val="nil"/>
              <w:bottom w:val="nil"/>
              <w:right w:val="nil"/>
            </w:tcBorders>
            <w:shd w:val="clear" w:color="auto" w:fill="auto"/>
            <w:noWrap/>
            <w:vAlign w:val="bottom"/>
            <w:hideMark/>
          </w:tcPr>
          <w:p w:rsidR="00035A90" w:rsidRPr="00035A90" w:rsidRDefault="00035A90" w:rsidP="00035A90">
            <w:pPr>
              <w:spacing w:line="240" w:lineRule="auto"/>
              <w:jc w:val="left"/>
              <w:rPr>
                <w:rFonts w:ascii="Calibri" w:eastAsia="Times New Roman" w:hAnsi="Calibri" w:cs="Times New Roman"/>
                <w:color w:val="000000"/>
                <w:sz w:val="20"/>
                <w:szCs w:val="20"/>
                <w:lang w:eastAsia="pt-BR"/>
              </w:rPr>
            </w:pPr>
          </w:p>
        </w:tc>
      </w:tr>
    </w:tbl>
    <w:p w:rsidR="00FF6923" w:rsidRDefault="00FF6923" w:rsidP="00C3357F">
      <w:pPr>
        <w:spacing w:after="100" w:afterAutospacing="1"/>
        <w:jc w:val="both"/>
        <w:rPr>
          <w:rFonts w:ascii="Times New Roman" w:eastAsia="Times New Roman" w:hAnsi="Times New Roman" w:cs="Times New Roman"/>
          <w:b/>
          <w:color w:val="000000"/>
          <w:sz w:val="20"/>
          <w:szCs w:val="20"/>
          <w:lang w:eastAsia="pt-BR"/>
        </w:rPr>
      </w:pPr>
    </w:p>
    <w:p w:rsidR="001E0E73" w:rsidRDefault="001E0E73" w:rsidP="001E0E73">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Com base na resposta aos impulsos resultantes do modelo, foram calculadas as estimativas de repasse de um choque nos preços da cesta de </w:t>
      </w:r>
      <w:r w:rsidRPr="008D3B18">
        <w:rPr>
          <w:rFonts w:ascii="Times New Roman" w:hAnsi="Times New Roman" w:cs="Times New Roman"/>
          <w:i/>
          <w:sz w:val="24"/>
          <w:szCs w:val="24"/>
        </w:rPr>
        <w:t>commodities</w:t>
      </w:r>
      <w:r>
        <w:rPr>
          <w:rFonts w:ascii="Times New Roman" w:hAnsi="Times New Roman" w:cs="Times New Roman"/>
          <w:sz w:val="24"/>
          <w:szCs w:val="24"/>
        </w:rPr>
        <w:t xml:space="preserve"> que compõe o </w:t>
      </w:r>
      <w:proofErr w:type="gramStart"/>
      <w:r>
        <w:rPr>
          <w:rFonts w:ascii="Times New Roman" w:hAnsi="Times New Roman" w:cs="Times New Roman"/>
          <w:sz w:val="24"/>
          <w:szCs w:val="24"/>
        </w:rPr>
        <w:t>IC-</w:t>
      </w:r>
      <w:proofErr w:type="spellStart"/>
      <w:r>
        <w:rPr>
          <w:rFonts w:ascii="Times New Roman" w:hAnsi="Times New Roman" w:cs="Times New Roman"/>
          <w:sz w:val="24"/>
          <w:szCs w:val="24"/>
        </w:rPr>
        <w:t>Br</w:t>
      </w:r>
      <w:proofErr w:type="spellEnd"/>
      <w:proofErr w:type="gramEnd"/>
      <w:r>
        <w:rPr>
          <w:rFonts w:ascii="Times New Roman" w:hAnsi="Times New Roman" w:cs="Times New Roman"/>
          <w:sz w:val="24"/>
          <w:szCs w:val="24"/>
        </w:rPr>
        <w:t xml:space="preserve"> para o IPCA. Os Gráficos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e 4 mostram os resultados obtidos, considerando a evolução do repasse mês a mês de um choque nos preços ocorridos em t</w:t>
      </w:r>
      <w:r w:rsidRPr="001E0E73">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(Gráfico 3) e o repasse acumulado (Gráfico 4).</w:t>
      </w:r>
    </w:p>
    <w:p w:rsidR="001E0E73" w:rsidRPr="001E0E73" w:rsidRDefault="001E0E73" w:rsidP="001E0E73">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Os exercícios indicam que o repasse de um choque no </w:t>
      </w:r>
      <w:proofErr w:type="gramStart"/>
      <w:r>
        <w:rPr>
          <w:rFonts w:ascii="Times New Roman" w:hAnsi="Times New Roman" w:cs="Times New Roman"/>
          <w:sz w:val="24"/>
          <w:szCs w:val="24"/>
        </w:rPr>
        <w:t>IC-</w:t>
      </w:r>
      <w:proofErr w:type="spellStart"/>
      <w:r>
        <w:rPr>
          <w:rFonts w:ascii="Times New Roman" w:hAnsi="Times New Roman" w:cs="Times New Roman"/>
          <w:sz w:val="24"/>
          <w:szCs w:val="24"/>
        </w:rPr>
        <w:t>Br</w:t>
      </w:r>
      <w:proofErr w:type="spellEnd"/>
      <w:proofErr w:type="gramEnd"/>
      <w:r>
        <w:rPr>
          <w:rFonts w:ascii="Times New Roman" w:hAnsi="Times New Roman" w:cs="Times New Roman"/>
          <w:sz w:val="24"/>
          <w:szCs w:val="24"/>
        </w:rPr>
        <w:t xml:space="preserve"> para o IPCA inicia logo no primeiro mês em que os preços médios da cesta se elevam, atinge o pico no mês seguinte e torna-se praticamente nulo a partir do quinto mês. Com base na estimativa de repasse, também foi possível calcular a variação do IPCA com a exclusão dos efeitos</w:t>
      </w:r>
      <w:r w:rsidR="004226BC">
        <w:rPr>
          <w:rFonts w:ascii="Times New Roman" w:hAnsi="Times New Roman" w:cs="Times New Roman"/>
          <w:sz w:val="24"/>
          <w:szCs w:val="24"/>
        </w:rPr>
        <w:t xml:space="preserve"> totais ou parciais da variação do </w:t>
      </w:r>
      <w:proofErr w:type="gramStart"/>
      <w:r w:rsidR="004226BC">
        <w:rPr>
          <w:rFonts w:ascii="Times New Roman" w:hAnsi="Times New Roman" w:cs="Times New Roman"/>
          <w:sz w:val="24"/>
          <w:szCs w:val="24"/>
        </w:rPr>
        <w:t>IC-Br</w:t>
      </w:r>
      <w:proofErr w:type="gramEnd"/>
      <w:r w:rsidR="004226BC">
        <w:rPr>
          <w:rFonts w:ascii="Times New Roman" w:hAnsi="Times New Roman" w:cs="Times New Roman"/>
          <w:sz w:val="24"/>
          <w:szCs w:val="24"/>
        </w:rPr>
        <w:t xml:space="preserve">. Ressalte-se que a exclusão tende a captar parte significativa dos efeitos </w:t>
      </w:r>
      <w:r w:rsidR="004226BC">
        <w:rPr>
          <w:rFonts w:ascii="Times New Roman" w:hAnsi="Times New Roman" w:cs="Times New Roman"/>
          <w:sz w:val="24"/>
          <w:szCs w:val="24"/>
        </w:rPr>
        <w:lastRenderedPageBreak/>
        <w:t xml:space="preserve">de segunda ordem de choques nos preços das </w:t>
      </w:r>
      <w:r w:rsidR="004226BC" w:rsidRPr="003B52FA">
        <w:rPr>
          <w:rFonts w:ascii="Times New Roman" w:hAnsi="Times New Roman" w:cs="Times New Roman"/>
          <w:i/>
          <w:sz w:val="24"/>
          <w:szCs w:val="24"/>
        </w:rPr>
        <w:t>commodities</w:t>
      </w:r>
      <w:r w:rsidR="004226BC">
        <w:rPr>
          <w:rFonts w:ascii="Times New Roman" w:hAnsi="Times New Roman" w:cs="Times New Roman"/>
          <w:sz w:val="24"/>
          <w:szCs w:val="24"/>
        </w:rPr>
        <w:t>, não se tratando, portanto, de simples retirada de componentes como usualmente feito no calculo de medidas de núcleo de inflação.</w:t>
      </w:r>
    </w:p>
    <w:p w:rsidR="004226BC" w:rsidRDefault="004226BC" w:rsidP="001D05DB">
      <w:pPr>
        <w:spacing w:line="240" w:lineRule="auto"/>
        <w:jc w:val="both"/>
        <w:rPr>
          <w:rFonts w:ascii="Times New Roman" w:eastAsia="Times New Roman" w:hAnsi="Times New Roman" w:cs="Times New Roman"/>
          <w:b/>
          <w:color w:val="000000"/>
          <w:sz w:val="20"/>
          <w:szCs w:val="20"/>
          <w:lang w:eastAsia="pt-BR"/>
        </w:rPr>
      </w:pPr>
    </w:p>
    <w:p w:rsidR="001D05DB" w:rsidRDefault="001D05DB" w:rsidP="001D05DB">
      <w:pPr>
        <w:spacing w:line="240" w:lineRule="auto"/>
        <w:jc w:val="both"/>
        <w:rPr>
          <w:rFonts w:ascii="Times New Roman" w:eastAsia="Times New Roman" w:hAnsi="Times New Roman" w:cs="Times New Roman"/>
          <w:b/>
          <w:color w:val="000000"/>
          <w:sz w:val="20"/>
          <w:szCs w:val="20"/>
          <w:lang w:eastAsia="pt-BR"/>
        </w:rPr>
      </w:pPr>
      <w:r>
        <w:rPr>
          <w:rFonts w:ascii="Times New Roman" w:eastAsia="Times New Roman" w:hAnsi="Times New Roman" w:cs="Times New Roman"/>
          <w:b/>
          <w:color w:val="000000"/>
          <w:sz w:val="20"/>
          <w:szCs w:val="20"/>
          <w:lang w:eastAsia="pt-BR"/>
        </w:rPr>
        <w:t xml:space="preserve">Gráfico 3 – Repasse do </w:t>
      </w:r>
      <w:proofErr w:type="gramStart"/>
      <w:r>
        <w:rPr>
          <w:rFonts w:ascii="Times New Roman" w:eastAsia="Times New Roman" w:hAnsi="Times New Roman" w:cs="Times New Roman"/>
          <w:b/>
          <w:color w:val="000000"/>
          <w:sz w:val="20"/>
          <w:szCs w:val="20"/>
          <w:lang w:eastAsia="pt-BR"/>
        </w:rPr>
        <w:t>IC-</w:t>
      </w:r>
      <w:proofErr w:type="spellStart"/>
      <w:r>
        <w:rPr>
          <w:rFonts w:ascii="Times New Roman" w:eastAsia="Times New Roman" w:hAnsi="Times New Roman" w:cs="Times New Roman"/>
          <w:b/>
          <w:color w:val="000000"/>
          <w:sz w:val="20"/>
          <w:szCs w:val="20"/>
          <w:lang w:eastAsia="pt-BR"/>
        </w:rPr>
        <w:t>Br</w:t>
      </w:r>
      <w:proofErr w:type="spellEnd"/>
      <w:proofErr w:type="gramEnd"/>
      <w:r>
        <w:rPr>
          <w:rFonts w:ascii="Times New Roman" w:eastAsia="Times New Roman" w:hAnsi="Times New Roman" w:cs="Times New Roman"/>
          <w:b/>
          <w:color w:val="000000"/>
          <w:sz w:val="20"/>
          <w:szCs w:val="20"/>
          <w:lang w:eastAsia="pt-BR"/>
        </w:rPr>
        <w:t xml:space="preserve"> ao IPCA</w:t>
      </w:r>
    </w:p>
    <w:p w:rsidR="001D05DB" w:rsidRDefault="001D05DB" w:rsidP="001D05DB">
      <w:pPr>
        <w:spacing w:line="240" w:lineRule="auto"/>
        <w:jc w:val="both"/>
        <w:rPr>
          <w:rFonts w:ascii="Times New Roman" w:eastAsia="Times New Roman" w:hAnsi="Times New Roman" w:cs="Times New Roman"/>
          <w:b/>
          <w:color w:val="000000"/>
          <w:sz w:val="20"/>
          <w:szCs w:val="20"/>
          <w:lang w:eastAsia="pt-BR"/>
        </w:rPr>
      </w:pPr>
    </w:p>
    <w:p w:rsidR="001D05DB" w:rsidRDefault="001D05DB" w:rsidP="001D05DB">
      <w:pPr>
        <w:spacing w:line="240" w:lineRule="auto"/>
        <w:jc w:val="both"/>
        <w:rPr>
          <w:rFonts w:ascii="Times New Roman" w:eastAsia="Times New Roman" w:hAnsi="Times New Roman" w:cs="Times New Roman"/>
          <w:b/>
          <w:color w:val="000000"/>
          <w:sz w:val="20"/>
          <w:szCs w:val="20"/>
          <w:lang w:eastAsia="pt-BR"/>
        </w:rPr>
      </w:pPr>
      <w:r>
        <w:rPr>
          <w:rFonts w:ascii="Times New Roman" w:eastAsia="Times New Roman" w:hAnsi="Times New Roman" w:cs="Times New Roman"/>
          <w:b/>
          <w:noProof/>
          <w:color w:val="000000"/>
          <w:sz w:val="20"/>
          <w:szCs w:val="20"/>
          <w:lang w:eastAsia="pt-BR"/>
        </w:rPr>
        <w:drawing>
          <wp:inline distT="0" distB="0" distL="0" distR="0">
            <wp:extent cx="3838575" cy="23050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3.jpg"/>
                    <pic:cNvPicPr/>
                  </pic:nvPicPr>
                  <pic:blipFill>
                    <a:blip r:embed="rId10">
                      <a:extLst>
                        <a:ext uri="{28A0092B-C50C-407E-A947-70E740481C1C}">
                          <a14:useLocalDpi xmlns:a14="http://schemas.microsoft.com/office/drawing/2010/main" val="0"/>
                        </a:ext>
                      </a:extLst>
                    </a:blip>
                    <a:stretch>
                      <a:fillRect/>
                    </a:stretch>
                  </pic:blipFill>
                  <pic:spPr>
                    <a:xfrm>
                      <a:off x="0" y="0"/>
                      <a:ext cx="3838575" cy="2305050"/>
                    </a:xfrm>
                    <a:prstGeom prst="rect">
                      <a:avLst/>
                    </a:prstGeom>
                  </pic:spPr>
                </pic:pic>
              </a:graphicData>
            </a:graphic>
          </wp:inline>
        </w:drawing>
      </w:r>
    </w:p>
    <w:p w:rsidR="004226BC" w:rsidRDefault="004226BC" w:rsidP="001D05DB">
      <w:pPr>
        <w:spacing w:line="240" w:lineRule="auto"/>
        <w:jc w:val="both"/>
        <w:rPr>
          <w:rFonts w:ascii="Times New Roman" w:eastAsia="Times New Roman" w:hAnsi="Times New Roman" w:cs="Times New Roman"/>
          <w:b/>
          <w:color w:val="000000"/>
          <w:sz w:val="20"/>
          <w:szCs w:val="20"/>
          <w:lang w:eastAsia="pt-BR"/>
        </w:rPr>
      </w:pPr>
    </w:p>
    <w:p w:rsidR="004226BC" w:rsidRDefault="004226BC" w:rsidP="001D05DB">
      <w:pPr>
        <w:spacing w:line="240" w:lineRule="auto"/>
        <w:jc w:val="both"/>
        <w:rPr>
          <w:rFonts w:ascii="Times New Roman" w:eastAsia="Times New Roman" w:hAnsi="Times New Roman" w:cs="Times New Roman"/>
          <w:b/>
          <w:color w:val="000000"/>
          <w:sz w:val="20"/>
          <w:szCs w:val="20"/>
          <w:lang w:eastAsia="pt-BR"/>
        </w:rPr>
      </w:pPr>
    </w:p>
    <w:p w:rsidR="001D05DB" w:rsidRDefault="001D05DB" w:rsidP="001D05DB">
      <w:pPr>
        <w:spacing w:line="240" w:lineRule="auto"/>
        <w:jc w:val="both"/>
        <w:rPr>
          <w:rFonts w:ascii="Times New Roman" w:eastAsia="Times New Roman" w:hAnsi="Times New Roman" w:cs="Times New Roman"/>
          <w:b/>
          <w:color w:val="000000"/>
          <w:sz w:val="20"/>
          <w:szCs w:val="20"/>
          <w:lang w:eastAsia="pt-BR"/>
        </w:rPr>
      </w:pPr>
      <w:r>
        <w:rPr>
          <w:rFonts w:ascii="Times New Roman" w:eastAsia="Times New Roman" w:hAnsi="Times New Roman" w:cs="Times New Roman"/>
          <w:b/>
          <w:color w:val="000000"/>
          <w:sz w:val="20"/>
          <w:szCs w:val="20"/>
          <w:lang w:eastAsia="pt-BR"/>
        </w:rPr>
        <w:t xml:space="preserve">Gráfico 4 – Repasse do </w:t>
      </w:r>
      <w:proofErr w:type="gramStart"/>
      <w:r>
        <w:rPr>
          <w:rFonts w:ascii="Times New Roman" w:eastAsia="Times New Roman" w:hAnsi="Times New Roman" w:cs="Times New Roman"/>
          <w:b/>
          <w:color w:val="000000"/>
          <w:sz w:val="20"/>
          <w:szCs w:val="20"/>
          <w:lang w:eastAsia="pt-BR"/>
        </w:rPr>
        <w:t>IC-</w:t>
      </w:r>
      <w:proofErr w:type="spellStart"/>
      <w:r>
        <w:rPr>
          <w:rFonts w:ascii="Times New Roman" w:eastAsia="Times New Roman" w:hAnsi="Times New Roman" w:cs="Times New Roman"/>
          <w:b/>
          <w:color w:val="000000"/>
          <w:sz w:val="20"/>
          <w:szCs w:val="20"/>
          <w:lang w:eastAsia="pt-BR"/>
        </w:rPr>
        <w:t>Br</w:t>
      </w:r>
      <w:proofErr w:type="spellEnd"/>
      <w:proofErr w:type="gramEnd"/>
      <w:r>
        <w:rPr>
          <w:rFonts w:ascii="Times New Roman" w:eastAsia="Times New Roman" w:hAnsi="Times New Roman" w:cs="Times New Roman"/>
          <w:b/>
          <w:color w:val="000000"/>
          <w:sz w:val="20"/>
          <w:szCs w:val="20"/>
          <w:lang w:eastAsia="pt-BR"/>
        </w:rPr>
        <w:t xml:space="preserve"> ao IPCA (acumulado)</w:t>
      </w:r>
    </w:p>
    <w:p w:rsidR="001D05DB" w:rsidRDefault="001D05DB" w:rsidP="001D05DB">
      <w:pPr>
        <w:spacing w:line="240" w:lineRule="auto"/>
        <w:jc w:val="both"/>
        <w:rPr>
          <w:rFonts w:ascii="Times New Roman" w:eastAsia="Times New Roman" w:hAnsi="Times New Roman" w:cs="Times New Roman"/>
          <w:b/>
          <w:color w:val="000000"/>
          <w:sz w:val="20"/>
          <w:szCs w:val="20"/>
          <w:lang w:eastAsia="pt-BR"/>
        </w:rPr>
      </w:pPr>
    </w:p>
    <w:p w:rsidR="001D05DB" w:rsidRDefault="001D05DB" w:rsidP="001D05DB">
      <w:pPr>
        <w:spacing w:line="240" w:lineRule="auto"/>
        <w:jc w:val="both"/>
        <w:rPr>
          <w:rFonts w:ascii="Times New Roman" w:eastAsia="Times New Roman" w:hAnsi="Times New Roman" w:cs="Times New Roman"/>
          <w:b/>
          <w:color w:val="000000"/>
          <w:sz w:val="20"/>
          <w:szCs w:val="20"/>
          <w:lang w:eastAsia="pt-BR"/>
        </w:rPr>
      </w:pPr>
      <w:r>
        <w:rPr>
          <w:rFonts w:ascii="Times New Roman" w:eastAsia="Times New Roman" w:hAnsi="Times New Roman" w:cs="Times New Roman"/>
          <w:b/>
          <w:noProof/>
          <w:color w:val="000000"/>
          <w:sz w:val="20"/>
          <w:szCs w:val="20"/>
          <w:lang w:eastAsia="pt-BR"/>
        </w:rPr>
        <w:drawing>
          <wp:inline distT="0" distB="0" distL="0" distR="0">
            <wp:extent cx="3790950" cy="23241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4.jpg"/>
                    <pic:cNvPicPr/>
                  </pic:nvPicPr>
                  <pic:blipFill>
                    <a:blip r:embed="rId11">
                      <a:extLst>
                        <a:ext uri="{28A0092B-C50C-407E-A947-70E740481C1C}">
                          <a14:useLocalDpi xmlns:a14="http://schemas.microsoft.com/office/drawing/2010/main" val="0"/>
                        </a:ext>
                      </a:extLst>
                    </a:blip>
                    <a:stretch>
                      <a:fillRect/>
                    </a:stretch>
                  </pic:blipFill>
                  <pic:spPr>
                    <a:xfrm>
                      <a:off x="0" y="0"/>
                      <a:ext cx="3790950" cy="2324100"/>
                    </a:xfrm>
                    <a:prstGeom prst="rect">
                      <a:avLst/>
                    </a:prstGeom>
                  </pic:spPr>
                </pic:pic>
              </a:graphicData>
            </a:graphic>
          </wp:inline>
        </w:drawing>
      </w:r>
    </w:p>
    <w:p w:rsidR="004226BC" w:rsidRDefault="004226BC" w:rsidP="001D05DB">
      <w:pPr>
        <w:spacing w:line="240" w:lineRule="auto"/>
        <w:jc w:val="both"/>
        <w:rPr>
          <w:rFonts w:ascii="Times New Roman" w:eastAsia="Times New Roman" w:hAnsi="Times New Roman" w:cs="Times New Roman"/>
          <w:b/>
          <w:color w:val="000000"/>
          <w:sz w:val="20"/>
          <w:szCs w:val="20"/>
          <w:lang w:eastAsia="pt-BR"/>
        </w:rPr>
      </w:pPr>
    </w:p>
    <w:p w:rsidR="004226BC" w:rsidRDefault="004226BC" w:rsidP="001D05DB">
      <w:pPr>
        <w:spacing w:line="240" w:lineRule="auto"/>
        <w:jc w:val="both"/>
        <w:rPr>
          <w:rFonts w:ascii="Times New Roman" w:eastAsia="Times New Roman" w:hAnsi="Times New Roman" w:cs="Times New Roman"/>
          <w:b/>
          <w:color w:val="000000"/>
          <w:sz w:val="20"/>
          <w:szCs w:val="20"/>
          <w:lang w:eastAsia="pt-BR"/>
        </w:rPr>
      </w:pPr>
    </w:p>
    <w:p w:rsidR="004226BC" w:rsidRDefault="004226BC" w:rsidP="001D05DB">
      <w:pPr>
        <w:spacing w:line="240" w:lineRule="auto"/>
        <w:jc w:val="both"/>
        <w:rPr>
          <w:rFonts w:ascii="Times New Roman" w:eastAsia="Times New Roman" w:hAnsi="Times New Roman" w:cs="Times New Roman"/>
          <w:b/>
          <w:color w:val="000000"/>
          <w:sz w:val="20"/>
          <w:szCs w:val="20"/>
          <w:lang w:eastAsia="pt-BR"/>
        </w:rPr>
      </w:pPr>
    </w:p>
    <w:p w:rsidR="004226BC" w:rsidRDefault="004226BC" w:rsidP="004226BC">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A evolução recente da inflação plena, bem como da variação do IPCA exclusive efeitos estimados da variação do </w:t>
      </w:r>
      <w:proofErr w:type="spellStart"/>
      <w:r>
        <w:rPr>
          <w:rFonts w:ascii="Times New Roman" w:hAnsi="Times New Roman" w:cs="Times New Roman"/>
          <w:sz w:val="24"/>
          <w:szCs w:val="24"/>
        </w:rPr>
        <w:t>subíndice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IC-</w:t>
      </w:r>
      <w:proofErr w:type="spellStart"/>
      <w:r>
        <w:rPr>
          <w:rFonts w:ascii="Times New Roman" w:hAnsi="Times New Roman" w:cs="Times New Roman"/>
          <w:sz w:val="24"/>
          <w:szCs w:val="24"/>
        </w:rPr>
        <w:t>Br</w:t>
      </w:r>
      <w:proofErr w:type="spellEnd"/>
      <w:proofErr w:type="gramEnd"/>
      <w:r>
        <w:rPr>
          <w:rFonts w:ascii="Times New Roman" w:hAnsi="Times New Roman" w:cs="Times New Roman"/>
          <w:sz w:val="24"/>
          <w:szCs w:val="24"/>
        </w:rPr>
        <w:t xml:space="preserve"> Agropecuária e deste somado ao IC-</w:t>
      </w:r>
      <w:proofErr w:type="spellStart"/>
      <w:r>
        <w:rPr>
          <w:rFonts w:ascii="Times New Roman" w:hAnsi="Times New Roman" w:cs="Times New Roman"/>
          <w:sz w:val="24"/>
          <w:szCs w:val="24"/>
        </w:rPr>
        <w:t>Br</w:t>
      </w:r>
      <w:proofErr w:type="spellEnd"/>
      <w:r>
        <w:rPr>
          <w:rFonts w:ascii="Times New Roman" w:hAnsi="Times New Roman" w:cs="Times New Roman"/>
          <w:sz w:val="24"/>
          <w:szCs w:val="24"/>
        </w:rPr>
        <w:t xml:space="preserve"> Energia, constam no Gráfico 5. </w:t>
      </w:r>
      <w:r w:rsidR="00806F22">
        <w:rPr>
          <w:rFonts w:ascii="Times New Roman" w:hAnsi="Times New Roman" w:cs="Times New Roman"/>
          <w:sz w:val="24"/>
          <w:szCs w:val="24"/>
        </w:rPr>
        <w:t xml:space="preserve">É possível notar no gráfico que, após registrarem variações semelhantes às do IPCA no decorrer de 2007, as medidas de exclusão apresentaram variação menor em 2008, quando se observou crescimento elevado dos preços das </w:t>
      </w:r>
      <w:r w:rsidR="00806F22" w:rsidRPr="00806F22">
        <w:rPr>
          <w:rFonts w:ascii="Times New Roman" w:hAnsi="Times New Roman" w:cs="Times New Roman"/>
          <w:i/>
          <w:sz w:val="24"/>
          <w:szCs w:val="24"/>
        </w:rPr>
        <w:t>commodities</w:t>
      </w:r>
      <w:r w:rsidR="00806F22">
        <w:rPr>
          <w:rFonts w:ascii="Times New Roman" w:hAnsi="Times New Roman" w:cs="Times New Roman"/>
          <w:sz w:val="24"/>
          <w:szCs w:val="24"/>
        </w:rPr>
        <w:t xml:space="preserve"> nos mercados internacionais. A retração nesses preços, que sucedeu a intensificação da crise mundial, está evidenciada no terceiro período, encerrado em meados de 2010, quando a </w:t>
      </w:r>
      <w:r w:rsidR="00806F22">
        <w:rPr>
          <w:rFonts w:ascii="Times New Roman" w:hAnsi="Times New Roman" w:cs="Times New Roman"/>
          <w:sz w:val="24"/>
          <w:szCs w:val="24"/>
        </w:rPr>
        <w:lastRenderedPageBreak/>
        <w:t xml:space="preserve">variação das medidas de exclusão situa-se em patamar superior à do IPCA. Um quarto período, iniciado no segundo semestre de 2010, registra variação do IPCA mais acentuada do que a das medidas de exclusão, trajetória consistente com a elevação, no mercado internacional, das cotações das principais </w:t>
      </w:r>
      <w:r w:rsidR="00806F22" w:rsidRPr="00806F22">
        <w:rPr>
          <w:rFonts w:ascii="Times New Roman" w:hAnsi="Times New Roman" w:cs="Times New Roman"/>
          <w:i/>
          <w:sz w:val="24"/>
          <w:szCs w:val="24"/>
        </w:rPr>
        <w:t>commodities</w:t>
      </w:r>
      <w:r w:rsidR="00806F22">
        <w:rPr>
          <w:rFonts w:ascii="Times New Roman" w:hAnsi="Times New Roman" w:cs="Times New Roman"/>
          <w:sz w:val="24"/>
          <w:szCs w:val="24"/>
        </w:rPr>
        <w:t xml:space="preserve"> agrícolas e metálicas. </w:t>
      </w:r>
    </w:p>
    <w:p w:rsidR="004226BC" w:rsidRDefault="004226BC" w:rsidP="001D05DB">
      <w:pPr>
        <w:spacing w:line="240" w:lineRule="auto"/>
        <w:jc w:val="both"/>
        <w:rPr>
          <w:rFonts w:ascii="Times New Roman" w:eastAsia="Times New Roman" w:hAnsi="Times New Roman" w:cs="Times New Roman"/>
          <w:b/>
          <w:color w:val="000000"/>
          <w:sz w:val="20"/>
          <w:szCs w:val="20"/>
          <w:lang w:eastAsia="pt-BR"/>
        </w:rPr>
      </w:pPr>
    </w:p>
    <w:p w:rsidR="001D05DB" w:rsidRDefault="001D05DB" w:rsidP="001D05DB">
      <w:pPr>
        <w:spacing w:line="240" w:lineRule="auto"/>
        <w:jc w:val="both"/>
        <w:rPr>
          <w:rFonts w:ascii="Times New Roman" w:eastAsia="Times New Roman" w:hAnsi="Times New Roman" w:cs="Times New Roman"/>
          <w:b/>
          <w:i/>
          <w:color w:val="000000"/>
          <w:sz w:val="20"/>
          <w:szCs w:val="20"/>
          <w:lang w:eastAsia="pt-BR"/>
        </w:rPr>
      </w:pPr>
      <w:r>
        <w:rPr>
          <w:rFonts w:ascii="Times New Roman" w:eastAsia="Times New Roman" w:hAnsi="Times New Roman" w:cs="Times New Roman"/>
          <w:b/>
          <w:color w:val="000000"/>
          <w:sz w:val="20"/>
          <w:szCs w:val="20"/>
          <w:lang w:eastAsia="pt-BR"/>
        </w:rPr>
        <w:t xml:space="preserve">Gráfico 5 – IPCA </w:t>
      </w:r>
      <w:proofErr w:type="spellStart"/>
      <w:r>
        <w:rPr>
          <w:rFonts w:ascii="Times New Roman" w:eastAsia="Times New Roman" w:hAnsi="Times New Roman" w:cs="Times New Roman"/>
          <w:b/>
          <w:color w:val="000000"/>
          <w:sz w:val="20"/>
          <w:szCs w:val="20"/>
          <w:lang w:eastAsia="pt-BR"/>
        </w:rPr>
        <w:t>ex-</w:t>
      </w:r>
      <w:r w:rsidRPr="001D05DB">
        <w:rPr>
          <w:rFonts w:ascii="Times New Roman" w:eastAsia="Times New Roman" w:hAnsi="Times New Roman" w:cs="Times New Roman"/>
          <w:b/>
          <w:i/>
          <w:color w:val="000000"/>
          <w:sz w:val="20"/>
          <w:szCs w:val="20"/>
          <w:lang w:eastAsia="pt-BR"/>
        </w:rPr>
        <w:t>commodities</w:t>
      </w:r>
      <w:proofErr w:type="spellEnd"/>
    </w:p>
    <w:p w:rsidR="001D05DB" w:rsidRDefault="001D05DB" w:rsidP="001D05DB">
      <w:pPr>
        <w:spacing w:line="240" w:lineRule="auto"/>
        <w:jc w:val="both"/>
        <w:rPr>
          <w:rFonts w:ascii="Times New Roman" w:eastAsia="Times New Roman" w:hAnsi="Times New Roman" w:cs="Times New Roman"/>
          <w:b/>
          <w:i/>
          <w:color w:val="000000"/>
          <w:sz w:val="20"/>
          <w:szCs w:val="20"/>
          <w:lang w:eastAsia="pt-BR"/>
        </w:rPr>
      </w:pPr>
    </w:p>
    <w:p w:rsidR="001D05DB" w:rsidRDefault="001D05DB" w:rsidP="001D05DB">
      <w:pPr>
        <w:spacing w:line="240" w:lineRule="auto"/>
        <w:jc w:val="both"/>
        <w:rPr>
          <w:rFonts w:ascii="Times New Roman" w:eastAsia="Times New Roman" w:hAnsi="Times New Roman" w:cs="Times New Roman"/>
          <w:b/>
          <w:color w:val="000000"/>
          <w:sz w:val="20"/>
          <w:szCs w:val="20"/>
          <w:lang w:eastAsia="pt-BR"/>
        </w:rPr>
      </w:pPr>
      <w:r>
        <w:rPr>
          <w:rFonts w:ascii="Times New Roman" w:eastAsia="Times New Roman" w:hAnsi="Times New Roman" w:cs="Times New Roman"/>
          <w:b/>
          <w:noProof/>
          <w:color w:val="000000"/>
          <w:sz w:val="20"/>
          <w:szCs w:val="20"/>
          <w:lang w:eastAsia="pt-BR"/>
        </w:rPr>
        <w:drawing>
          <wp:inline distT="0" distB="0" distL="0" distR="0" wp14:anchorId="4C7AA00E" wp14:editId="175B0E22">
            <wp:extent cx="3638550" cy="22669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5.jpg"/>
                    <pic:cNvPicPr/>
                  </pic:nvPicPr>
                  <pic:blipFill>
                    <a:blip r:embed="rId12">
                      <a:extLst>
                        <a:ext uri="{28A0092B-C50C-407E-A947-70E740481C1C}">
                          <a14:useLocalDpi xmlns:a14="http://schemas.microsoft.com/office/drawing/2010/main" val="0"/>
                        </a:ext>
                      </a:extLst>
                    </a:blip>
                    <a:stretch>
                      <a:fillRect/>
                    </a:stretch>
                  </pic:blipFill>
                  <pic:spPr>
                    <a:xfrm>
                      <a:off x="0" y="0"/>
                      <a:ext cx="3638550" cy="2266950"/>
                    </a:xfrm>
                    <a:prstGeom prst="rect">
                      <a:avLst/>
                    </a:prstGeom>
                  </pic:spPr>
                </pic:pic>
              </a:graphicData>
            </a:graphic>
          </wp:inline>
        </w:drawing>
      </w:r>
    </w:p>
    <w:p w:rsidR="001D05DB" w:rsidRDefault="001D05DB" w:rsidP="00C3357F">
      <w:pPr>
        <w:spacing w:after="100" w:afterAutospacing="1"/>
        <w:jc w:val="both"/>
        <w:rPr>
          <w:rFonts w:ascii="Times New Roman" w:hAnsi="Times New Roman" w:cs="Times New Roman"/>
          <w:b/>
          <w:sz w:val="24"/>
          <w:szCs w:val="24"/>
        </w:rPr>
      </w:pPr>
    </w:p>
    <w:p w:rsidR="00592ECF" w:rsidRDefault="00592ECF" w:rsidP="00395163">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Vale ressaltar que a expressiva alta dos preços das </w:t>
      </w:r>
      <w:r w:rsidRPr="00036C6E">
        <w:rPr>
          <w:rFonts w:ascii="Times New Roman" w:hAnsi="Times New Roman" w:cs="Times New Roman"/>
          <w:i/>
          <w:sz w:val="24"/>
          <w:szCs w:val="24"/>
        </w:rPr>
        <w:t>commodities</w:t>
      </w:r>
      <w:r>
        <w:rPr>
          <w:rFonts w:ascii="Times New Roman" w:hAnsi="Times New Roman" w:cs="Times New Roman"/>
          <w:sz w:val="24"/>
          <w:szCs w:val="24"/>
        </w:rPr>
        <w:t xml:space="preserve"> agropecuárias e energéticas ao final de 2010 e principio de 2011 esteve relacionada, em especial, a choques de oferta de curto prazo. No âmbito das </w:t>
      </w:r>
      <w:r w:rsidRPr="00036C6E">
        <w:rPr>
          <w:rFonts w:ascii="Times New Roman" w:hAnsi="Times New Roman" w:cs="Times New Roman"/>
          <w:i/>
          <w:sz w:val="24"/>
          <w:szCs w:val="24"/>
        </w:rPr>
        <w:t>commodities</w:t>
      </w:r>
      <w:r>
        <w:rPr>
          <w:rFonts w:ascii="Times New Roman" w:hAnsi="Times New Roman" w:cs="Times New Roman"/>
          <w:sz w:val="24"/>
          <w:szCs w:val="24"/>
        </w:rPr>
        <w:t xml:space="preserve"> agropecuárias, a oferta mundial de diversos produtos foi impactada por eventos climáticos adversos</w:t>
      </w:r>
      <w:r>
        <w:rPr>
          <w:rStyle w:val="Refdenotaderodap"/>
          <w:rFonts w:ascii="Times New Roman" w:hAnsi="Times New Roman" w:cs="Times New Roman"/>
          <w:sz w:val="24"/>
          <w:szCs w:val="24"/>
        </w:rPr>
        <w:footnoteReference w:id="2"/>
      </w:r>
      <w:r>
        <w:rPr>
          <w:rFonts w:ascii="Times New Roman" w:hAnsi="Times New Roman" w:cs="Times New Roman"/>
          <w:sz w:val="24"/>
          <w:szCs w:val="24"/>
        </w:rPr>
        <w:t>, enquanto a oferta de petróleo foi afetada pela interrupção do fornecimento pela Líbia, no contexto das tensões geopolíticas no norte da África e no Oriente Médio. Esse processo</w:t>
      </w:r>
      <w:proofErr w:type="gramStart"/>
      <w:r>
        <w:rPr>
          <w:rFonts w:ascii="Times New Roman" w:hAnsi="Times New Roman" w:cs="Times New Roman"/>
          <w:sz w:val="24"/>
          <w:szCs w:val="24"/>
        </w:rPr>
        <w:t>, repercutiu</w:t>
      </w:r>
      <w:proofErr w:type="gramEnd"/>
      <w:r>
        <w:rPr>
          <w:rFonts w:ascii="Times New Roman" w:hAnsi="Times New Roman" w:cs="Times New Roman"/>
          <w:sz w:val="24"/>
          <w:szCs w:val="24"/>
        </w:rPr>
        <w:t xml:space="preserve"> rapidamente na dinâmica dos preços ao consumidor, de modo que a inflação medida pela variação do IPCA atingiu 5,91% em dezembro de 2010, ante 4,31% no ano anterior, conforme ilustra o Gráfico 6 e a Tabela 2.</w:t>
      </w:r>
    </w:p>
    <w:p w:rsidR="00E80C0F" w:rsidRDefault="00E80C0F" w:rsidP="00F358EB">
      <w:pPr>
        <w:spacing w:line="240" w:lineRule="auto"/>
        <w:jc w:val="both"/>
        <w:rPr>
          <w:rFonts w:ascii="Times New Roman" w:eastAsia="Times New Roman" w:hAnsi="Times New Roman" w:cs="Times New Roman"/>
          <w:b/>
          <w:color w:val="000000"/>
          <w:sz w:val="20"/>
          <w:szCs w:val="20"/>
          <w:lang w:eastAsia="pt-BR"/>
        </w:rPr>
      </w:pPr>
    </w:p>
    <w:p w:rsidR="00E80C0F" w:rsidRDefault="00E80C0F" w:rsidP="00F358EB">
      <w:pPr>
        <w:spacing w:line="240" w:lineRule="auto"/>
        <w:jc w:val="both"/>
        <w:rPr>
          <w:rFonts w:ascii="Times New Roman" w:eastAsia="Times New Roman" w:hAnsi="Times New Roman" w:cs="Times New Roman"/>
          <w:b/>
          <w:color w:val="000000"/>
          <w:sz w:val="20"/>
          <w:szCs w:val="20"/>
          <w:lang w:eastAsia="pt-BR"/>
        </w:rPr>
      </w:pPr>
    </w:p>
    <w:p w:rsidR="00E80C0F" w:rsidRDefault="00E80C0F" w:rsidP="00F358EB">
      <w:pPr>
        <w:spacing w:line="240" w:lineRule="auto"/>
        <w:jc w:val="both"/>
        <w:rPr>
          <w:rFonts w:ascii="Times New Roman" w:eastAsia="Times New Roman" w:hAnsi="Times New Roman" w:cs="Times New Roman"/>
          <w:b/>
          <w:color w:val="000000"/>
          <w:sz w:val="20"/>
          <w:szCs w:val="20"/>
          <w:lang w:eastAsia="pt-BR"/>
        </w:rPr>
      </w:pPr>
    </w:p>
    <w:p w:rsidR="00E80C0F" w:rsidRDefault="00E80C0F" w:rsidP="00F358EB">
      <w:pPr>
        <w:spacing w:line="240" w:lineRule="auto"/>
        <w:jc w:val="both"/>
        <w:rPr>
          <w:rFonts w:ascii="Times New Roman" w:eastAsia="Times New Roman" w:hAnsi="Times New Roman" w:cs="Times New Roman"/>
          <w:b/>
          <w:color w:val="000000"/>
          <w:sz w:val="20"/>
          <w:szCs w:val="20"/>
          <w:lang w:eastAsia="pt-BR"/>
        </w:rPr>
      </w:pPr>
    </w:p>
    <w:p w:rsidR="00E80C0F" w:rsidRDefault="00E80C0F" w:rsidP="00F358EB">
      <w:pPr>
        <w:spacing w:line="240" w:lineRule="auto"/>
        <w:jc w:val="both"/>
        <w:rPr>
          <w:rFonts w:ascii="Times New Roman" w:eastAsia="Times New Roman" w:hAnsi="Times New Roman" w:cs="Times New Roman"/>
          <w:b/>
          <w:color w:val="000000"/>
          <w:sz w:val="20"/>
          <w:szCs w:val="20"/>
          <w:lang w:eastAsia="pt-BR"/>
        </w:rPr>
      </w:pPr>
    </w:p>
    <w:p w:rsidR="00E80C0F" w:rsidRDefault="00E80C0F" w:rsidP="00F358EB">
      <w:pPr>
        <w:spacing w:line="240" w:lineRule="auto"/>
        <w:jc w:val="both"/>
        <w:rPr>
          <w:rFonts w:ascii="Times New Roman" w:eastAsia="Times New Roman" w:hAnsi="Times New Roman" w:cs="Times New Roman"/>
          <w:b/>
          <w:color w:val="000000"/>
          <w:sz w:val="20"/>
          <w:szCs w:val="20"/>
          <w:lang w:eastAsia="pt-BR"/>
        </w:rPr>
      </w:pPr>
    </w:p>
    <w:p w:rsidR="00E80C0F" w:rsidRDefault="00E80C0F" w:rsidP="00F358EB">
      <w:pPr>
        <w:spacing w:line="240" w:lineRule="auto"/>
        <w:jc w:val="both"/>
        <w:rPr>
          <w:rFonts w:ascii="Times New Roman" w:eastAsia="Times New Roman" w:hAnsi="Times New Roman" w:cs="Times New Roman"/>
          <w:b/>
          <w:color w:val="000000"/>
          <w:sz w:val="20"/>
          <w:szCs w:val="20"/>
          <w:lang w:eastAsia="pt-BR"/>
        </w:rPr>
      </w:pPr>
    </w:p>
    <w:p w:rsidR="00E80C0F" w:rsidRDefault="00E80C0F" w:rsidP="00F358EB">
      <w:pPr>
        <w:spacing w:line="240" w:lineRule="auto"/>
        <w:jc w:val="both"/>
        <w:rPr>
          <w:rFonts w:ascii="Times New Roman" w:eastAsia="Times New Roman" w:hAnsi="Times New Roman" w:cs="Times New Roman"/>
          <w:b/>
          <w:color w:val="000000"/>
          <w:sz w:val="20"/>
          <w:szCs w:val="20"/>
          <w:lang w:eastAsia="pt-BR"/>
        </w:rPr>
      </w:pPr>
    </w:p>
    <w:p w:rsidR="00E80C0F" w:rsidRDefault="00E80C0F" w:rsidP="00F358EB">
      <w:pPr>
        <w:spacing w:line="240" w:lineRule="auto"/>
        <w:jc w:val="both"/>
        <w:rPr>
          <w:rFonts w:ascii="Times New Roman" w:eastAsia="Times New Roman" w:hAnsi="Times New Roman" w:cs="Times New Roman"/>
          <w:b/>
          <w:color w:val="000000"/>
          <w:sz w:val="20"/>
          <w:szCs w:val="20"/>
          <w:lang w:eastAsia="pt-BR"/>
        </w:rPr>
      </w:pPr>
    </w:p>
    <w:p w:rsidR="00F358EB" w:rsidRDefault="00F358EB" w:rsidP="00F358EB">
      <w:pPr>
        <w:spacing w:line="240" w:lineRule="auto"/>
        <w:jc w:val="both"/>
        <w:rPr>
          <w:rFonts w:ascii="Times New Roman" w:eastAsia="Times New Roman" w:hAnsi="Times New Roman" w:cs="Times New Roman"/>
          <w:b/>
          <w:color w:val="000000"/>
          <w:sz w:val="20"/>
          <w:szCs w:val="20"/>
          <w:lang w:eastAsia="pt-BR"/>
        </w:rPr>
      </w:pPr>
      <w:r>
        <w:rPr>
          <w:rFonts w:ascii="Times New Roman" w:eastAsia="Times New Roman" w:hAnsi="Times New Roman" w:cs="Times New Roman"/>
          <w:b/>
          <w:color w:val="000000"/>
          <w:sz w:val="20"/>
          <w:szCs w:val="20"/>
          <w:lang w:eastAsia="pt-BR"/>
        </w:rPr>
        <w:lastRenderedPageBreak/>
        <w:t xml:space="preserve">Gráfico 6 – Índice de commodities CRB e </w:t>
      </w:r>
      <w:proofErr w:type="gramStart"/>
      <w:r>
        <w:rPr>
          <w:rFonts w:ascii="Times New Roman" w:eastAsia="Times New Roman" w:hAnsi="Times New Roman" w:cs="Times New Roman"/>
          <w:b/>
          <w:color w:val="000000"/>
          <w:sz w:val="20"/>
          <w:szCs w:val="20"/>
          <w:lang w:eastAsia="pt-BR"/>
        </w:rPr>
        <w:t>IC-</w:t>
      </w:r>
      <w:proofErr w:type="spellStart"/>
      <w:r>
        <w:rPr>
          <w:rFonts w:ascii="Times New Roman" w:eastAsia="Times New Roman" w:hAnsi="Times New Roman" w:cs="Times New Roman"/>
          <w:b/>
          <w:color w:val="000000"/>
          <w:sz w:val="20"/>
          <w:szCs w:val="20"/>
          <w:lang w:eastAsia="pt-BR"/>
        </w:rPr>
        <w:t>Br</w:t>
      </w:r>
      <w:proofErr w:type="spellEnd"/>
      <w:proofErr w:type="gramEnd"/>
    </w:p>
    <w:p w:rsidR="00F358EB" w:rsidRDefault="00F358EB" w:rsidP="00F358EB">
      <w:pPr>
        <w:spacing w:line="240" w:lineRule="auto"/>
        <w:jc w:val="both"/>
        <w:rPr>
          <w:rFonts w:ascii="Times New Roman" w:eastAsia="Times New Roman" w:hAnsi="Times New Roman" w:cs="Times New Roman"/>
          <w:b/>
          <w:color w:val="000000"/>
          <w:sz w:val="20"/>
          <w:szCs w:val="20"/>
          <w:lang w:eastAsia="pt-BR"/>
        </w:rPr>
      </w:pPr>
    </w:p>
    <w:p w:rsidR="00F358EB" w:rsidRDefault="00E80C0F" w:rsidP="00F358EB">
      <w:pPr>
        <w:spacing w:line="240" w:lineRule="auto"/>
        <w:jc w:val="both"/>
        <w:rPr>
          <w:rFonts w:ascii="Times New Roman" w:eastAsia="Times New Roman" w:hAnsi="Times New Roman" w:cs="Times New Roman"/>
          <w:b/>
          <w:i/>
          <w:color w:val="000000"/>
          <w:sz w:val="20"/>
          <w:szCs w:val="20"/>
          <w:lang w:eastAsia="pt-BR"/>
        </w:rPr>
      </w:pPr>
      <w:r>
        <w:rPr>
          <w:rFonts w:ascii="Times New Roman" w:eastAsia="Times New Roman" w:hAnsi="Times New Roman" w:cs="Times New Roman"/>
          <w:b/>
          <w:i/>
          <w:noProof/>
          <w:color w:val="000000"/>
          <w:sz w:val="20"/>
          <w:szCs w:val="20"/>
          <w:lang w:eastAsia="pt-BR"/>
        </w:rPr>
        <w:drawing>
          <wp:inline distT="0" distB="0" distL="0" distR="0">
            <wp:extent cx="4562475" cy="28860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6.jpg"/>
                    <pic:cNvPicPr/>
                  </pic:nvPicPr>
                  <pic:blipFill>
                    <a:blip r:embed="rId13">
                      <a:extLst>
                        <a:ext uri="{28A0092B-C50C-407E-A947-70E740481C1C}">
                          <a14:useLocalDpi xmlns:a14="http://schemas.microsoft.com/office/drawing/2010/main" val="0"/>
                        </a:ext>
                      </a:extLst>
                    </a:blip>
                    <a:stretch>
                      <a:fillRect/>
                    </a:stretch>
                  </pic:blipFill>
                  <pic:spPr>
                    <a:xfrm>
                      <a:off x="0" y="0"/>
                      <a:ext cx="4562475" cy="2886075"/>
                    </a:xfrm>
                    <a:prstGeom prst="rect">
                      <a:avLst/>
                    </a:prstGeom>
                  </pic:spPr>
                </pic:pic>
              </a:graphicData>
            </a:graphic>
          </wp:inline>
        </w:drawing>
      </w:r>
    </w:p>
    <w:p w:rsidR="00592ECF" w:rsidRPr="00E80C0F" w:rsidRDefault="00E80C0F" w:rsidP="00395163">
      <w:pPr>
        <w:spacing w:after="100" w:afterAutospacing="1"/>
        <w:jc w:val="both"/>
        <w:rPr>
          <w:rFonts w:ascii="Times New Roman" w:hAnsi="Times New Roman" w:cs="Times New Roman"/>
          <w:sz w:val="16"/>
          <w:szCs w:val="16"/>
        </w:rPr>
      </w:pPr>
      <w:r w:rsidRPr="00E80C0F">
        <w:rPr>
          <w:rFonts w:ascii="Times New Roman" w:hAnsi="Times New Roman" w:cs="Times New Roman"/>
          <w:sz w:val="16"/>
          <w:szCs w:val="16"/>
        </w:rPr>
        <w:t xml:space="preserve">                 Fonte: Banco Central do Brasil</w:t>
      </w:r>
    </w:p>
    <w:p w:rsidR="003954E9" w:rsidRDefault="003954E9" w:rsidP="003954E9">
      <w:pPr>
        <w:spacing w:line="240" w:lineRule="auto"/>
        <w:jc w:val="both"/>
        <w:rPr>
          <w:rFonts w:ascii="Times New Roman" w:eastAsia="Times New Roman" w:hAnsi="Times New Roman" w:cs="Times New Roman"/>
          <w:b/>
          <w:color w:val="000000"/>
          <w:sz w:val="20"/>
          <w:szCs w:val="20"/>
          <w:lang w:eastAsia="pt-BR"/>
        </w:rPr>
      </w:pPr>
    </w:p>
    <w:p w:rsidR="003954E9" w:rsidRDefault="003954E9" w:rsidP="003954E9">
      <w:pPr>
        <w:spacing w:line="240" w:lineRule="auto"/>
        <w:jc w:val="both"/>
        <w:rPr>
          <w:rFonts w:ascii="Times New Roman" w:eastAsia="Times New Roman" w:hAnsi="Times New Roman" w:cs="Times New Roman"/>
          <w:b/>
          <w:color w:val="000000"/>
          <w:sz w:val="20"/>
          <w:szCs w:val="20"/>
          <w:lang w:eastAsia="pt-BR"/>
        </w:rPr>
      </w:pPr>
    </w:p>
    <w:p w:rsidR="003954E9" w:rsidRDefault="003954E9" w:rsidP="003954E9">
      <w:pPr>
        <w:spacing w:line="240" w:lineRule="auto"/>
        <w:jc w:val="both"/>
        <w:rPr>
          <w:rFonts w:ascii="Times New Roman" w:eastAsia="Times New Roman" w:hAnsi="Times New Roman" w:cs="Times New Roman"/>
          <w:b/>
          <w:color w:val="000000"/>
          <w:sz w:val="20"/>
          <w:szCs w:val="20"/>
          <w:lang w:eastAsia="pt-BR"/>
        </w:rPr>
      </w:pPr>
      <w:r>
        <w:rPr>
          <w:rFonts w:ascii="Times New Roman" w:eastAsia="Times New Roman" w:hAnsi="Times New Roman" w:cs="Times New Roman"/>
          <w:b/>
          <w:color w:val="000000"/>
          <w:sz w:val="20"/>
          <w:szCs w:val="20"/>
          <w:lang w:eastAsia="pt-BR"/>
        </w:rPr>
        <w:t>Tabela 2</w:t>
      </w:r>
      <w:r w:rsidRPr="00C01DEE">
        <w:rPr>
          <w:rFonts w:ascii="Times New Roman" w:eastAsia="Times New Roman" w:hAnsi="Times New Roman" w:cs="Times New Roman"/>
          <w:b/>
          <w:color w:val="000000"/>
          <w:sz w:val="20"/>
          <w:szCs w:val="20"/>
          <w:lang w:eastAsia="pt-BR"/>
        </w:rPr>
        <w:t xml:space="preserve"> </w:t>
      </w:r>
      <w:r>
        <w:rPr>
          <w:rFonts w:ascii="Times New Roman" w:eastAsia="Times New Roman" w:hAnsi="Times New Roman" w:cs="Times New Roman"/>
          <w:b/>
          <w:color w:val="000000"/>
          <w:sz w:val="20"/>
          <w:szCs w:val="20"/>
          <w:lang w:eastAsia="pt-BR"/>
        </w:rPr>
        <w:t>–</w:t>
      </w:r>
      <w:r w:rsidRPr="00C01DEE">
        <w:rPr>
          <w:rFonts w:ascii="Times New Roman" w:eastAsia="Times New Roman" w:hAnsi="Times New Roman" w:cs="Times New Roman"/>
          <w:b/>
          <w:color w:val="000000"/>
          <w:sz w:val="20"/>
          <w:szCs w:val="20"/>
          <w:lang w:eastAsia="pt-BR"/>
        </w:rPr>
        <w:t xml:space="preserve"> </w:t>
      </w:r>
      <w:r>
        <w:rPr>
          <w:rFonts w:ascii="Times New Roman" w:eastAsia="Times New Roman" w:hAnsi="Times New Roman" w:cs="Times New Roman"/>
          <w:b/>
          <w:color w:val="000000"/>
          <w:sz w:val="20"/>
          <w:szCs w:val="20"/>
          <w:lang w:eastAsia="pt-BR"/>
        </w:rPr>
        <w:t xml:space="preserve">Decomposição da Inflação de 2006 a 2010 – Em </w:t>
      </w:r>
      <w:proofErr w:type="spellStart"/>
      <w:r>
        <w:rPr>
          <w:rFonts w:ascii="Times New Roman" w:eastAsia="Times New Roman" w:hAnsi="Times New Roman" w:cs="Times New Roman"/>
          <w:b/>
          <w:color w:val="000000"/>
          <w:sz w:val="20"/>
          <w:szCs w:val="20"/>
          <w:lang w:eastAsia="pt-BR"/>
        </w:rPr>
        <w:t>p.p</w:t>
      </w:r>
      <w:proofErr w:type="spellEnd"/>
      <w:r>
        <w:rPr>
          <w:rFonts w:ascii="Times New Roman" w:eastAsia="Times New Roman" w:hAnsi="Times New Roman" w:cs="Times New Roman"/>
          <w:b/>
          <w:color w:val="000000"/>
          <w:sz w:val="20"/>
          <w:szCs w:val="20"/>
          <w:lang w:eastAsia="pt-BR"/>
        </w:rPr>
        <w:t>.</w:t>
      </w:r>
    </w:p>
    <w:p w:rsidR="003954E9" w:rsidRDefault="003954E9" w:rsidP="003954E9">
      <w:pPr>
        <w:spacing w:line="240" w:lineRule="auto"/>
        <w:jc w:val="both"/>
        <w:rPr>
          <w:rFonts w:ascii="Times New Roman" w:eastAsia="Times New Roman" w:hAnsi="Times New Roman" w:cs="Times New Roman"/>
          <w:b/>
          <w:color w:val="000000"/>
          <w:sz w:val="20"/>
          <w:szCs w:val="20"/>
          <w:lang w:eastAsia="pt-BR"/>
        </w:rPr>
      </w:pPr>
    </w:p>
    <w:p w:rsidR="003954E9" w:rsidRDefault="003954E9" w:rsidP="003954E9">
      <w:pPr>
        <w:spacing w:line="240" w:lineRule="auto"/>
        <w:jc w:val="both"/>
        <w:rPr>
          <w:rFonts w:ascii="Times New Roman" w:eastAsia="Times New Roman" w:hAnsi="Times New Roman" w:cs="Times New Roman"/>
          <w:b/>
          <w:color w:val="000000"/>
          <w:sz w:val="20"/>
          <w:szCs w:val="20"/>
          <w:lang w:eastAsia="pt-BR"/>
        </w:rPr>
      </w:pPr>
    </w:p>
    <w:tbl>
      <w:tblPr>
        <w:tblW w:w="8640" w:type="dxa"/>
        <w:tblInd w:w="55" w:type="dxa"/>
        <w:tblCellMar>
          <w:left w:w="70" w:type="dxa"/>
          <w:right w:w="70" w:type="dxa"/>
        </w:tblCellMar>
        <w:tblLook w:val="04A0" w:firstRow="1" w:lastRow="0" w:firstColumn="1" w:lastColumn="0" w:noHBand="0" w:noVBand="1"/>
      </w:tblPr>
      <w:tblGrid>
        <w:gridCol w:w="1831"/>
        <w:gridCol w:w="146"/>
        <w:gridCol w:w="960"/>
        <w:gridCol w:w="960"/>
        <w:gridCol w:w="960"/>
        <w:gridCol w:w="960"/>
        <w:gridCol w:w="960"/>
        <w:gridCol w:w="960"/>
        <w:gridCol w:w="960"/>
      </w:tblGrid>
      <w:tr w:rsidR="003954E9" w:rsidRPr="003954E9" w:rsidTr="003954E9">
        <w:trPr>
          <w:trHeight w:val="300"/>
        </w:trPr>
        <w:tc>
          <w:tcPr>
            <w:tcW w:w="1920" w:type="dxa"/>
            <w:gridSpan w:val="2"/>
            <w:tcBorders>
              <w:top w:val="single" w:sz="4" w:space="0" w:color="auto"/>
              <w:left w:val="nil"/>
              <w:bottom w:val="single" w:sz="4" w:space="0" w:color="auto"/>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Componente</w:t>
            </w:r>
          </w:p>
        </w:tc>
        <w:tc>
          <w:tcPr>
            <w:tcW w:w="960" w:type="dxa"/>
            <w:tcBorders>
              <w:top w:val="single" w:sz="4" w:space="0" w:color="auto"/>
              <w:left w:val="nil"/>
              <w:bottom w:val="single" w:sz="4" w:space="0" w:color="auto"/>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 </w:t>
            </w:r>
          </w:p>
        </w:tc>
        <w:tc>
          <w:tcPr>
            <w:tcW w:w="960" w:type="dxa"/>
            <w:tcBorders>
              <w:top w:val="single" w:sz="4" w:space="0" w:color="auto"/>
              <w:left w:val="nil"/>
              <w:bottom w:val="single" w:sz="4" w:space="0" w:color="auto"/>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 </w:t>
            </w:r>
          </w:p>
        </w:tc>
        <w:tc>
          <w:tcPr>
            <w:tcW w:w="960" w:type="dxa"/>
            <w:tcBorders>
              <w:top w:val="single" w:sz="4" w:space="0" w:color="auto"/>
              <w:left w:val="nil"/>
              <w:bottom w:val="single" w:sz="4" w:space="0" w:color="auto"/>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2006</w:t>
            </w:r>
          </w:p>
        </w:tc>
        <w:tc>
          <w:tcPr>
            <w:tcW w:w="960" w:type="dxa"/>
            <w:tcBorders>
              <w:top w:val="single" w:sz="4" w:space="0" w:color="auto"/>
              <w:left w:val="nil"/>
              <w:bottom w:val="single" w:sz="4" w:space="0" w:color="auto"/>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2007</w:t>
            </w:r>
          </w:p>
        </w:tc>
        <w:tc>
          <w:tcPr>
            <w:tcW w:w="960" w:type="dxa"/>
            <w:tcBorders>
              <w:top w:val="single" w:sz="4" w:space="0" w:color="auto"/>
              <w:left w:val="nil"/>
              <w:bottom w:val="single" w:sz="4" w:space="0" w:color="auto"/>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2008</w:t>
            </w:r>
          </w:p>
        </w:tc>
        <w:tc>
          <w:tcPr>
            <w:tcW w:w="960" w:type="dxa"/>
            <w:tcBorders>
              <w:top w:val="single" w:sz="4" w:space="0" w:color="auto"/>
              <w:left w:val="nil"/>
              <w:bottom w:val="single" w:sz="4" w:space="0" w:color="auto"/>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2009</w:t>
            </w:r>
          </w:p>
        </w:tc>
        <w:tc>
          <w:tcPr>
            <w:tcW w:w="960" w:type="dxa"/>
            <w:tcBorders>
              <w:top w:val="single" w:sz="4" w:space="0" w:color="auto"/>
              <w:left w:val="nil"/>
              <w:bottom w:val="single" w:sz="4" w:space="0" w:color="auto"/>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2010</w:t>
            </w:r>
          </w:p>
        </w:tc>
      </w:tr>
      <w:tr w:rsidR="003954E9" w:rsidRPr="003954E9" w:rsidTr="003954E9">
        <w:trPr>
          <w:trHeight w:val="300"/>
        </w:trPr>
        <w:tc>
          <w:tcPr>
            <w:tcW w:w="1920" w:type="dxa"/>
            <w:gridSpan w:val="2"/>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IPCA (variação %)</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3,14</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4,46</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5,90</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4,31</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5,91</w:t>
            </w:r>
          </w:p>
        </w:tc>
      </w:tr>
      <w:tr w:rsidR="003954E9" w:rsidRPr="003954E9" w:rsidTr="003954E9">
        <w:trPr>
          <w:trHeight w:val="300"/>
        </w:trPr>
        <w:tc>
          <w:tcPr>
            <w:tcW w:w="1831"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Inércia</w:t>
            </w:r>
          </w:p>
        </w:tc>
        <w:tc>
          <w:tcPr>
            <w:tcW w:w="89"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0,47</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0,01</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0,23</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0,00</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-0,09</w:t>
            </w:r>
          </w:p>
        </w:tc>
      </w:tr>
      <w:tr w:rsidR="003954E9" w:rsidRPr="003954E9" w:rsidTr="003954E9">
        <w:trPr>
          <w:trHeight w:val="300"/>
        </w:trPr>
        <w:tc>
          <w:tcPr>
            <w:tcW w:w="1920" w:type="dxa"/>
            <w:gridSpan w:val="2"/>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Expectativa</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-0,13</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-0,43</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0,22</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-0,10</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0,21</w:t>
            </w:r>
          </w:p>
        </w:tc>
      </w:tr>
      <w:tr w:rsidR="003954E9" w:rsidRPr="003954E9" w:rsidTr="003954E9">
        <w:trPr>
          <w:trHeight w:val="300"/>
        </w:trPr>
        <w:tc>
          <w:tcPr>
            <w:tcW w:w="1920" w:type="dxa"/>
            <w:gridSpan w:val="2"/>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Repasse Cambial</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-0,55</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-1,12</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0,63</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-0,24</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-0,22</w:t>
            </w:r>
          </w:p>
        </w:tc>
      </w:tr>
      <w:tr w:rsidR="003954E9" w:rsidRPr="003954E9" w:rsidTr="003954E9">
        <w:trPr>
          <w:trHeight w:val="300"/>
        </w:trPr>
        <w:tc>
          <w:tcPr>
            <w:tcW w:w="1920" w:type="dxa"/>
            <w:gridSpan w:val="2"/>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Choque de Oferta</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0,18</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2,12</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1,52</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-0,25</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1,97</w:t>
            </w:r>
          </w:p>
        </w:tc>
      </w:tr>
      <w:tr w:rsidR="003954E9" w:rsidRPr="003954E9" w:rsidTr="003954E9">
        <w:trPr>
          <w:trHeight w:val="300"/>
        </w:trPr>
        <w:tc>
          <w:tcPr>
            <w:tcW w:w="1920" w:type="dxa"/>
            <w:gridSpan w:val="2"/>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Inflação livre *</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1,58</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2,91</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2,25</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3,72</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2,95</w:t>
            </w:r>
          </w:p>
        </w:tc>
      </w:tr>
      <w:tr w:rsidR="003954E9" w:rsidRPr="003954E9" w:rsidTr="003954E9">
        <w:trPr>
          <w:trHeight w:val="300"/>
        </w:trPr>
        <w:tc>
          <w:tcPr>
            <w:tcW w:w="2880" w:type="dxa"/>
            <w:gridSpan w:val="3"/>
            <w:tcBorders>
              <w:top w:val="nil"/>
              <w:left w:val="nil"/>
              <w:bottom w:val="single" w:sz="4" w:space="0" w:color="auto"/>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Inflação administrados**</w:t>
            </w:r>
          </w:p>
        </w:tc>
        <w:tc>
          <w:tcPr>
            <w:tcW w:w="960" w:type="dxa"/>
            <w:tcBorders>
              <w:top w:val="nil"/>
              <w:left w:val="nil"/>
              <w:bottom w:val="single" w:sz="4" w:space="0" w:color="auto"/>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 </w:t>
            </w:r>
          </w:p>
        </w:tc>
        <w:tc>
          <w:tcPr>
            <w:tcW w:w="960" w:type="dxa"/>
            <w:tcBorders>
              <w:top w:val="nil"/>
              <w:left w:val="nil"/>
              <w:bottom w:val="single" w:sz="4" w:space="0" w:color="auto"/>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1,60</w:t>
            </w:r>
          </w:p>
        </w:tc>
        <w:tc>
          <w:tcPr>
            <w:tcW w:w="960" w:type="dxa"/>
            <w:tcBorders>
              <w:top w:val="nil"/>
              <w:left w:val="nil"/>
              <w:bottom w:val="single" w:sz="4" w:space="0" w:color="auto"/>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0,96</w:t>
            </w:r>
          </w:p>
        </w:tc>
        <w:tc>
          <w:tcPr>
            <w:tcW w:w="960" w:type="dxa"/>
            <w:tcBorders>
              <w:top w:val="nil"/>
              <w:left w:val="nil"/>
              <w:bottom w:val="single" w:sz="4" w:space="0" w:color="auto"/>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1,05</w:t>
            </w:r>
          </w:p>
        </w:tc>
        <w:tc>
          <w:tcPr>
            <w:tcW w:w="960" w:type="dxa"/>
            <w:tcBorders>
              <w:top w:val="nil"/>
              <w:left w:val="nil"/>
              <w:bottom w:val="single" w:sz="4" w:space="0" w:color="auto"/>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1,18</w:t>
            </w:r>
          </w:p>
        </w:tc>
        <w:tc>
          <w:tcPr>
            <w:tcW w:w="960" w:type="dxa"/>
            <w:tcBorders>
              <w:top w:val="nil"/>
              <w:left w:val="nil"/>
              <w:bottom w:val="single" w:sz="4" w:space="0" w:color="auto"/>
              <w:right w:val="nil"/>
            </w:tcBorders>
            <w:shd w:val="clear" w:color="auto" w:fill="auto"/>
            <w:noWrap/>
            <w:vAlign w:val="bottom"/>
            <w:hideMark/>
          </w:tcPr>
          <w:p w:rsidR="003954E9" w:rsidRPr="003954E9" w:rsidRDefault="003954E9" w:rsidP="003954E9">
            <w:pPr>
              <w:spacing w:line="240" w:lineRule="auto"/>
              <w:rPr>
                <w:rFonts w:ascii="Calibri" w:eastAsia="Times New Roman" w:hAnsi="Calibri" w:cs="Times New Roman"/>
                <w:color w:val="000000"/>
                <w:lang w:eastAsia="pt-BR"/>
              </w:rPr>
            </w:pPr>
            <w:r w:rsidRPr="003954E9">
              <w:rPr>
                <w:rFonts w:ascii="Calibri" w:eastAsia="Times New Roman" w:hAnsi="Calibri" w:cs="Times New Roman"/>
                <w:color w:val="000000"/>
                <w:lang w:eastAsia="pt-BR"/>
              </w:rPr>
              <w:t>1,10</w:t>
            </w:r>
          </w:p>
        </w:tc>
      </w:tr>
      <w:tr w:rsidR="003954E9" w:rsidRPr="003954E9" w:rsidTr="003954E9">
        <w:trPr>
          <w:trHeight w:val="300"/>
        </w:trPr>
        <w:tc>
          <w:tcPr>
            <w:tcW w:w="5760" w:type="dxa"/>
            <w:gridSpan w:val="6"/>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sz w:val="16"/>
                <w:szCs w:val="16"/>
                <w:lang w:eastAsia="pt-BR"/>
              </w:rPr>
            </w:pPr>
            <w:r w:rsidRPr="003954E9">
              <w:rPr>
                <w:rFonts w:ascii="Calibri" w:eastAsia="Times New Roman" w:hAnsi="Calibri" w:cs="Times New Roman"/>
                <w:color w:val="000000"/>
                <w:sz w:val="16"/>
                <w:szCs w:val="16"/>
                <w:lang w:eastAsia="pt-BR"/>
              </w:rPr>
              <w:t xml:space="preserve">*Excluindo repasse cambial, inércia, expectativas e choque de </w:t>
            </w:r>
            <w:proofErr w:type="gramStart"/>
            <w:r w:rsidRPr="003954E9">
              <w:rPr>
                <w:rFonts w:ascii="Calibri" w:eastAsia="Times New Roman" w:hAnsi="Calibri" w:cs="Times New Roman"/>
                <w:color w:val="000000"/>
                <w:sz w:val="16"/>
                <w:szCs w:val="16"/>
                <w:lang w:eastAsia="pt-BR"/>
              </w:rPr>
              <w:t>oferta</w:t>
            </w:r>
            <w:proofErr w:type="gramEnd"/>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r>
      <w:tr w:rsidR="003954E9" w:rsidRPr="003954E9" w:rsidTr="003954E9">
        <w:trPr>
          <w:trHeight w:val="300"/>
        </w:trPr>
        <w:tc>
          <w:tcPr>
            <w:tcW w:w="2880" w:type="dxa"/>
            <w:gridSpan w:val="3"/>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sz w:val="16"/>
                <w:szCs w:val="16"/>
                <w:lang w:eastAsia="pt-BR"/>
              </w:rPr>
            </w:pPr>
            <w:r w:rsidRPr="003954E9">
              <w:rPr>
                <w:rFonts w:ascii="Calibri" w:eastAsia="Times New Roman" w:hAnsi="Calibri" w:cs="Times New Roman"/>
                <w:color w:val="000000"/>
                <w:sz w:val="16"/>
                <w:szCs w:val="16"/>
                <w:lang w:eastAsia="pt-BR"/>
              </w:rPr>
              <w:t>**Excluindo repasse cambial e inércia</w:t>
            </w: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sz w:val="16"/>
                <w:szCs w:val="16"/>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r>
      <w:tr w:rsidR="003954E9" w:rsidRPr="003954E9" w:rsidTr="003954E9">
        <w:trPr>
          <w:trHeight w:val="300"/>
        </w:trPr>
        <w:tc>
          <w:tcPr>
            <w:tcW w:w="1831"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sz w:val="16"/>
                <w:szCs w:val="16"/>
                <w:lang w:eastAsia="pt-BR"/>
              </w:rPr>
            </w:pPr>
            <w:r w:rsidRPr="003954E9">
              <w:rPr>
                <w:rFonts w:ascii="Calibri" w:eastAsia="Times New Roman" w:hAnsi="Calibri" w:cs="Times New Roman"/>
                <w:color w:val="000000"/>
                <w:sz w:val="16"/>
                <w:szCs w:val="16"/>
                <w:lang w:eastAsia="pt-BR"/>
              </w:rPr>
              <w:t>Fonte: BCB</w:t>
            </w:r>
          </w:p>
        </w:tc>
        <w:tc>
          <w:tcPr>
            <w:tcW w:w="89"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c>
          <w:tcPr>
            <w:tcW w:w="960" w:type="dxa"/>
            <w:tcBorders>
              <w:top w:val="nil"/>
              <w:left w:val="nil"/>
              <w:bottom w:val="nil"/>
              <w:right w:val="nil"/>
            </w:tcBorders>
            <w:shd w:val="clear" w:color="auto" w:fill="auto"/>
            <w:noWrap/>
            <w:vAlign w:val="bottom"/>
            <w:hideMark/>
          </w:tcPr>
          <w:p w:rsidR="003954E9" w:rsidRPr="003954E9" w:rsidRDefault="003954E9" w:rsidP="003954E9">
            <w:pPr>
              <w:spacing w:line="240" w:lineRule="auto"/>
              <w:jc w:val="left"/>
              <w:rPr>
                <w:rFonts w:ascii="Calibri" w:eastAsia="Times New Roman" w:hAnsi="Calibri" w:cs="Times New Roman"/>
                <w:color w:val="000000"/>
                <w:lang w:eastAsia="pt-BR"/>
              </w:rPr>
            </w:pPr>
          </w:p>
        </w:tc>
      </w:tr>
    </w:tbl>
    <w:p w:rsidR="003954E9" w:rsidRDefault="003954E9" w:rsidP="003954E9">
      <w:pPr>
        <w:spacing w:line="240" w:lineRule="auto"/>
        <w:jc w:val="both"/>
        <w:rPr>
          <w:rFonts w:ascii="Times New Roman" w:eastAsia="Times New Roman" w:hAnsi="Times New Roman" w:cs="Times New Roman"/>
          <w:b/>
          <w:color w:val="000000"/>
          <w:sz w:val="20"/>
          <w:szCs w:val="20"/>
          <w:lang w:eastAsia="pt-BR"/>
        </w:rPr>
      </w:pPr>
    </w:p>
    <w:p w:rsidR="003954E9" w:rsidRDefault="003954E9" w:rsidP="00395163">
      <w:pPr>
        <w:spacing w:after="100" w:afterAutospacing="1"/>
        <w:jc w:val="both"/>
        <w:rPr>
          <w:rFonts w:ascii="Times New Roman" w:hAnsi="Times New Roman" w:cs="Times New Roman"/>
          <w:sz w:val="24"/>
          <w:szCs w:val="24"/>
        </w:rPr>
      </w:pPr>
    </w:p>
    <w:p w:rsidR="00F050A9" w:rsidRDefault="00395163" w:rsidP="00395163">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Em síntese, foi apresentado neste boxe o </w:t>
      </w:r>
      <w:proofErr w:type="gramStart"/>
      <w:r>
        <w:rPr>
          <w:rFonts w:ascii="Times New Roman" w:hAnsi="Times New Roman" w:cs="Times New Roman"/>
          <w:sz w:val="24"/>
          <w:szCs w:val="24"/>
        </w:rPr>
        <w:t>IC-</w:t>
      </w:r>
      <w:proofErr w:type="spellStart"/>
      <w:r>
        <w:rPr>
          <w:rFonts w:ascii="Times New Roman" w:hAnsi="Times New Roman" w:cs="Times New Roman"/>
          <w:sz w:val="24"/>
          <w:szCs w:val="24"/>
        </w:rPr>
        <w:t>Br</w:t>
      </w:r>
      <w:proofErr w:type="spellEnd"/>
      <w:proofErr w:type="gramEnd"/>
      <w:r>
        <w:rPr>
          <w:rFonts w:ascii="Times New Roman" w:hAnsi="Times New Roman" w:cs="Times New Roman"/>
          <w:sz w:val="24"/>
          <w:szCs w:val="24"/>
        </w:rPr>
        <w:t xml:space="preserve">, um indicador de preços de </w:t>
      </w:r>
      <w:r w:rsidRPr="00F050A9">
        <w:rPr>
          <w:rFonts w:ascii="Times New Roman" w:hAnsi="Times New Roman" w:cs="Times New Roman"/>
          <w:i/>
          <w:sz w:val="24"/>
          <w:szCs w:val="24"/>
        </w:rPr>
        <w:t>commodities</w:t>
      </w:r>
      <w:r>
        <w:rPr>
          <w:rFonts w:ascii="Times New Roman" w:hAnsi="Times New Roman" w:cs="Times New Roman"/>
          <w:sz w:val="24"/>
          <w:szCs w:val="24"/>
        </w:rPr>
        <w:t xml:space="preserve"> mais relevante para o entendimento do processo de repasse desses preços à inflação no Brasil. A trajetória </w:t>
      </w:r>
      <w:r w:rsidR="00F050A9">
        <w:rPr>
          <w:rFonts w:ascii="Times New Roman" w:hAnsi="Times New Roman" w:cs="Times New Roman"/>
          <w:sz w:val="24"/>
          <w:szCs w:val="24"/>
        </w:rPr>
        <w:t xml:space="preserve">do indicador ratifica a visão de que houve contribuição significativa, nos últimos meses do período apresentado, da elevação dos preços das </w:t>
      </w:r>
      <w:r w:rsidR="00F050A9" w:rsidRPr="00AE58EF">
        <w:rPr>
          <w:rFonts w:ascii="Times New Roman" w:hAnsi="Times New Roman" w:cs="Times New Roman"/>
          <w:i/>
          <w:sz w:val="24"/>
          <w:szCs w:val="24"/>
        </w:rPr>
        <w:t>commodities</w:t>
      </w:r>
      <w:r w:rsidR="00F050A9">
        <w:rPr>
          <w:rFonts w:ascii="Times New Roman" w:hAnsi="Times New Roman" w:cs="Times New Roman"/>
          <w:sz w:val="24"/>
          <w:szCs w:val="24"/>
        </w:rPr>
        <w:t xml:space="preserve"> para a aceleração do IPCA. Os exercícios também sugerem que o processo de repasse se esgota por volta do quinto mês.</w:t>
      </w:r>
    </w:p>
    <w:p w:rsidR="001A7AF9" w:rsidRDefault="001A7AF9" w:rsidP="00395163">
      <w:pPr>
        <w:spacing w:after="100" w:afterAutospacing="1"/>
        <w:jc w:val="both"/>
        <w:rPr>
          <w:rFonts w:ascii="Times New Roman" w:hAnsi="Times New Roman" w:cs="Times New Roman"/>
          <w:sz w:val="24"/>
          <w:szCs w:val="24"/>
        </w:rPr>
      </w:pPr>
      <w:r>
        <w:rPr>
          <w:rFonts w:ascii="Times New Roman" w:hAnsi="Times New Roman" w:cs="Times New Roman"/>
          <w:sz w:val="24"/>
          <w:szCs w:val="24"/>
        </w:rPr>
        <w:lastRenderedPageBreak/>
        <w:t xml:space="preserve">Vale mencionar também, conforme pode ser visto nos gráficos e tabelas acima, que em boa parte do período, melhor ilustrado nos anos de 2007, 2008 e 2010, que o componente “choque de oferta” explicou boa parte da inflação observada. Especificamente em 2010, a contribuição do choque de oferta foi de aproximadamente um terço. Cabe lembrar que esse choque está associado, em grande parte, à dinâmica dos preços das </w:t>
      </w:r>
      <w:r w:rsidRPr="001A7AF9">
        <w:rPr>
          <w:rFonts w:ascii="Times New Roman" w:hAnsi="Times New Roman" w:cs="Times New Roman"/>
          <w:i/>
          <w:sz w:val="24"/>
          <w:szCs w:val="24"/>
        </w:rPr>
        <w:t>commodities</w:t>
      </w:r>
      <w:r>
        <w:rPr>
          <w:rFonts w:ascii="Times New Roman" w:hAnsi="Times New Roman" w:cs="Times New Roman"/>
          <w:sz w:val="24"/>
          <w:szCs w:val="24"/>
        </w:rPr>
        <w:t xml:space="preserve"> no segundo semestre de 2010. </w:t>
      </w:r>
    </w:p>
    <w:p w:rsidR="0062007D" w:rsidRDefault="0062007D" w:rsidP="00395163">
      <w:pPr>
        <w:spacing w:after="100" w:afterAutospacing="1"/>
        <w:jc w:val="both"/>
        <w:rPr>
          <w:rFonts w:ascii="Times New Roman" w:hAnsi="Times New Roman" w:cs="Times New Roman"/>
          <w:sz w:val="24"/>
          <w:szCs w:val="24"/>
        </w:rPr>
      </w:pPr>
    </w:p>
    <w:p w:rsidR="00F050A9" w:rsidRDefault="00F050A9" w:rsidP="00395163">
      <w:pPr>
        <w:spacing w:after="100" w:afterAutospacing="1"/>
        <w:jc w:val="both"/>
        <w:rPr>
          <w:rFonts w:ascii="Times New Roman" w:hAnsi="Times New Roman" w:cs="Times New Roman"/>
          <w:sz w:val="24"/>
          <w:szCs w:val="24"/>
        </w:rPr>
      </w:pPr>
      <w:r w:rsidRPr="00F050A9">
        <w:rPr>
          <w:rFonts w:ascii="Times New Roman" w:hAnsi="Times New Roman" w:cs="Times New Roman"/>
          <w:b/>
          <w:sz w:val="24"/>
          <w:szCs w:val="24"/>
        </w:rPr>
        <w:t>5. Análise dos Resultados e Contribuições Teóricas</w:t>
      </w:r>
    </w:p>
    <w:p w:rsidR="00F050A9" w:rsidRDefault="00BE0F17" w:rsidP="00395163">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Conforme foi apresentado no boxe anterior, dentro do componente choque de oferta, tomamos como base para o nosso trabalho, o Índice de </w:t>
      </w:r>
      <w:r w:rsidRPr="00BE0F17">
        <w:rPr>
          <w:rFonts w:ascii="Times New Roman" w:hAnsi="Times New Roman" w:cs="Times New Roman"/>
          <w:i/>
          <w:sz w:val="24"/>
          <w:szCs w:val="24"/>
        </w:rPr>
        <w:t>Commodities</w:t>
      </w:r>
      <w:r>
        <w:rPr>
          <w:rFonts w:ascii="Times New Roman" w:hAnsi="Times New Roman" w:cs="Times New Roman"/>
          <w:sz w:val="24"/>
          <w:szCs w:val="24"/>
        </w:rPr>
        <w:t xml:space="preserve"> Brasil – </w:t>
      </w:r>
      <w:proofErr w:type="gramStart"/>
      <w:r>
        <w:rPr>
          <w:rFonts w:ascii="Times New Roman" w:hAnsi="Times New Roman" w:cs="Times New Roman"/>
          <w:sz w:val="24"/>
          <w:szCs w:val="24"/>
        </w:rPr>
        <w:t>IC-</w:t>
      </w:r>
      <w:proofErr w:type="spellStart"/>
      <w:r>
        <w:rPr>
          <w:rFonts w:ascii="Times New Roman" w:hAnsi="Times New Roman" w:cs="Times New Roman"/>
          <w:sz w:val="24"/>
          <w:szCs w:val="24"/>
        </w:rPr>
        <w:t>Br</w:t>
      </w:r>
      <w:proofErr w:type="spellEnd"/>
      <w:proofErr w:type="gramEnd"/>
      <w:r>
        <w:rPr>
          <w:rFonts w:ascii="Times New Roman" w:hAnsi="Times New Roman" w:cs="Times New Roman"/>
          <w:sz w:val="24"/>
          <w:szCs w:val="24"/>
        </w:rPr>
        <w:t xml:space="preserve">, visando identificar  a parcela das variações de preços das </w:t>
      </w:r>
      <w:r w:rsidRPr="00BE0F17">
        <w:rPr>
          <w:rFonts w:ascii="Times New Roman" w:hAnsi="Times New Roman" w:cs="Times New Roman"/>
          <w:i/>
          <w:sz w:val="24"/>
          <w:szCs w:val="24"/>
        </w:rPr>
        <w:t>commodities</w:t>
      </w:r>
      <w:r>
        <w:rPr>
          <w:rFonts w:ascii="Times New Roman" w:hAnsi="Times New Roman" w:cs="Times New Roman"/>
          <w:sz w:val="24"/>
          <w:szCs w:val="24"/>
        </w:rPr>
        <w:t xml:space="preserve"> nos mercados internacionais que é relevante para a dinâmica da inflação doméstica. </w:t>
      </w:r>
    </w:p>
    <w:p w:rsidR="00BE0F17" w:rsidRDefault="00BE0F17" w:rsidP="00395163">
      <w:pPr>
        <w:spacing w:after="100" w:afterAutospacing="1"/>
        <w:jc w:val="both"/>
        <w:rPr>
          <w:rFonts w:ascii="Times New Roman" w:hAnsi="Times New Roman" w:cs="Times New Roman"/>
          <w:sz w:val="24"/>
          <w:szCs w:val="24"/>
        </w:rPr>
      </w:pPr>
      <w:r>
        <w:rPr>
          <w:rFonts w:ascii="Times New Roman" w:hAnsi="Times New Roman" w:cs="Times New Roman"/>
          <w:sz w:val="24"/>
          <w:szCs w:val="24"/>
        </w:rPr>
        <w:t>Foi visto que, diante dos resultados emp</w:t>
      </w:r>
      <w:r w:rsidR="00BF7EC4">
        <w:rPr>
          <w:rFonts w:ascii="Times New Roman" w:hAnsi="Times New Roman" w:cs="Times New Roman"/>
          <w:sz w:val="24"/>
          <w:szCs w:val="24"/>
        </w:rPr>
        <w:t>íricos apresentados</w:t>
      </w:r>
      <w:r w:rsidR="00E9004B">
        <w:rPr>
          <w:rFonts w:ascii="Times New Roman" w:hAnsi="Times New Roman" w:cs="Times New Roman"/>
          <w:sz w:val="24"/>
          <w:szCs w:val="24"/>
        </w:rPr>
        <w:t xml:space="preserve"> e de sua trajetória</w:t>
      </w:r>
      <w:r w:rsidR="00BF7EC4">
        <w:rPr>
          <w:rFonts w:ascii="Times New Roman" w:hAnsi="Times New Roman" w:cs="Times New Roman"/>
          <w:sz w:val="24"/>
          <w:szCs w:val="24"/>
        </w:rPr>
        <w:t xml:space="preserve">, o </w:t>
      </w:r>
      <w:proofErr w:type="gramStart"/>
      <w:r w:rsidR="00BF7EC4">
        <w:rPr>
          <w:rFonts w:ascii="Times New Roman" w:hAnsi="Times New Roman" w:cs="Times New Roman"/>
          <w:sz w:val="24"/>
          <w:szCs w:val="24"/>
        </w:rPr>
        <w:t>IC-</w:t>
      </w:r>
      <w:proofErr w:type="spellStart"/>
      <w:r w:rsidR="00BF7EC4">
        <w:rPr>
          <w:rFonts w:ascii="Times New Roman" w:hAnsi="Times New Roman" w:cs="Times New Roman"/>
          <w:sz w:val="24"/>
          <w:szCs w:val="24"/>
        </w:rPr>
        <w:t>Br</w:t>
      </w:r>
      <w:proofErr w:type="spellEnd"/>
      <w:proofErr w:type="gramEnd"/>
      <w:r w:rsidR="00BF7EC4">
        <w:rPr>
          <w:rFonts w:ascii="Times New Roman" w:hAnsi="Times New Roman" w:cs="Times New Roman"/>
          <w:sz w:val="24"/>
          <w:szCs w:val="24"/>
        </w:rPr>
        <w:t xml:space="preserve">, </w:t>
      </w:r>
      <w:r>
        <w:rPr>
          <w:rFonts w:ascii="Times New Roman" w:hAnsi="Times New Roman" w:cs="Times New Roman"/>
          <w:sz w:val="24"/>
          <w:szCs w:val="24"/>
        </w:rPr>
        <w:t xml:space="preserve">principal indicador de preços de </w:t>
      </w:r>
      <w:r w:rsidRPr="00BF7EC4">
        <w:rPr>
          <w:rFonts w:ascii="Times New Roman" w:hAnsi="Times New Roman" w:cs="Times New Roman"/>
          <w:i/>
          <w:sz w:val="24"/>
          <w:szCs w:val="24"/>
        </w:rPr>
        <w:t>commodities</w:t>
      </w:r>
      <w:r>
        <w:rPr>
          <w:rFonts w:ascii="Times New Roman" w:hAnsi="Times New Roman" w:cs="Times New Roman"/>
          <w:sz w:val="24"/>
          <w:szCs w:val="24"/>
        </w:rPr>
        <w:t xml:space="preserve"> utilizado no Brasil para o entendimento </w:t>
      </w:r>
      <w:r w:rsidR="001012F3">
        <w:rPr>
          <w:rFonts w:ascii="Times New Roman" w:hAnsi="Times New Roman" w:cs="Times New Roman"/>
          <w:sz w:val="24"/>
          <w:szCs w:val="24"/>
        </w:rPr>
        <w:t>do processo</w:t>
      </w:r>
      <w:r>
        <w:rPr>
          <w:rFonts w:ascii="Times New Roman" w:hAnsi="Times New Roman" w:cs="Times New Roman"/>
          <w:sz w:val="24"/>
          <w:szCs w:val="24"/>
        </w:rPr>
        <w:t xml:space="preserve"> de repasse desses preços à inflação, contribui significativamente </w:t>
      </w:r>
      <w:r w:rsidR="00BF7EC4">
        <w:rPr>
          <w:rFonts w:ascii="Times New Roman" w:hAnsi="Times New Roman" w:cs="Times New Roman"/>
          <w:sz w:val="24"/>
          <w:szCs w:val="24"/>
        </w:rPr>
        <w:t>para a</w:t>
      </w:r>
      <w:r w:rsidR="001012F3">
        <w:rPr>
          <w:rFonts w:ascii="Times New Roman" w:hAnsi="Times New Roman" w:cs="Times New Roman"/>
          <w:sz w:val="24"/>
          <w:szCs w:val="24"/>
        </w:rPr>
        <w:t xml:space="preserve"> dinâmica do IPCA, bem como </w:t>
      </w:r>
      <w:r w:rsidR="00E9004B">
        <w:rPr>
          <w:rFonts w:ascii="Times New Roman" w:hAnsi="Times New Roman" w:cs="Times New Roman"/>
          <w:sz w:val="24"/>
          <w:szCs w:val="24"/>
        </w:rPr>
        <w:t>os exercícios também sugerem que o processo de repasse se esgota por volta do quinto mês</w:t>
      </w:r>
      <w:r w:rsidR="001012F3">
        <w:rPr>
          <w:rFonts w:ascii="Times New Roman" w:hAnsi="Times New Roman" w:cs="Times New Roman"/>
          <w:sz w:val="24"/>
          <w:szCs w:val="24"/>
        </w:rPr>
        <w:t>.</w:t>
      </w:r>
    </w:p>
    <w:p w:rsidR="001012F3" w:rsidRDefault="001012F3" w:rsidP="00395163">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Diante dos fatos apresentados, vale adicionarmos algumas contribuições teóricas </w:t>
      </w:r>
      <w:r w:rsidR="00E9004B">
        <w:rPr>
          <w:rFonts w:ascii="Times New Roman" w:hAnsi="Times New Roman" w:cs="Times New Roman"/>
          <w:sz w:val="24"/>
          <w:szCs w:val="24"/>
        </w:rPr>
        <w:t>envolvendo tais</w:t>
      </w:r>
      <w:r>
        <w:rPr>
          <w:rFonts w:ascii="Times New Roman" w:hAnsi="Times New Roman" w:cs="Times New Roman"/>
          <w:sz w:val="24"/>
          <w:szCs w:val="24"/>
        </w:rPr>
        <w:t xml:space="preserve"> resultado</w:t>
      </w:r>
      <w:r w:rsidR="00E9004B">
        <w:rPr>
          <w:rFonts w:ascii="Times New Roman" w:hAnsi="Times New Roman" w:cs="Times New Roman"/>
          <w:sz w:val="24"/>
          <w:szCs w:val="24"/>
        </w:rPr>
        <w:t>s</w:t>
      </w:r>
      <w:r>
        <w:rPr>
          <w:rFonts w:ascii="Times New Roman" w:hAnsi="Times New Roman" w:cs="Times New Roman"/>
          <w:sz w:val="24"/>
          <w:szCs w:val="24"/>
        </w:rPr>
        <w:t>, e qual a posição de politica monetária ótima adotada pelo Banco Central para acomodar com eficácia, o comportamento dessas variações de preços.</w:t>
      </w:r>
    </w:p>
    <w:p w:rsidR="001012F3" w:rsidRDefault="001012F3" w:rsidP="00395163">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Conforme explicita o Banco Central em seu </w:t>
      </w:r>
      <w:r w:rsidRPr="00045D00">
        <w:rPr>
          <w:rFonts w:ascii="Times New Roman" w:hAnsi="Times New Roman" w:cs="Times New Roman"/>
          <w:i/>
          <w:sz w:val="24"/>
          <w:szCs w:val="24"/>
        </w:rPr>
        <w:t>Relatório de Inflação de Março de 2011</w:t>
      </w:r>
      <w:r>
        <w:rPr>
          <w:rFonts w:ascii="Times New Roman" w:hAnsi="Times New Roman" w:cs="Times New Roman"/>
          <w:sz w:val="24"/>
          <w:szCs w:val="24"/>
        </w:rPr>
        <w:t xml:space="preserve">, para efeitos de </w:t>
      </w:r>
      <w:r w:rsidR="00045D00">
        <w:rPr>
          <w:rFonts w:ascii="Times New Roman" w:hAnsi="Times New Roman" w:cs="Times New Roman"/>
          <w:sz w:val="24"/>
          <w:szCs w:val="24"/>
        </w:rPr>
        <w:t xml:space="preserve">condução da </w:t>
      </w:r>
      <w:r>
        <w:rPr>
          <w:rFonts w:ascii="Times New Roman" w:hAnsi="Times New Roman" w:cs="Times New Roman"/>
          <w:sz w:val="24"/>
          <w:szCs w:val="24"/>
        </w:rPr>
        <w:t xml:space="preserve">politica </w:t>
      </w:r>
      <w:r w:rsidR="00045D00">
        <w:rPr>
          <w:rFonts w:ascii="Times New Roman" w:hAnsi="Times New Roman" w:cs="Times New Roman"/>
          <w:sz w:val="24"/>
          <w:szCs w:val="24"/>
        </w:rPr>
        <w:t xml:space="preserve">monetária, a relevância de um choque depende do tamanho em que o mesmo se propaga, como e de que forma e tempo ele persiste, bem como as características em que está se situada </w:t>
      </w:r>
      <w:proofErr w:type="gramStart"/>
      <w:r w:rsidR="00045D00">
        <w:rPr>
          <w:rFonts w:ascii="Times New Roman" w:hAnsi="Times New Roman" w:cs="Times New Roman"/>
          <w:sz w:val="24"/>
          <w:szCs w:val="24"/>
        </w:rPr>
        <w:t>a</w:t>
      </w:r>
      <w:proofErr w:type="gramEnd"/>
      <w:r w:rsidR="00045D00">
        <w:rPr>
          <w:rFonts w:ascii="Times New Roman" w:hAnsi="Times New Roman" w:cs="Times New Roman"/>
          <w:sz w:val="24"/>
          <w:szCs w:val="24"/>
        </w:rPr>
        <w:t xml:space="preserve"> economia. Variações cambiais persistentes</w:t>
      </w:r>
      <w:proofErr w:type="gramStart"/>
      <w:r w:rsidR="00045D00">
        <w:rPr>
          <w:rFonts w:ascii="Times New Roman" w:hAnsi="Times New Roman" w:cs="Times New Roman"/>
          <w:sz w:val="24"/>
          <w:szCs w:val="24"/>
        </w:rPr>
        <w:t xml:space="preserve"> por exemplo</w:t>
      </w:r>
      <w:proofErr w:type="gramEnd"/>
      <w:r w:rsidR="00045D00">
        <w:rPr>
          <w:rFonts w:ascii="Times New Roman" w:hAnsi="Times New Roman" w:cs="Times New Roman"/>
          <w:sz w:val="24"/>
          <w:szCs w:val="24"/>
        </w:rPr>
        <w:t xml:space="preserve">, tendem a ser repassadas mais intensamente aos preços. </w:t>
      </w:r>
      <w:r w:rsidR="003E0EEE">
        <w:rPr>
          <w:rFonts w:ascii="Times New Roman" w:hAnsi="Times New Roman" w:cs="Times New Roman"/>
          <w:sz w:val="24"/>
          <w:szCs w:val="24"/>
        </w:rPr>
        <w:t xml:space="preserve">Ou ainda, no que se refere </w:t>
      </w:r>
      <w:proofErr w:type="gramStart"/>
      <w:r w:rsidR="003E0EEE">
        <w:rPr>
          <w:rFonts w:ascii="Times New Roman" w:hAnsi="Times New Roman" w:cs="Times New Roman"/>
          <w:sz w:val="24"/>
          <w:szCs w:val="24"/>
        </w:rPr>
        <w:t>à</w:t>
      </w:r>
      <w:proofErr w:type="gramEnd"/>
      <w:r w:rsidR="003E0EEE">
        <w:rPr>
          <w:rFonts w:ascii="Times New Roman" w:hAnsi="Times New Roman" w:cs="Times New Roman"/>
          <w:sz w:val="24"/>
          <w:szCs w:val="24"/>
        </w:rPr>
        <w:t xml:space="preserve"> </w:t>
      </w:r>
      <w:r w:rsidR="003E0EEE" w:rsidRPr="003E0EEE">
        <w:rPr>
          <w:rFonts w:ascii="Times New Roman" w:hAnsi="Times New Roman" w:cs="Times New Roman"/>
          <w:i/>
          <w:sz w:val="24"/>
          <w:szCs w:val="24"/>
        </w:rPr>
        <w:t>commodities</w:t>
      </w:r>
      <w:r w:rsidR="003E0EEE">
        <w:rPr>
          <w:rFonts w:ascii="Times New Roman" w:hAnsi="Times New Roman" w:cs="Times New Roman"/>
          <w:sz w:val="24"/>
          <w:szCs w:val="24"/>
        </w:rPr>
        <w:t xml:space="preserve"> como nosso trabalho, economias que tem participação elevada de alimentos na cesta de consumo das famílias, tendem a ser mais fortemente impactadas quando há aumentos desses preços nos mercados internacionais. Em outra perspectiva, uma vez que a magnitude do choque, em geral, revela-se ao longo do tempo, uma regra usualmente aceita em bancos </w:t>
      </w:r>
      <w:r w:rsidR="003E0EEE">
        <w:rPr>
          <w:rFonts w:ascii="Times New Roman" w:hAnsi="Times New Roman" w:cs="Times New Roman"/>
          <w:sz w:val="24"/>
          <w:szCs w:val="24"/>
        </w:rPr>
        <w:lastRenderedPageBreak/>
        <w:t>centrais, sugere que se calibre a resposta, à medida que os efeitos forem se manifestando</w:t>
      </w:r>
      <w:r w:rsidR="008672A1">
        <w:rPr>
          <w:rFonts w:ascii="Times New Roman" w:hAnsi="Times New Roman" w:cs="Times New Roman"/>
          <w:sz w:val="24"/>
          <w:szCs w:val="24"/>
        </w:rPr>
        <w:t xml:space="preserve"> (</w:t>
      </w:r>
      <w:proofErr w:type="spellStart"/>
      <w:r w:rsidR="008672A1">
        <w:rPr>
          <w:rFonts w:ascii="Times New Roman" w:hAnsi="Times New Roman" w:cs="Times New Roman"/>
          <w:sz w:val="24"/>
          <w:szCs w:val="24"/>
        </w:rPr>
        <w:t>Blinder</w:t>
      </w:r>
      <w:proofErr w:type="spellEnd"/>
      <w:r w:rsidR="008672A1">
        <w:rPr>
          <w:rFonts w:ascii="Times New Roman" w:hAnsi="Times New Roman" w:cs="Times New Roman"/>
          <w:sz w:val="24"/>
          <w:szCs w:val="24"/>
        </w:rPr>
        <w:t>, 1998).</w:t>
      </w:r>
    </w:p>
    <w:p w:rsidR="008672A1" w:rsidRDefault="00943D84" w:rsidP="00395163">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No caso especifico de choque de oferta, a politica monetária pode enfrentar </w:t>
      </w:r>
      <w:r w:rsidRPr="006667C1">
        <w:rPr>
          <w:rFonts w:ascii="Times New Roman" w:hAnsi="Times New Roman" w:cs="Times New Roman"/>
          <w:i/>
          <w:sz w:val="24"/>
          <w:szCs w:val="24"/>
        </w:rPr>
        <w:t>trade-</w:t>
      </w:r>
      <w:proofErr w:type="gramStart"/>
      <w:r w:rsidRPr="006667C1">
        <w:rPr>
          <w:rFonts w:ascii="Times New Roman" w:hAnsi="Times New Roman" w:cs="Times New Roman"/>
          <w:i/>
          <w:sz w:val="24"/>
          <w:szCs w:val="24"/>
        </w:rPr>
        <w:t>off</w:t>
      </w:r>
      <w:proofErr w:type="gramEnd"/>
      <w:r>
        <w:rPr>
          <w:rFonts w:ascii="Times New Roman" w:hAnsi="Times New Roman" w:cs="Times New Roman"/>
          <w:sz w:val="24"/>
          <w:szCs w:val="24"/>
        </w:rPr>
        <w:t xml:space="preserve"> entre estabilizar o produto e controlar a inflação. Se o choque for positivo – por exemplo, ganhos de produtividade – a situação não é conflitante, uma vez que o choque contribui para aumentar a oferta agregada e se alinha ao esforço da politica monetária para manter os preços estáveis. Se for negativo – por exemplo, apagão elétrico, quebra de safra ou aumento do preço do petróleo – contrai a oferta e pressiona a inflação para cima.</w:t>
      </w:r>
      <w:r w:rsidR="00D34F35">
        <w:rPr>
          <w:rFonts w:ascii="Times New Roman" w:hAnsi="Times New Roman" w:cs="Times New Roman"/>
          <w:sz w:val="24"/>
          <w:szCs w:val="24"/>
        </w:rPr>
        <w:t xml:space="preserve"> Segundo </w:t>
      </w:r>
      <w:proofErr w:type="spellStart"/>
      <w:r w:rsidR="00D34F35">
        <w:rPr>
          <w:rFonts w:ascii="Times New Roman" w:hAnsi="Times New Roman" w:cs="Times New Roman"/>
          <w:sz w:val="24"/>
          <w:szCs w:val="24"/>
        </w:rPr>
        <w:t>Aoki</w:t>
      </w:r>
      <w:proofErr w:type="spellEnd"/>
      <w:r w:rsidR="00D34F35">
        <w:rPr>
          <w:rFonts w:ascii="Times New Roman" w:hAnsi="Times New Roman" w:cs="Times New Roman"/>
          <w:sz w:val="24"/>
          <w:szCs w:val="24"/>
        </w:rPr>
        <w:t xml:space="preserve"> (2001) e </w:t>
      </w:r>
      <w:proofErr w:type="spellStart"/>
      <w:r w:rsidR="00D34F35">
        <w:rPr>
          <w:rFonts w:ascii="Times New Roman" w:hAnsi="Times New Roman" w:cs="Times New Roman"/>
          <w:sz w:val="24"/>
          <w:szCs w:val="24"/>
        </w:rPr>
        <w:t>Bodenstein</w:t>
      </w:r>
      <w:proofErr w:type="spellEnd"/>
      <w:r w:rsidR="00D34F35">
        <w:rPr>
          <w:rFonts w:ascii="Times New Roman" w:hAnsi="Times New Roman" w:cs="Times New Roman"/>
          <w:sz w:val="24"/>
          <w:szCs w:val="24"/>
        </w:rPr>
        <w:t xml:space="preserve"> </w:t>
      </w:r>
      <w:proofErr w:type="gramStart"/>
      <w:r w:rsidR="00D34F35" w:rsidRPr="00D34F35">
        <w:rPr>
          <w:rFonts w:ascii="Times New Roman" w:hAnsi="Times New Roman" w:cs="Times New Roman"/>
          <w:i/>
          <w:sz w:val="24"/>
          <w:szCs w:val="24"/>
        </w:rPr>
        <w:t>et</w:t>
      </w:r>
      <w:proofErr w:type="gramEnd"/>
      <w:r w:rsidR="00D34F35" w:rsidRPr="00D34F35">
        <w:rPr>
          <w:rFonts w:ascii="Times New Roman" w:hAnsi="Times New Roman" w:cs="Times New Roman"/>
          <w:i/>
          <w:sz w:val="24"/>
          <w:szCs w:val="24"/>
        </w:rPr>
        <w:t xml:space="preserve"> al</w:t>
      </w:r>
      <w:r w:rsidR="00D34F35">
        <w:rPr>
          <w:rFonts w:ascii="Times New Roman" w:hAnsi="Times New Roman" w:cs="Times New Roman"/>
          <w:sz w:val="24"/>
          <w:szCs w:val="24"/>
        </w:rPr>
        <w:t xml:space="preserve"> (2008), a recomendação é de que, na presença de choques negativos de oferta, a politica monetária ótima não reaja aos efeitos de primeira ordem (efeitos primários). Tal politica deve evitar que os efeitos de aumentos localizados de preços – advindos de setores onde os choques de oferta se originaram – propaguem-se para salários nominais, expectativas de infl</w:t>
      </w:r>
      <w:r w:rsidR="00E44E2B">
        <w:rPr>
          <w:rFonts w:ascii="Times New Roman" w:hAnsi="Times New Roman" w:cs="Times New Roman"/>
          <w:sz w:val="24"/>
          <w:szCs w:val="24"/>
        </w:rPr>
        <w:t xml:space="preserve">ação de médio e de longo prazo </w:t>
      </w:r>
      <w:r w:rsidR="00D34F35">
        <w:rPr>
          <w:rFonts w:ascii="Times New Roman" w:hAnsi="Times New Roman" w:cs="Times New Roman"/>
          <w:sz w:val="24"/>
          <w:szCs w:val="24"/>
        </w:rPr>
        <w:t>e preços não afetados diretamente pela variação de custos (efeitos de segunda ordem).</w:t>
      </w:r>
    </w:p>
    <w:p w:rsidR="003B1D06" w:rsidRPr="003B1D06" w:rsidRDefault="003D5A85" w:rsidP="003B1D06">
      <w:pPr>
        <w:spacing w:after="100" w:afterAutospacing="1"/>
        <w:jc w:val="both"/>
        <w:rPr>
          <w:rFonts w:ascii="Times New Roman" w:hAnsi="Times New Roman" w:cs="Times New Roman"/>
          <w:sz w:val="24"/>
          <w:szCs w:val="24"/>
        </w:rPr>
      </w:pPr>
      <w:r>
        <w:rPr>
          <w:rFonts w:ascii="Times New Roman" w:hAnsi="Times New Roman" w:cs="Times New Roman"/>
          <w:sz w:val="24"/>
          <w:szCs w:val="24"/>
          <w:lang w:val="pt-PT"/>
        </w:rPr>
        <w:t xml:space="preserve">É importante destacar, conforme pode ser visto no gráfico de trajetória dos preços de </w:t>
      </w:r>
      <w:r w:rsidRPr="003D5A85">
        <w:rPr>
          <w:rFonts w:ascii="Times New Roman" w:hAnsi="Times New Roman" w:cs="Times New Roman"/>
          <w:i/>
          <w:sz w:val="24"/>
          <w:szCs w:val="24"/>
          <w:lang w:val="pt-PT"/>
        </w:rPr>
        <w:t>commodities</w:t>
      </w:r>
      <w:r>
        <w:rPr>
          <w:rFonts w:ascii="Times New Roman" w:hAnsi="Times New Roman" w:cs="Times New Roman"/>
          <w:sz w:val="24"/>
          <w:szCs w:val="24"/>
          <w:lang w:val="pt-PT"/>
        </w:rPr>
        <w:t xml:space="preserve"> que, a variabilidade dos preços é grande em relação </w:t>
      </w:r>
      <w:proofErr w:type="gramStart"/>
      <w:r>
        <w:rPr>
          <w:rFonts w:ascii="Times New Roman" w:hAnsi="Times New Roman" w:cs="Times New Roman"/>
          <w:sz w:val="24"/>
          <w:szCs w:val="24"/>
          <w:lang w:val="pt-PT"/>
        </w:rPr>
        <w:t>a</w:t>
      </w:r>
      <w:proofErr w:type="gramEnd"/>
      <w:r>
        <w:rPr>
          <w:rFonts w:ascii="Times New Roman" w:hAnsi="Times New Roman" w:cs="Times New Roman"/>
          <w:sz w:val="24"/>
          <w:szCs w:val="24"/>
          <w:lang w:val="pt-PT"/>
        </w:rPr>
        <w:t xml:space="preserve"> tendência. Isso faz com que a previsão futura dos preços de </w:t>
      </w:r>
      <w:r w:rsidRPr="003D5A85">
        <w:rPr>
          <w:rFonts w:ascii="Times New Roman" w:hAnsi="Times New Roman" w:cs="Times New Roman"/>
          <w:i/>
          <w:sz w:val="24"/>
          <w:szCs w:val="24"/>
          <w:lang w:val="pt-PT"/>
        </w:rPr>
        <w:t>commodities</w:t>
      </w:r>
      <w:r>
        <w:rPr>
          <w:rFonts w:ascii="Times New Roman" w:hAnsi="Times New Roman" w:cs="Times New Roman"/>
          <w:sz w:val="24"/>
          <w:szCs w:val="24"/>
          <w:lang w:val="pt-PT"/>
        </w:rPr>
        <w:t xml:space="preserve"> se torne um exercicio dificil, </w:t>
      </w:r>
      <w:r w:rsidRPr="003D5A85">
        <w:rPr>
          <w:rStyle w:val="longtext"/>
          <w:rFonts w:ascii="Times New Roman" w:hAnsi="Times New Roman" w:cs="Times New Roman"/>
          <w:sz w:val="24"/>
          <w:szCs w:val="24"/>
          <w:lang w:val="pt-PT"/>
        </w:rPr>
        <w:t xml:space="preserve">já que eles </w:t>
      </w:r>
      <w:r w:rsidRPr="003D5A85">
        <w:rPr>
          <w:rStyle w:val="hps"/>
          <w:rFonts w:ascii="Times New Roman" w:hAnsi="Times New Roman" w:cs="Times New Roman"/>
          <w:sz w:val="24"/>
          <w:szCs w:val="24"/>
          <w:lang w:val="pt-PT"/>
        </w:rPr>
        <w:t>estão sujeitos a</w:t>
      </w:r>
      <w:r w:rsidRPr="003D5A85">
        <w:rPr>
          <w:rStyle w:val="longtext"/>
          <w:rFonts w:ascii="Times New Roman" w:hAnsi="Times New Roman" w:cs="Times New Roman"/>
          <w:sz w:val="24"/>
          <w:szCs w:val="24"/>
          <w:lang w:val="pt-PT"/>
        </w:rPr>
        <w:t xml:space="preserve"> </w:t>
      </w:r>
      <w:r w:rsidRPr="003D5A85">
        <w:rPr>
          <w:rStyle w:val="hps"/>
          <w:rFonts w:ascii="Times New Roman" w:hAnsi="Times New Roman" w:cs="Times New Roman"/>
          <w:sz w:val="24"/>
          <w:szCs w:val="24"/>
          <w:lang w:val="pt-PT"/>
        </w:rPr>
        <w:t>movimentos</w:t>
      </w:r>
      <w:r w:rsidRPr="003D5A85">
        <w:rPr>
          <w:rStyle w:val="longtext"/>
          <w:rFonts w:ascii="Times New Roman" w:hAnsi="Times New Roman" w:cs="Times New Roman"/>
          <w:sz w:val="24"/>
          <w:szCs w:val="24"/>
          <w:lang w:val="pt-PT"/>
        </w:rPr>
        <w:t xml:space="preserve"> </w:t>
      </w:r>
      <w:r w:rsidRPr="003D5A85">
        <w:rPr>
          <w:rStyle w:val="hps"/>
          <w:rFonts w:ascii="Times New Roman" w:hAnsi="Times New Roman" w:cs="Times New Roman"/>
          <w:sz w:val="24"/>
          <w:szCs w:val="24"/>
          <w:lang w:val="pt-PT"/>
        </w:rPr>
        <w:t>grandes</w:t>
      </w:r>
      <w:r w:rsidRPr="003D5A85">
        <w:rPr>
          <w:rStyle w:val="longtext"/>
          <w:rFonts w:ascii="Times New Roman" w:hAnsi="Times New Roman" w:cs="Times New Roman"/>
          <w:sz w:val="24"/>
          <w:szCs w:val="24"/>
          <w:lang w:val="pt-PT"/>
        </w:rPr>
        <w:t xml:space="preserve"> </w:t>
      </w:r>
      <w:r w:rsidRPr="003D5A85">
        <w:rPr>
          <w:rStyle w:val="hps"/>
          <w:rFonts w:ascii="Times New Roman" w:hAnsi="Times New Roman" w:cs="Times New Roman"/>
          <w:sz w:val="24"/>
          <w:szCs w:val="24"/>
          <w:lang w:val="pt-PT"/>
        </w:rPr>
        <w:t>e imprevisíveis</w:t>
      </w:r>
      <w:r w:rsidRPr="003D5A85">
        <w:rPr>
          <w:rStyle w:val="longtext"/>
          <w:rFonts w:ascii="Times New Roman" w:hAnsi="Times New Roman" w:cs="Times New Roman"/>
          <w:sz w:val="24"/>
          <w:szCs w:val="24"/>
          <w:lang w:val="pt-PT"/>
        </w:rPr>
        <w:t xml:space="preserve"> </w:t>
      </w:r>
      <w:r w:rsidRPr="003D5A85">
        <w:rPr>
          <w:rStyle w:val="hps"/>
          <w:rFonts w:ascii="Times New Roman" w:hAnsi="Times New Roman" w:cs="Times New Roman"/>
          <w:sz w:val="24"/>
          <w:szCs w:val="24"/>
          <w:lang w:val="pt-PT"/>
        </w:rPr>
        <w:t>que podem ter efeitos</w:t>
      </w:r>
      <w:r w:rsidRPr="003D5A85">
        <w:rPr>
          <w:rStyle w:val="longtext"/>
          <w:rFonts w:ascii="Times New Roman" w:hAnsi="Times New Roman" w:cs="Times New Roman"/>
          <w:sz w:val="24"/>
          <w:szCs w:val="24"/>
          <w:lang w:val="pt-PT"/>
        </w:rPr>
        <w:t xml:space="preserve"> </w:t>
      </w:r>
      <w:r w:rsidRPr="003D5A85">
        <w:rPr>
          <w:rStyle w:val="hps"/>
          <w:rFonts w:ascii="Times New Roman" w:hAnsi="Times New Roman" w:cs="Times New Roman"/>
          <w:sz w:val="24"/>
          <w:szCs w:val="24"/>
          <w:lang w:val="pt-PT"/>
        </w:rPr>
        <w:t>persistentes</w:t>
      </w:r>
      <w:r>
        <w:rPr>
          <w:rStyle w:val="hps"/>
          <w:rFonts w:ascii="Times New Roman" w:hAnsi="Times New Roman" w:cs="Times New Roman"/>
          <w:sz w:val="24"/>
          <w:szCs w:val="24"/>
          <w:lang w:val="pt-PT"/>
        </w:rPr>
        <w:t>.</w:t>
      </w:r>
      <w:r>
        <w:rPr>
          <w:rFonts w:ascii="Times New Roman" w:hAnsi="Times New Roman" w:cs="Times New Roman"/>
          <w:sz w:val="24"/>
          <w:szCs w:val="24"/>
          <w:lang w:val="pt-PT"/>
        </w:rPr>
        <w:t xml:space="preserve">  Devido </w:t>
      </w:r>
      <w:proofErr w:type="gramStart"/>
      <w:r>
        <w:rPr>
          <w:rFonts w:ascii="Times New Roman" w:hAnsi="Times New Roman" w:cs="Times New Roman"/>
          <w:sz w:val="24"/>
          <w:szCs w:val="24"/>
          <w:lang w:val="pt-PT"/>
        </w:rPr>
        <w:t>a</w:t>
      </w:r>
      <w:proofErr w:type="gramEnd"/>
      <w:r>
        <w:rPr>
          <w:rFonts w:ascii="Times New Roman" w:hAnsi="Times New Roman" w:cs="Times New Roman"/>
          <w:sz w:val="24"/>
          <w:szCs w:val="24"/>
          <w:lang w:val="pt-PT"/>
        </w:rPr>
        <w:t xml:space="preserve"> volatilidade ser</w:t>
      </w:r>
      <w:r w:rsidR="003B1D06" w:rsidRPr="003B1D06">
        <w:rPr>
          <w:rFonts w:ascii="Times New Roman" w:hAnsi="Times New Roman" w:cs="Times New Roman"/>
          <w:sz w:val="24"/>
          <w:szCs w:val="24"/>
          <w:lang w:val="pt-PT"/>
        </w:rPr>
        <w:t xml:space="preserve"> uma característica fundamental dos preços das </w:t>
      </w:r>
      <w:r w:rsidR="003B1D06" w:rsidRPr="003D5A85">
        <w:rPr>
          <w:rFonts w:ascii="Times New Roman" w:hAnsi="Times New Roman" w:cs="Times New Roman"/>
          <w:i/>
          <w:sz w:val="24"/>
          <w:szCs w:val="24"/>
          <w:lang w:val="pt-PT"/>
        </w:rPr>
        <w:t>commodities</w:t>
      </w:r>
      <w:r w:rsidR="003B1D06" w:rsidRPr="003B1D06">
        <w:rPr>
          <w:rFonts w:ascii="Times New Roman" w:hAnsi="Times New Roman" w:cs="Times New Roman"/>
          <w:sz w:val="24"/>
          <w:szCs w:val="24"/>
          <w:lang w:val="pt-PT"/>
        </w:rPr>
        <w:t>, as informações</w:t>
      </w:r>
      <w:r w:rsidR="003B1D06">
        <w:rPr>
          <w:rFonts w:ascii="Times New Roman" w:hAnsi="Times New Roman" w:cs="Times New Roman"/>
          <w:sz w:val="24"/>
          <w:szCs w:val="24"/>
          <w:lang w:val="pt-PT"/>
        </w:rPr>
        <w:t xml:space="preserve"> </w:t>
      </w:r>
      <w:r w:rsidR="003B1D06" w:rsidRPr="003B1D06">
        <w:rPr>
          <w:rFonts w:ascii="Times New Roman" w:hAnsi="Times New Roman" w:cs="Times New Roman"/>
          <w:sz w:val="24"/>
          <w:szCs w:val="24"/>
          <w:lang w:val="pt-PT"/>
        </w:rPr>
        <w:t xml:space="preserve">sobre a natureza dessa volatilidade pode ser útil para </w:t>
      </w:r>
      <w:r>
        <w:rPr>
          <w:rFonts w:ascii="Times New Roman" w:hAnsi="Times New Roman" w:cs="Times New Roman"/>
          <w:sz w:val="24"/>
          <w:szCs w:val="24"/>
          <w:lang w:val="pt-PT"/>
        </w:rPr>
        <w:t xml:space="preserve">a tomada de decisões políticas. </w:t>
      </w:r>
      <w:r w:rsidR="003B1D06" w:rsidRPr="003B1D06">
        <w:rPr>
          <w:rFonts w:ascii="Times New Roman" w:hAnsi="Times New Roman" w:cs="Times New Roman"/>
          <w:sz w:val="24"/>
          <w:szCs w:val="24"/>
          <w:lang w:val="pt-PT"/>
        </w:rPr>
        <w:t>Além de examinar as tendências de preços de longo prazo</w:t>
      </w:r>
      <w:r w:rsidR="00A04D72">
        <w:rPr>
          <w:rFonts w:ascii="Times New Roman" w:hAnsi="Times New Roman" w:cs="Times New Roman"/>
          <w:sz w:val="24"/>
          <w:szCs w:val="24"/>
          <w:lang w:val="pt-PT"/>
        </w:rPr>
        <w:t>, sugere-se preocupar</w:t>
      </w:r>
      <w:r>
        <w:rPr>
          <w:rFonts w:ascii="Times New Roman" w:hAnsi="Times New Roman" w:cs="Times New Roman"/>
          <w:sz w:val="24"/>
          <w:szCs w:val="24"/>
          <w:lang w:val="pt-PT"/>
        </w:rPr>
        <w:t xml:space="preserve"> com </w:t>
      </w:r>
      <w:r w:rsidR="003B1D06" w:rsidRPr="003B1D06">
        <w:rPr>
          <w:rFonts w:ascii="Times New Roman" w:hAnsi="Times New Roman" w:cs="Times New Roman"/>
          <w:sz w:val="24"/>
          <w:szCs w:val="24"/>
          <w:lang w:val="pt-PT"/>
        </w:rPr>
        <w:t>o comprimento e</w:t>
      </w:r>
      <w:r w:rsidR="00A04D72">
        <w:rPr>
          <w:rFonts w:ascii="Times New Roman" w:hAnsi="Times New Roman" w:cs="Times New Roman"/>
          <w:sz w:val="24"/>
          <w:szCs w:val="24"/>
          <w:lang w:val="pt-PT"/>
        </w:rPr>
        <w:t xml:space="preserve"> </w:t>
      </w:r>
      <w:r w:rsidR="003B1D06" w:rsidRPr="003B1D06">
        <w:rPr>
          <w:rFonts w:ascii="Times New Roman" w:hAnsi="Times New Roman" w:cs="Times New Roman"/>
          <w:sz w:val="24"/>
          <w:szCs w:val="24"/>
          <w:lang w:val="pt-PT"/>
        </w:rPr>
        <w:t xml:space="preserve">o tamanho dos ciclos de preços de </w:t>
      </w:r>
      <w:r w:rsidR="003B1D06" w:rsidRPr="00A04D72">
        <w:rPr>
          <w:rFonts w:ascii="Times New Roman" w:hAnsi="Times New Roman" w:cs="Times New Roman"/>
          <w:i/>
          <w:sz w:val="24"/>
          <w:szCs w:val="24"/>
          <w:lang w:val="pt-PT"/>
        </w:rPr>
        <w:t>commodi</w:t>
      </w:r>
      <w:r w:rsidRPr="00A04D72">
        <w:rPr>
          <w:rFonts w:ascii="Times New Roman" w:hAnsi="Times New Roman" w:cs="Times New Roman"/>
          <w:i/>
          <w:sz w:val="24"/>
          <w:szCs w:val="24"/>
          <w:lang w:val="pt-PT"/>
        </w:rPr>
        <w:t>ties</w:t>
      </w:r>
      <w:r>
        <w:rPr>
          <w:rFonts w:ascii="Times New Roman" w:hAnsi="Times New Roman" w:cs="Times New Roman"/>
          <w:sz w:val="24"/>
          <w:szCs w:val="24"/>
          <w:lang w:val="pt-PT"/>
        </w:rPr>
        <w:t xml:space="preserve">. </w:t>
      </w:r>
      <w:r w:rsidR="00A04D72">
        <w:rPr>
          <w:rFonts w:ascii="Times New Roman" w:hAnsi="Times New Roman" w:cs="Times New Roman"/>
          <w:sz w:val="24"/>
          <w:szCs w:val="24"/>
          <w:lang w:val="pt-PT"/>
        </w:rPr>
        <w:t xml:space="preserve">Melhorar a compreensão da duração e amplitude dos ciclos de preços de </w:t>
      </w:r>
      <w:r w:rsidR="00A04D72" w:rsidRPr="00A04D72">
        <w:rPr>
          <w:rFonts w:ascii="Times New Roman" w:hAnsi="Times New Roman" w:cs="Times New Roman"/>
          <w:i/>
          <w:sz w:val="24"/>
          <w:szCs w:val="24"/>
          <w:lang w:val="pt-PT"/>
        </w:rPr>
        <w:t>commodities</w:t>
      </w:r>
      <w:r w:rsidR="00A04D72">
        <w:rPr>
          <w:rFonts w:ascii="Times New Roman" w:hAnsi="Times New Roman" w:cs="Times New Roman"/>
          <w:sz w:val="24"/>
          <w:szCs w:val="24"/>
          <w:lang w:val="pt-PT"/>
        </w:rPr>
        <w:t xml:space="preserve"> torna-se um insumo fundamental nos esforços em </w:t>
      </w:r>
      <w:r w:rsidR="003B1D06" w:rsidRPr="003B1D06">
        <w:rPr>
          <w:rFonts w:ascii="Times New Roman" w:hAnsi="Times New Roman" w:cs="Times New Roman"/>
          <w:sz w:val="24"/>
          <w:szCs w:val="24"/>
          <w:lang w:val="pt-PT"/>
        </w:rPr>
        <w:t>es</w:t>
      </w:r>
      <w:r w:rsidR="00A04D72">
        <w:rPr>
          <w:rFonts w:ascii="Times New Roman" w:hAnsi="Times New Roman" w:cs="Times New Roman"/>
          <w:sz w:val="24"/>
          <w:szCs w:val="24"/>
          <w:lang w:val="pt-PT"/>
        </w:rPr>
        <w:t xml:space="preserve">tabilizar os efeitos macroeconômicos </w:t>
      </w:r>
      <w:r w:rsidR="003B1D06" w:rsidRPr="003B1D06">
        <w:rPr>
          <w:rFonts w:ascii="Times New Roman" w:hAnsi="Times New Roman" w:cs="Times New Roman"/>
          <w:sz w:val="24"/>
          <w:szCs w:val="24"/>
          <w:lang w:val="pt-PT"/>
        </w:rPr>
        <w:t>d</w:t>
      </w:r>
      <w:r w:rsidR="00A04D72">
        <w:rPr>
          <w:rFonts w:ascii="Times New Roman" w:hAnsi="Times New Roman" w:cs="Times New Roman"/>
          <w:sz w:val="24"/>
          <w:szCs w:val="24"/>
          <w:lang w:val="pt-PT"/>
        </w:rPr>
        <w:t xml:space="preserve">os </w:t>
      </w:r>
      <w:r w:rsidR="003B1D06" w:rsidRPr="003B1D06">
        <w:rPr>
          <w:rStyle w:val="hps"/>
          <w:rFonts w:ascii="Times New Roman" w:hAnsi="Times New Roman" w:cs="Times New Roman"/>
          <w:sz w:val="24"/>
          <w:szCs w:val="24"/>
          <w:lang w:val="pt-PT"/>
        </w:rPr>
        <w:t>movimentos</w:t>
      </w:r>
      <w:r w:rsidR="00A04D72">
        <w:rPr>
          <w:rStyle w:val="hps"/>
          <w:rFonts w:ascii="Times New Roman" w:hAnsi="Times New Roman" w:cs="Times New Roman"/>
          <w:sz w:val="24"/>
          <w:szCs w:val="24"/>
          <w:lang w:val="pt-PT"/>
        </w:rPr>
        <w:t xml:space="preserve"> de </w:t>
      </w:r>
      <w:r w:rsidR="003B1D06" w:rsidRPr="003B1D06">
        <w:rPr>
          <w:rStyle w:val="hps"/>
          <w:rFonts w:ascii="Times New Roman" w:hAnsi="Times New Roman" w:cs="Times New Roman"/>
          <w:sz w:val="24"/>
          <w:szCs w:val="24"/>
          <w:lang w:val="pt-PT"/>
        </w:rPr>
        <w:t>preços,</w:t>
      </w:r>
      <w:r w:rsidR="00A04D72">
        <w:rPr>
          <w:rStyle w:val="hps"/>
          <w:rFonts w:ascii="Times New Roman" w:hAnsi="Times New Roman" w:cs="Times New Roman"/>
          <w:sz w:val="24"/>
          <w:szCs w:val="24"/>
          <w:lang w:val="pt-PT"/>
        </w:rPr>
        <w:t xml:space="preserve"> principalmente </w:t>
      </w:r>
      <w:r w:rsidR="003B1D06" w:rsidRPr="003B1D06">
        <w:rPr>
          <w:rStyle w:val="hps"/>
          <w:rFonts w:ascii="Times New Roman" w:hAnsi="Times New Roman" w:cs="Times New Roman"/>
          <w:sz w:val="24"/>
          <w:szCs w:val="24"/>
          <w:lang w:val="pt-PT"/>
        </w:rPr>
        <w:t>para os países</w:t>
      </w:r>
      <w:r w:rsidR="003B1D06" w:rsidRPr="003B1D06">
        <w:rPr>
          <w:rFonts w:ascii="Times New Roman" w:hAnsi="Times New Roman" w:cs="Times New Roman"/>
          <w:sz w:val="24"/>
          <w:szCs w:val="24"/>
          <w:lang w:val="pt-PT"/>
        </w:rPr>
        <w:t xml:space="preserve"> </w:t>
      </w:r>
      <w:r w:rsidR="00A04D72">
        <w:rPr>
          <w:rFonts w:ascii="Times New Roman" w:hAnsi="Times New Roman" w:cs="Times New Roman"/>
          <w:sz w:val="24"/>
          <w:szCs w:val="24"/>
          <w:lang w:val="pt-PT"/>
        </w:rPr>
        <w:t xml:space="preserve">que são </w:t>
      </w:r>
      <w:r w:rsidR="003B1D06" w:rsidRPr="003B1D06">
        <w:rPr>
          <w:rStyle w:val="hps"/>
          <w:rFonts w:ascii="Times New Roman" w:hAnsi="Times New Roman" w:cs="Times New Roman"/>
          <w:sz w:val="24"/>
          <w:szCs w:val="24"/>
          <w:lang w:val="pt-PT"/>
        </w:rPr>
        <w:t xml:space="preserve">dependentes de </w:t>
      </w:r>
      <w:r w:rsidR="003B1D06" w:rsidRPr="00A04D72">
        <w:rPr>
          <w:rStyle w:val="hps"/>
          <w:rFonts w:ascii="Times New Roman" w:hAnsi="Times New Roman" w:cs="Times New Roman"/>
          <w:i/>
          <w:sz w:val="24"/>
          <w:szCs w:val="24"/>
          <w:lang w:val="pt-PT"/>
        </w:rPr>
        <w:t>commodities</w:t>
      </w:r>
      <w:r w:rsidR="001F4DCA">
        <w:rPr>
          <w:rStyle w:val="hps"/>
          <w:rFonts w:ascii="Times New Roman" w:hAnsi="Times New Roman" w:cs="Times New Roman"/>
          <w:i/>
          <w:sz w:val="24"/>
          <w:szCs w:val="24"/>
          <w:lang w:val="pt-PT"/>
        </w:rPr>
        <w:t xml:space="preserve"> </w:t>
      </w:r>
      <w:r w:rsidR="001F4DCA">
        <w:rPr>
          <w:rStyle w:val="hps"/>
          <w:rFonts w:ascii="Times New Roman" w:hAnsi="Times New Roman" w:cs="Times New Roman"/>
          <w:sz w:val="24"/>
          <w:szCs w:val="24"/>
          <w:lang w:val="pt-PT"/>
        </w:rPr>
        <w:t>(</w:t>
      </w:r>
      <w:proofErr w:type="spellStart"/>
      <w:r w:rsidR="001F4DCA">
        <w:rPr>
          <w:rFonts w:ascii="Times New Roman" w:hAnsi="Times New Roman" w:cs="Times New Roman"/>
          <w:sz w:val="24"/>
          <w:szCs w:val="24"/>
        </w:rPr>
        <w:t>Cashin</w:t>
      </w:r>
      <w:proofErr w:type="spellEnd"/>
      <w:r w:rsidR="001F4DCA">
        <w:rPr>
          <w:rFonts w:ascii="Times New Roman" w:hAnsi="Times New Roman" w:cs="Times New Roman"/>
          <w:sz w:val="24"/>
          <w:szCs w:val="24"/>
        </w:rPr>
        <w:t xml:space="preserve">, P. e </w:t>
      </w:r>
      <w:proofErr w:type="spellStart"/>
      <w:r w:rsidR="001F4DCA">
        <w:rPr>
          <w:rFonts w:ascii="Times New Roman" w:hAnsi="Times New Roman" w:cs="Times New Roman"/>
          <w:sz w:val="24"/>
          <w:szCs w:val="24"/>
        </w:rPr>
        <w:t>McDerrmott</w:t>
      </w:r>
      <w:proofErr w:type="spellEnd"/>
      <w:r w:rsidR="001F4DCA">
        <w:rPr>
          <w:rFonts w:ascii="Times New Roman" w:hAnsi="Times New Roman" w:cs="Times New Roman"/>
          <w:sz w:val="24"/>
          <w:szCs w:val="24"/>
        </w:rPr>
        <w:t>, 2002</w:t>
      </w:r>
      <w:proofErr w:type="gramStart"/>
      <w:r w:rsidR="001F4DCA">
        <w:rPr>
          <w:rFonts w:ascii="Times New Roman" w:hAnsi="Times New Roman" w:cs="Times New Roman"/>
          <w:sz w:val="24"/>
          <w:szCs w:val="24"/>
        </w:rPr>
        <w:t>)</w:t>
      </w:r>
      <w:r w:rsidR="001F4DCA">
        <w:rPr>
          <w:rStyle w:val="hps"/>
          <w:rFonts w:ascii="Times New Roman" w:hAnsi="Times New Roman" w:cs="Times New Roman"/>
          <w:i/>
          <w:sz w:val="24"/>
          <w:szCs w:val="24"/>
          <w:lang w:val="pt-PT"/>
        </w:rPr>
        <w:t xml:space="preserve"> </w:t>
      </w:r>
      <w:r w:rsidR="003B1D06" w:rsidRPr="003B1D06">
        <w:rPr>
          <w:rFonts w:ascii="Times New Roman" w:hAnsi="Times New Roman" w:cs="Times New Roman"/>
          <w:sz w:val="24"/>
          <w:szCs w:val="24"/>
          <w:lang w:val="pt-PT"/>
        </w:rPr>
        <w:t>.</w:t>
      </w:r>
      <w:proofErr w:type="gramEnd"/>
    </w:p>
    <w:p w:rsidR="00B526C2" w:rsidRDefault="00B526C2" w:rsidP="00395163">
      <w:pPr>
        <w:spacing w:after="100" w:afterAutospacing="1"/>
        <w:jc w:val="both"/>
        <w:rPr>
          <w:rFonts w:ascii="Times New Roman" w:hAnsi="Times New Roman" w:cs="Times New Roman"/>
          <w:sz w:val="24"/>
          <w:szCs w:val="24"/>
        </w:rPr>
      </w:pPr>
      <w:r>
        <w:rPr>
          <w:rFonts w:ascii="Times New Roman" w:hAnsi="Times New Roman" w:cs="Times New Roman"/>
          <w:sz w:val="24"/>
          <w:szCs w:val="24"/>
        </w:rPr>
        <w:t>Por fim, é importante destacar que, conforme recomendado pela teoria, no que é seguida pela experiência internacional, a politica monetária deve acomodar os efeitos de primeira ordem do choque de oferta e se manter vigilante para conter sua propagação e tentativas de recomposição de preços relativos (os efeitos de segunda ordem).</w:t>
      </w:r>
    </w:p>
    <w:p w:rsidR="00217EAC" w:rsidRDefault="00217EAC" w:rsidP="00395163">
      <w:pPr>
        <w:spacing w:after="100" w:afterAutospacing="1"/>
        <w:jc w:val="both"/>
        <w:rPr>
          <w:rFonts w:ascii="Times New Roman" w:hAnsi="Times New Roman" w:cs="Times New Roman"/>
          <w:sz w:val="24"/>
          <w:szCs w:val="24"/>
        </w:rPr>
      </w:pPr>
    </w:p>
    <w:p w:rsidR="004C52DA" w:rsidRDefault="00F050A9" w:rsidP="00C3357F">
      <w:pPr>
        <w:spacing w:after="100" w:afterAutospacing="1"/>
        <w:jc w:val="both"/>
        <w:rPr>
          <w:rFonts w:ascii="Times New Roman" w:hAnsi="Times New Roman" w:cs="Times New Roman"/>
          <w:sz w:val="24"/>
          <w:szCs w:val="24"/>
        </w:rPr>
      </w:pPr>
      <w:r>
        <w:rPr>
          <w:rFonts w:ascii="Times New Roman" w:hAnsi="Times New Roman" w:cs="Times New Roman"/>
          <w:b/>
          <w:sz w:val="24"/>
          <w:szCs w:val="24"/>
        </w:rPr>
        <w:lastRenderedPageBreak/>
        <w:t>6</w:t>
      </w:r>
      <w:r w:rsidR="004C52DA" w:rsidRPr="004C52DA">
        <w:rPr>
          <w:rFonts w:ascii="Times New Roman" w:hAnsi="Times New Roman" w:cs="Times New Roman"/>
          <w:b/>
          <w:sz w:val="24"/>
          <w:szCs w:val="24"/>
        </w:rPr>
        <w:t>. Considerações Finais</w:t>
      </w:r>
    </w:p>
    <w:p w:rsidR="00824511" w:rsidRDefault="00824511"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No contexto geral deste trabalho, queríamos </w:t>
      </w:r>
      <w:r w:rsidR="00941C7C">
        <w:rPr>
          <w:rFonts w:ascii="Times New Roman" w:hAnsi="Times New Roman" w:cs="Times New Roman"/>
          <w:sz w:val="24"/>
          <w:szCs w:val="24"/>
        </w:rPr>
        <w:t>mostrar</w:t>
      </w:r>
      <w:r>
        <w:rPr>
          <w:rFonts w:ascii="Times New Roman" w:hAnsi="Times New Roman" w:cs="Times New Roman"/>
          <w:sz w:val="24"/>
          <w:szCs w:val="24"/>
        </w:rPr>
        <w:t xml:space="preserve"> a importância dos preços das </w:t>
      </w:r>
      <w:r w:rsidRPr="004937DB">
        <w:rPr>
          <w:rFonts w:ascii="Times New Roman" w:hAnsi="Times New Roman" w:cs="Times New Roman"/>
          <w:i/>
          <w:sz w:val="24"/>
          <w:szCs w:val="24"/>
        </w:rPr>
        <w:t>commodities</w:t>
      </w:r>
      <w:r>
        <w:rPr>
          <w:rFonts w:ascii="Times New Roman" w:hAnsi="Times New Roman" w:cs="Times New Roman"/>
          <w:sz w:val="24"/>
          <w:szCs w:val="24"/>
        </w:rPr>
        <w:t xml:space="preserve"> para a sincronia recente das taxas de inflação. Dentro do período analisado, </w:t>
      </w:r>
      <w:r w:rsidR="00E10124">
        <w:rPr>
          <w:rFonts w:ascii="Times New Roman" w:hAnsi="Times New Roman" w:cs="Times New Roman"/>
          <w:sz w:val="24"/>
          <w:szCs w:val="24"/>
        </w:rPr>
        <w:t>o</w:t>
      </w:r>
      <w:r>
        <w:rPr>
          <w:rFonts w:ascii="Times New Roman" w:hAnsi="Times New Roman" w:cs="Times New Roman"/>
          <w:sz w:val="24"/>
          <w:szCs w:val="24"/>
        </w:rPr>
        <w:t xml:space="preserve"> comportamento sincronizado da inflação mundial sugere a influência preponderante de fatores comuns a todas as economias</w:t>
      </w:r>
      <w:r w:rsidR="00E10124">
        <w:rPr>
          <w:rFonts w:ascii="Times New Roman" w:hAnsi="Times New Roman" w:cs="Times New Roman"/>
          <w:sz w:val="24"/>
          <w:szCs w:val="24"/>
        </w:rPr>
        <w:t xml:space="preserve">, com ênfase no impacto dos ciclos econômicos sobre a evolução dos preços das </w:t>
      </w:r>
      <w:r w:rsidR="00E10124" w:rsidRPr="00E10124">
        <w:rPr>
          <w:rFonts w:ascii="Times New Roman" w:hAnsi="Times New Roman" w:cs="Times New Roman"/>
          <w:i/>
          <w:sz w:val="24"/>
          <w:szCs w:val="24"/>
        </w:rPr>
        <w:t>commodities</w:t>
      </w:r>
      <w:r w:rsidR="00E10124">
        <w:rPr>
          <w:rFonts w:ascii="Times New Roman" w:hAnsi="Times New Roman" w:cs="Times New Roman"/>
          <w:sz w:val="24"/>
          <w:szCs w:val="24"/>
        </w:rPr>
        <w:t xml:space="preserve">. Períodos em que houve crescimento econômico mundial, impulsionado principalmente pelas economias emergentes, contribuiu para a elevação das cotações internacionais das </w:t>
      </w:r>
      <w:r w:rsidR="00E10124" w:rsidRPr="00E10124">
        <w:rPr>
          <w:rFonts w:ascii="Times New Roman" w:hAnsi="Times New Roman" w:cs="Times New Roman"/>
          <w:i/>
          <w:sz w:val="24"/>
          <w:szCs w:val="24"/>
        </w:rPr>
        <w:t>commodities</w:t>
      </w:r>
      <w:r w:rsidR="00E10124">
        <w:rPr>
          <w:rFonts w:ascii="Times New Roman" w:hAnsi="Times New Roman" w:cs="Times New Roman"/>
          <w:sz w:val="24"/>
          <w:szCs w:val="24"/>
        </w:rPr>
        <w:t xml:space="preserve"> e aumento da inflação mundial. Ademais, por exemplo, ao final de 2008, refletindo a acentuada contração da atividade econômica global, o recuo nos preços das </w:t>
      </w:r>
      <w:r w:rsidR="00E10124" w:rsidRPr="00941C7C">
        <w:rPr>
          <w:rFonts w:ascii="Times New Roman" w:hAnsi="Times New Roman" w:cs="Times New Roman"/>
          <w:i/>
          <w:sz w:val="24"/>
          <w:szCs w:val="24"/>
        </w:rPr>
        <w:t>commodities</w:t>
      </w:r>
      <w:r w:rsidR="00E10124">
        <w:rPr>
          <w:rFonts w:ascii="Times New Roman" w:hAnsi="Times New Roman" w:cs="Times New Roman"/>
          <w:sz w:val="24"/>
          <w:szCs w:val="24"/>
        </w:rPr>
        <w:t xml:space="preserve"> se traduziu em redução generalizada das taxas de inflação.</w:t>
      </w:r>
    </w:p>
    <w:p w:rsidR="00941C7C" w:rsidRDefault="00941C7C" w:rsidP="00941C7C">
      <w:pPr>
        <w:jc w:val="both"/>
        <w:rPr>
          <w:rFonts w:ascii="Times New Roman" w:hAnsi="Times New Roman" w:cs="Times New Roman"/>
          <w:sz w:val="24"/>
          <w:szCs w:val="24"/>
        </w:rPr>
      </w:pPr>
      <w:r w:rsidRPr="00941C7C">
        <w:rPr>
          <w:rFonts w:ascii="Times New Roman" w:hAnsi="Times New Roman" w:cs="Times New Roman"/>
          <w:sz w:val="24"/>
          <w:szCs w:val="24"/>
        </w:rPr>
        <w:t>Buscou-se</w:t>
      </w:r>
      <w:r w:rsidR="00824511" w:rsidRPr="00941C7C">
        <w:rPr>
          <w:rFonts w:ascii="Times New Roman" w:hAnsi="Times New Roman" w:cs="Times New Roman"/>
          <w:sz w:val="24"/>
          <w:szCs w:val="24"/>
        </w:rPr>
        <w:t xml:space="preserve"> apresentar o Índice de </w:t>
      </w:r>
      <w:r w:rsidR="00824511" w:rsidRPr="00941C7C">
        <w:rPr>
          <w:rFonts w:ascii="Times New Roman" w:hAnsi="Times New Roman" w:cs="Times New Roman"/>
          <w:i/>
          <w:sz w:val="24"/>
          <w:szCs w:val="24"/>
        </w:rPr>
        <w:t>Commodities</w:t>
      </w:r>
      <w:r w:rsidR="00824511" w:rsidRPr="00941C7C">
        <w:rPr>
          <w:rFonts w:ascii="Times New Roman" w:hAnsi="Times New Roman" w:cs="Times New Roman"/>
          <w:sz w:val="24"/>
          <w:szCs w:val="24"/>
        </w:rPr>
        <w:t xml:space="preserve"> Brasil (</w:t>
      </w:r>
      <w:proofErr w:type="gramStart"/>
      <w:r w:rsidR="00824511" w:rsidRPr="00941C7C">
        <w:rPr>
          <w:rFonts w:ascii="Times New Roman" w:hAnsi="Times New Roman" w:cs="Times New Roman"/>
          <w:sz w:val="24"/>
          <w:szCs w:val="24"/>
        </w:rPr>
        <w:t>IC-</w:t>
      </w:r>
      <w:proofErr w:type="spellStart"/>
      <w:r w:rsidR="00824511" w:rsidRPr="00941C7C">
        <w:rPr>
          <w:rFonts w:ascii="Times New Roman" w:hAnsi="Times New Roman" w:cs="Times New Roman"/>
          <w:sz w:val="24"/>
          <w:szCs w:val="24"/>
        </w:rPr>
        <w:t>Br</w:t>
      </w:r>
      <w:proofErr w:type="spellEnd"/>
      <w:proofErr w:type="gramEnd"/>
      <w:r w:rsidR="00824511" w:rsidRPr="00941C7C">
        <w:rPr>
          <w:rFonts w:ascii="Times New Roman" w:hAnsi="Times New Roman" w:cs="Times New Roman"/>
          <w:sz w:val="24"/>
          <w:szCs w:val="24"/>
        </w:rPr>
        <w:t xml:space="preserve">), </w:t>
      </w:r>
      <w:r w:rsidRPr="00941C7C">
        <w:rPr>
          <w:rFonts w:ascii="Times New Roman" w:hAnsi="Times New Roman" w:cs="Times New Roman"/>
          <w:sz w:val="24"/>
          <w:szCs w:val="24"/>
        </w:rPr>
        <w:t xml:space="preserve">subgrupo </w:t>
      </w:r>
      <w:r w:rsidRPr="00941C7C">
        <w:rPr>
          <w:rFonts w:ascii="Times New Roman" w:hAnsi="Times New Roman" w:cs="Times New Roman"/>
          <w:i/>
          <w:sz w:val="24"/>
          <w:szCs w:val="24"/>
        </w:rPr>
        <w:t>commodities</w:t>
      </w:r>
      <w:r w:rsidRPr="00941C7C">
        <w:rPr>
          <w:rFonts w:ascii="Times New Roman" w:hAnsi="Times New Roman" w:cs="Times New Roman"/>
          <w:sz w:val="24"/>
          <w:szCs w:val="24"/>
        </w:rPr>
        <w:t xml:space="preserve"> agropecuárias no índice do B</w:t>
      </w:r>
      <w:r>
        <w:rPr>
          <w:rFonts w:ascii="Times New Roman" w:hAnsi="Times New Roman" w:cs="Times New Roman"/>
          <w:sz w:val="24"/>
          <w:szCs w:val="24"/>
        </w:rPr>
        <w:t xml:space="preserve">anco </w:t>
      </w:r>
      <w:r w:rsidRPr="00941C7C">
        <w:rPr>
          <w:rFonts w:ascii="Times New Roman" w:hAnsi="Times New Roman" w:cs="Times New Roman"/>
          <w:sz w:val="24"/>
          <w:szCs w:val="24"/>
        </w:rPr>
        <w:t>C</w:t>
      </w:r>
      <w:r>
        <w:rPr>
          <w:rFonts w:ascii="Times New Roman" w:hAnsi="Times New Roman" w:cs="Times New Roman"/>
          <w:sz w:val="24"/>
          <w:szCs w:val="24"/>
        </w:rPr>
        <w:t>entral</w:t>
      </w:r>
      <w:r w:rsidRPr="00941C7C">
        <w:rPr>
          <w:rFonts w:ascii="Times New Roman" w:hAnsi="Times New Roman" w:cs="Times New Roman"/>
          <w:sz w:val="24"/>
          <w:szCs w:val="24"/>
        </w:rPr>
        <w:t xml:space="preserve"> que monitora os preços de matérias-primas</w:t>
      </w:r>
      <w:r>
        <w:rPr>
          <w:rFonts w:ascii="Times New Roman" w:hAnsi="Times New Roman" w:cs="Times New Roman"/>
          <w:sz w:val="24"/>
          <w:szCs w:val="24"/>
        </w:rPr>
        <w:t xml:space="preserve">, </w:t>
      </w:r>
      <w:r w:rsidR="00824511">
        <w:rPr>
          <w:rFonts w:ascii="Times New Roman" w:hAnsi="Times New Roman" w:cs="Times New Roman"/>
          <w:sz w:val="24"/>
          <w:szCs w:val="24"/>
        </w:rPr>
        <w:t xml:space="preserve">um indicador de preços de </w:t>
      </w:r>
      <w:r w:rsidR="00824511" w:rsidRPr="00824511">
        <w:rPr>
          <w:rFonts w:ascii="Times New Roman" w:hAnsi="Times New Roman" w:cs="Times New Roman"/>
          <w:i/>
          <w:sz w:val="24"/>
          <w:szCs w:val="24"/>
        </w:rPr>
        <w:t>commodities</w:t>
      </w:r>
      <w:r w:rsidR="00824511">
        <w:rPr>
          <w:rFonts w:ascii="Times New Roman" w:hAnsi="Times New Roman" w:cs="Times New Roman"/>
          <w:sz w:val="24"/>
          <w:szCs w:val="24"/>
        </w:rPr>
        <w:t xml:space="preserve"> mais relevante para o entendimento do processo de repasse desses preços à inflação no Brasil. </w:t>
      </w:r>
      <w:r w:rsidR="00E10124">
        <w:rPr>
          <w:rFonts w:ascii="Times New Roman" w:hAnsi="Times New Roman" w:cs="Times New Roman"/>
          <w:sz w:val="24"/>
          <w:szCs w:val="24"/>
        </w:rPr>
        <w:t xml:space="preserve">A trajetória recente deste indicador, como </w:t>
      </w:r>
      <w:r>
        <w:rPr>
          <w:rFonts w:ascii="Times New Roman" w:hAnsi="Times New Roman" w:cs="Times New Roman"/>
          <w:sz w:val="24"/>
          <w:szCs w:val="24"/>
        </w:rPr>
        <w:t>mostramo</w:t>
      </w:r>
      <w:r w:rsidR="008F58CD">
        <w:rPr>
          <w:rFonts w:ascii="Times New Roman" w:hAnsi="Times New Roman" w:cs="Times New Roman"/>
          <w:sz w:val="24"/>
          <w:szCs w:val="24"/>
        </w:rPr>
        <w:t>s graficamente neste trabalho, confirma a visão de que houv</w:t>
      </w:r>
      <w:r>
        <w:rPr>
          <w:rFonts w:ascii="Times New Roman" w:hAnsi="Times New Roman" w:cs="Times New Roman"/>
          <w:sz w:val="24"/>
          <w:szCs w:val="24"/>
        </w:rPr>
        <w:t>e contribuição significativa, no período analisado</w:t>
      </w:r>
      <w:r w:rsidR="008F58CD">
        <w:rPr>
          <w:rFonts w:ascii="Times New Roman" w:hAnsi="Times New Roman" w:cs="Times New Roman"/>
          <w:sz w:val="24"/>
          <w:szCs w:val="24"/>
        </w:rPr>
        <w:t xml:space="preserve">, da elevação dos preços das </w:t>
      </w:r>
      <w:r w:rsidR="008F58CD" w:rsidRPr="00941C7C">
        <w:rPr>
          <w:rFonts w:ascii="Times New Roman" w:hAnsi="Times New Roman" w:cs="Times New Roman"/>
          <w:i/>
          <w:sz w:val="24"/>
          <w:szCs w:val="24"/>
        </w:rPr>
        <w:t>commodities</w:t>
      </w:r>
      <w:r w:rsidR="008F58CD">
        <w:rPr>
          <w:rFonts w:ascii="Times New Roman" w:hAnsi="Times New Roman" w:cs="Times New Roman"/>
          <w:sz w:val="24"/>
          <w:szCs w:val="24"/>
        </w:rPr>
        <w:t xml:space="preserve"> para a aceleração do Índice Nacional de Preços ao Consumidor Amplo (IPCA). </w:t>
      </w:r>
    </w:p>
    <w:p w:rsidR="00941C7C" w:rsidRDefault="00941C7C" w:rsidP="00941C7C">
      <w:pPr>
        <w:jc w:val="both"/>
        <w:rPr>
          <w:rFonts w:ascii="Times New Roman" w:hAnsi="Times New Roman" w:cs="Times New Roman"/>
          <w:sz w:val="24"/>
          <w:szCs w:val="24"/>
        </w:rPr>
      </w:pPr>
    </w:p>
    <w:p w:rsidR="00941C7C" w:rsidRPr="00F3257E" w:rsidRDefault="00941C7C" w:rsidP="004E705F">
      <w:pPr>
        <w:jc w:val="both"/>
        <w:rPr>
          <w:rFonts w:ascii="Times New Roman" w:hAnsi="Times New Roman" w:cs="Times New Roman"/>
          <w:sz w:val="24"/>
          <w:szCs w:val="24"/>
        </w:rPr>
      </w:pPr>
      <w:r>
        <w:rPr>
          <w:rFonts w:ascii="Times New Roman" w:hAnsi="Times New Roman" w:cs="Times New Roman"/>
          <w:sz w:val="24"/>
          <w:szCs w:val="24"/>
        </w:rPr>
        <w:t xml:space="preserve">Em suma, este artigo apresentou evidências de que a dinâmica dos preços das </w:t>
      </w:r>
      <w:r w:rsidRPr="00941C7C">
        <w:rPr>
          <w:rFonts w:ascii="Times New Roman" w:hAnsi="Times New Roman" w:cs="Times New Roman"/>
          <w:i/>
          <w:sz w:val="24"/>
          <w:szCs w:val="24"/>
        </w:rPr>
        <w:t>commodities</w:t>
      </w:r>
      <w:r>
        <w:rPr>
          <w:rFonts w:ascii="Times New Roman" w:hAnsi="Times New Roman" w:cs="Times New Roman"/>
          <w:sz w:val="24"/>
          <w:szCs w:val="24"/>
        </w:rPr>
        <w:t xml:space="preserve"> esteve, na última década, correlacionada com as taxas de inflação. </w:t>
      </w:r>
      <w:r w:rsidR="004E705F">
        <w:rPr>
          <w:rFonts w:ascii="Times New Roman" w:hAnsi="Times New Roman" w:cs="Times New Roman"/>
          <w:sz w:val="24"/>
          <w:szCs w:val="24"/>
        </w:rPr>
        <w:t xml:space="preserve">O componente “choque de oferta”, principalmente de curto prazo </w:t>
      </w:r>
      <w:r>
        <w:rPr>
          <w:rFonts w:ascii="Times New Roman" w:hAnsi="Times New Roman" w:cs="Times New Roman"/>
          <w:sz w:val="24"/>
          <w:szCs w:val="24"/>
        </w:rPr>
        <w:t>explicou a maior parte</w:t>
      </w:r>
      <w:r w:rsidR="004E705F">
        <w:rPr>
          <w:rFonts w:ascii="Times New Roman" w:hAnsi="Times New Roman" w:cs="Times New Roman"/>
          <w:sz w:val="24"/>
          <w:szCs w:val="24"/>
        </w:rPr>
        <w:t xml:space="preserve"> da inflação observada. E por fim, conforme recomendado pelos autores </w:t>
      </w:r>
      <w:r w:rsidR="004E705F" w:rsidRPr="00F3257E">
        <w:rPr>
          <w:rFonts w:ascii="Times New Roman" w:hAnsi="Times New Roman" w:cs="Times New Roman"/>
          <w:sz w:val="24"/>
          <w:szCs w:val="24"/>
        </w:rPr>
        <w:t>estudados</w:t>
      </w:r>
      <w:r w:rsidR="00F3257E" w:rsidRPr="00F3257E">
        <w:rPr>
          <w:rFonts w:ascii="Times New Roman" w:hAnsi="Times New Roman" w:cs="Times New Roman"/>
          <w:sz w:val="24"/>
          <w:szCs w:val="24"/>
        </w:rPr>
        <w:t>, na ocasião de um choque de of</w:t>
      </w:r>
      <w:r w:rsidR="00F3257E">
        <w:rPr>
          <w:rFonts w:ascii="Times New Roman" w:hAnsi="Times New Roman" w:cs="Times New Roman"/>
          <w:sz w:val="24"/>
          <w:szCs w:val="24"/>
        </w:rPr>
        <w:t>erta – como o advindo da</w:t>
      </w:r>
      <w:r w:rsidR="00F3257E" w:rsidRPr="00F3257E">
        <w:rPr>
          <w:rFonts w:ascii="Times New Roman" w:hAnsi="Times New Roman" w:cs="Times New Roman"/>
          <w:sz w:val="24"/>
          <w:szCs w:val="24"/>
        </w:rPr>
        <w:t xml:space="preserve"> elevação dos preços das </w:t>
      </w:r>
      <w:r w:rsidR="00F3257E" w:rsidRPr="00F3257E">
        <w:rPr>
          <w:rFonts w:ascii="Times New Roman" w:hAnsi="Times New Roman" w:cs="Times New Roman"/>
          <w:i/>
          <w:sz w:val="24"/>
          <w:szCs w:val="24"/>
        </w:rPr>
        <w:t>commodities</w:t>
      </w:r>
      <w:r w:rsidR="00F3257E" w:rsidRPr="00F3257E">
        <w:rPr>
          <w:rFonts w:ascii="Times New Roman" w:hAnsi="Times New Roman" w:cs="Times New Roman"/>
          <w:sz w:val="24"/>
          <w:szCs w:val="24"/>
        </w:rPr>
        <w:t xml:space="preserve"> no mercado internacional – a autoridade monetária deve acolher a inflação decorrente da mudança de preços relativos</w:t>
      </w:r>
      <w:r w:rsidR="00F3257E">
        <w:rPr>
          <w:rFonts w:ascii="Times New Roman" w:hAnsi="Times New Roman" w:cs="Times New Roman"/>
          <w:sz w:val="24"/>
          <w:szCs w:val="24"/>
        </w:rPr>
        <w:t xml:space="preserve"> ou acomodar os efeitos de primeira ordem</w:t>
      </w:r>
      <w:r w:rsidR="00F3257E" w:rsidRPr="00F3257E">
        <w:rPr>
          <w:rFonts w:ascii="Times New Roman" w:hAnsi="Times New Roman" w:cs="Times New Roman"/>
          <w:sz w:val="24"/>
          <w:szCs w:val="24"/>
        </w:rPr>
        <w:t xml:space="preserve"> (efeito primário) e neutralizar os efeitos inflacionários inerciais (efeitos secundários) desse choque. Essa neutralização dos efeitos inerciais do choque deve ser feita por meio de um choque recessivo de demanda, isto é, uma contração da demanda agregada gerada</w:t>
      </w:r>
      <w:r w:rsidR="00F3257E">
        <w:rPr>
          <w:rFonts w:ascii="Times New Roman" w:hAnsi="Times New Roman" w:cs="Times New Roman"/>
          <w:sz w:val="24"/>
          <w:szCs w:val="24"/>
        </w:rPr>
        <w:t xml:space="preserve"> pela elevação da taxa de juros</w:t>
      </w:r>
      <w:r w:rsidR="00F3257E" w:rsidRPr="00F3257E">
        <w:rPr>
          <w:rFonts w:ascii="Times New Roman" w:hAnsi="Times New Roman" w:cs="Times New Roman"/>
          <w:sz w:val="24"/>
          <w:szCs w:val="24"/>
        </w:rPr>
        <w:t xml:space="preserve">, </w:t>
      </w:r>
      <w:r w:rsidR="00F3257E">
        <w:rPr>
          <w:rFonts w:ascii="Times New Roman" w:hAnsi="Times New Roman" w:cs="Times New Roman"/>
          <w:sz w:val="24"/>
          <w:szCs w:val="24"/>
        </w:rPr>
        <w:t xml:space="preserve">mantendo-se em </w:t>
      </w:r>
      <w:r w:rsidR="00F3257E" w:rsidRPr="00F3257E">
        <w:rPr>
          <w:rFonts w:ascii="Times New Roman" w:hAnsi="Times New Roman" w:cs="Times New Roman"/>
          <w:sz w:val="24"/>
          <w:szCs w:val="24"/>
        </w:rPr>
        <w:t>linha com os pressupostos teóricos do regime de metas de inflação.</w:t>
      </w:r>
    </w:p>
    <w:p w:rsidR="00941C7C" w:rsidRDefault="00941C7C" w:rsidP="00941C7C">
      <w:pPr>
        <w:jc w:val="both"/>
        <w:rPr>
          <w:rFonts w:ascii="Times New Roman" w:hAnsi="Times New Roman" w:cs="Times New Roman"/>
          <w:sz w:val="24"/>
          <w:szCs w:val="24"/>
        </w:rPr>
      </w:pPr>
    </w:p>
    <w:p w:rsidR="00941C7C" w:rsidRDefault="00941C7C" w:rsidP="00941C7C">
      <w:pPr>
        <w:jc w:val="both"/>
        <w:rPr>
          <w:rFonts w:ascii="Times New Roman" w:hAnsi="Times New Roman" w:cs="Times New Roman"/>
          <w:sz w:val="24"/>
          <w:szCs w:val="24"/>
        </w:rPr>
      </w:pPr>
    </w:p>
    <w:p w:rsidR="00941C7C" w:rsidRPr="00941C7C" w:rsidRDefault="00941C7C" w:rsidP="00941C7C">
      <w:pPr>
        <w:jc w:val="both"/>
        <w:rPr>
          <w:rFonts w:ascii="Times New Roman" w:hAnsi="Times New Roman" w:cs="Times New Roman"/>
          <w:sz w:val="24"/>
          <w:szCs w:val="24"/>
        </w:rPr>
      </w:pPr>
    </w:p>
    <w:p w:rsidR="002E4E60" w:rsidRDefault="0036736A" w:rsidP="00C3357F">
      <w:pPr>
        <w:spacing w:after="100" w:afterAutospacing="1"/>
        <w:jc w:val="both"/>
        <w:rPr>
          <w:rFonts w:ascii="Times New Roman" w:hAnsi="Times New Roman" w:cs="Times New Roman"/>
          <w:b/>
          <w:sz w:val="24"/>
          <w:szCs w:val="24"/>
        </w:rPr>
      </w:pPr>
      <w:r w:rsidRPr="0036736A">
        <w:rPr>
          <w:rFonts w:ascii="Times New Roman" w:hAnsi="Times New Roman" w:cs="Times New Roman"/>
          <w:b/>
          <w:sz w:val="24"/>
          <w:szCs w:val="24"/>
        </w:rPr>
        <w:lastRenderedPageBreak/>
        <w:t>Referências Bibliográficas</w:t>
      </w:r>
    </w:p>
    <w:p w:rsidR="0036736A" w:rsidRDefault="0036736A" w:rsidP="00C3357F">
      <w:pPr>
        <w:spacing w:after="100" w:afterAutospacing="1"/>
        <w:jc w:val="both"/>
        <w:rPr>
          <w:rFonts w:ascii="Times New Roman" w:hAnsi="Times New Roman" w:cs="Times New Roman"/>
          <w:sz w:val="24"/>
          <w:szCs w:val="24"/>
          <w:lang w:val="en-US"/>
        </w:rPr>
      </w:pPr>
      <w:r w:rsidRPr="0036736A">
        <w:rPr>
          <w:rFonts w:ascii="Times New Roman" w:hAnsi="Times New Roman" w:cs="Times New Roman"/>
          <w:sz w:val="24"/>
          <w:szCs w:val="24"/>
          <w:lang w:val="en-US"/>
        </w:rPr>
        <w:t xml:space="preserve">MOREIRA, R.R. (2012a). “Commodities prices index as a variable determining the consumer inflation rate and the monetary policy: Recent evidences for the Brazilian economy through a VAR analysis”. </w:t>
      </w:r>
      <w:proofErr w:type="spellStart"/>
      <w:r>
        <w:rPr>
          <w:rFonts w:ascii="Times New Roman" w:hAnsi="Times New Roman" w:cs="Times New Roman"/>
          <w:sz w:val="24"/>
          <w:szCs w:val="24"/>
          <w:lang w:val="en-US"/>
        </w:rPr>
        <w:t>Economis</w:t>
      </w:r>
      <w:proofErr w:type="spellEnd"/>
      <w:r>
        <w:rPr>
          <w:rFonts w:ascii="Times New Roman" w:hAnsi="Times New Roman" w:cs="Times New Roman"/>
          <w:sz w:val="24"/>
          <w:szCs w:val="24"/>
          <w:lang w:val="en-US"/>
        </w:rPr>
        <w:t xml:space="preserve"> and Finance Review Vol. 2(2</w:t>
      </w:r>
      <w:proofErr w:type="gramStart"/>
      <w:r>
        <w:rPr>
          <w:rFonts w:ascii="Times New Roman" w:hAnsi="Times New Roman" w:cs="Times New Roman"/>
          <w:sz w:val="24"/>
          <w:szCs w:val="24"/>
          <w:lang w:val="en-US"/>
        </w:rPr>
        <w:t>)  pp.01</w:t>
      </w:r>
      <w:proofErr w:type="gramEnd"/>
      <w:r>
        <w:rPr>
          <w:rFonts w:ascii="Times New Roman" w:hAnsi="Times New Roman" w:cs="Times New Roman"/>
          <w:sz w:val="24"/>
          <w:szCs w:val="24"/>
          <w:lang w:val="en-US"/>
        </w:rPr>
        <w:t>-09, April, 2012.</w:t>
      </w:r>
    </w:p>
    <w:p w:rsidR="0036736A" w:rsidRPr="0036736A" w:rsidRDefault="0036736A" w:rsidP="00C3357F">
      <w:pPr>
        <w:spacing w:after="100" w:afterAutospacing="1"/>
        <w:jc w:val="both"/>
        <w:rPr>
          <w:rFonts w:ascii="Times New Roman" w:hAnsi="Times New Roman" w:cs="Times New Roman"/>
          <w:sz w:val="24"/>
          <w:szCs w:val="24"/>
        </w:rPr>
      </w:pPr>
      <w:r>
        <w:rPr>
          <w:rFonts w:ascii="Times New Roman" w:hAnsi="Times New Roman" w:cs="Times New Roman"/>
          <w:sz w:val="24"/>
          <w:szCs w:val="24"/>
          <w:lang w:val="en-US"/>
        </w:rPr>
        <w:t xml:space="preserve">BALL, L. (1999a). “Efficient rules for monetary policy”. </w:t>
      </w:r>
      <w:proofErr w:type="spellStart"/>
      <w:r w:rsidRPr="0036736A">
        <w:rPr>
          <w:rFonts w:ascii="Times New Roman" w:hAnsi="Times New Roman" w:cs="Times New Roman"/>
          <w:sz w:val="24"/>
          <w:szCs w:val="24"/>
        </w:rPr>
        <w:t>International</w:t>
      </w:r>
      <w:proofErr w:type="spellEnd"/>
      <w:r w:rsidRPr="0036736A">
        <w:rPr>
          <w:rFonts w:ascii="Times New Roman" w:hAnsi="Times New Roman" w:cs="Times New Roman"/>
          <w:sz w:val="24"/>
          <w:szCs w:val="24"/>
        </w:rPr>
        <w:t xml:space="preserve"> </w:t>
      </w:r>
      <w:proofErr w:type="spellStart"/>
      <w:r w:rsidRPr="0036736A">
        <w:rPr>
          <w:rFonts w:ascii="Times New Roman" w:hAnsi="Times New Roman" w:cs="Times New Roman"/>
          <w:sz w:val="24"/>
          <w:szCs w:val="24"/>
        </w:rPr>
        <w:t>Finance</w:t>
      </w:r>
      <w:proofErr w:type="spellEnd"/>
      <w:r w:rsidRPr="0036736A">
        <w:rPr>
          <w:rFonts w:ascii="Times New Roman" w:hAnsi="Times New Roman" w:cs="Times New Roman"/>
          <w:sz w:val="24"/>
          <w:szCs w:val="24"/>
        </w:rPr>
        <w:t xml:space="preserve">, v.2, n.1, pp.63-83, </w:t>
      </w:r>
      <w:proofErr w:type="spellStart"/>
      <w:r w:rsidRPr="0036736A">
        <w:rPr>
          <w:rFonts w:ascii="Times New Roman" w:hAnsi="Times New Roman" w:cs="Times New Roman"/>
          <w:sz w:val="24"/>
          <w:szCs w:val="24"/>
        </w:rPr>
        <w:t>Apr</w:t>
      </w:r>
      <w:proofErr w:type="spellEnd"/>
      <w:r w:rsidRPr="0036736A">
        <w:rPr>
          <w:rFonts w:ascii="Times New Roman" w:hAnsi="Times New Roman" w:cs="Times New Roman"/>
          <w:sz w:val="24"/>
          <w:szCs w:val="24"/>
        </w:rPr>
        <w:t>/1999.</w:t>
      </w:r>
    </w:p>
    <w:p w:rsidR="0036736A" w:rsidRDefault="0036736A" w:rsidP="00C3357F">
      <w:pPr>
        <w:spacing w:after="100" w:afterAutospacing="1"/>
        <w:jc w:val="both"/>
        <w:rPr>
          <w:rFonts w:ascii="Times New Roman" w:hAnsi="Times New Roman" w:cs="Times New Roman"/>
          <w:sz w:val="24"/>
          <w:szCs w:val="24"/>
          <w:lang w:val="en-US"/>
        </w:rPr>
      </w:pPr>
      <w:r w:rsidRPr="0036736A">
        <w:rPr>
          <w:rFonts w:ascii="Times New Roman" w:hAnsi="Times New Roman" w:cs="Times New Roman"/>
          <w:sz w:val="24"/>
          <w:szCs w:val="24"/>
        </w:rPr>
        <w:t>CLARIDA, R., GAL</w:t>
      </w:r>
      <w:r>
        <w:rPr>
          <w:rFonts w:ascii="Times New Roman" w:hAnsi="Times New Roman" w:cs="Times New Roman"/>
          <w:sz w:val="24"/>
          <w:szCs w:val="24"/>
        </w:rPr>
        <w:t>Í, J</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&amp; GERTLER</w:t>
      </w:r>
      <w:r w:rsidR="00956A63">
        <w:rPr>
          <w:rFonts w:ascii="Times New Roman" w:hAnsi="Times New Roman" w:cs="Times New Roman"/>
          <w:sz w:val="24"/>
          <w:szCs w:val="24"/>
        </w:rPr>
        <w:t xml:space="preserve">, M. (1999). </w:t>
      </w:r>
      <w:r w:rsidR="00956A63" w:rsidRPr="00956A63">
        <w:rPr>
          <w:rFonts w:ascii="Times New Roman" w:hAnsi="Times New Roman" w:cs="Times New Roman"/>
          <w:sz w:val="24"/>
          <w:szCs w:val="24"/>
          <w:lang w:val="en-US"/>
        </w:rPr>
        <w:t xml:space="preserve">“The </w:t>
      </w:r>
      <w:proofErr w:type="spellStart"/>
      <w:r w:rsidR="00956A63" w:rsidRPr="00956A63">
        <w:rPr>
          <w:rFonts w:ascii="Times New Roman" w:hAnsi="Times New Roman" w:cs="Times New Roman"/>
          <w:sz w:val="24"/>
          <w:szCs w:val="24"/>
          <w:lang w:val="en-US"/>
        </w:rPr>
        <w:t>sciense</w:t>
      </w:r>
      <w:proofErr w:type="spellEnd"/>
      <w:r w:rsidR="00956A63" w:rsidRPr="00956A63">
        <w:rPr>
          <w:rFonts w:ascii="Times New Roman" w:hAnsi="Times New Roman" w:cs="Times New Roman"/>
          <w:sz w:val="24"/>
          <w:szCs w:val="24"/>
          <w:lang w:val="en-US"/>
        </w:rPr>
        <w:t xml:space="preserve"> of monetary policy: a new Keynesian perspective.” </w:t>
      </w:r>
      <w:proofErr w:type="gramStart"/>
      <w:r w:rsidR="00956A63">
        <w:rPr>
          <w:rFonts w:ascii="Times New Roman" w:hAnsi="Times New Roman" w:cs="Times New Roman"/>
          <w:sz w:val="24"/>
          <w:szCs w:val="24"/>
          <w:lang w:val="en-US"/>
        </w:rPr>
        <w:t>Journal of Economic Literature, v. XXXVII, pp. 1661-1707, Dec/1999.</w:t>
      </w:r>
      <w:proofErr w:type="gramEnd"/>
    </w:p>
    <w:p w:rsidR="00956A63" w:rsidRDefault="00956A63" w:rsidP="00C3357F">
      <w:pPr>
        <w:spacing w:after="100" w:afterAutospacing="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SVENSSON, L. E. O. (1999). </w:t>
      </w:r>
      <w:proofErr w:type="gramStart"/>
      <w:r>
        <w:rPr>
          <w:rFonts w:ascii="Times New Roman" w:hAnsi="Times New Roman" w:cs="Times New Roman"/>
          <w:sz w:val="24"/>
          <w:szCs w:val="24"/>
          <w:lang w:val="en-US"/>
        </w:rPr>
        <w:t>“Inflation targeting as a monetary policy rule”.</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Journal of Monetary Economics, 43 (June), pp. 607-54, 1999.</w:t>
      </w:r>
      <w:proofErr w:type="gramEnd"/>
    </w:p>
    <w:p w:rsidR="00224817" w:rsidRDefault="00224817" w:rsidP="00C3357F">
      <w:pPr>
        <w:spacing w:after="100" w:afterAutospacing="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BOFFINGER, P., MAYER, E. </w:t>
      </w:r>
      <w:proofErr w:type="gramStart"/>
      <w:r>
        <w:rPr>
          <w:rFonts w:ascii="Times New Roman" w:hAnsi="Times New Roman" w:cs="Times New Roman"/>
          <w:sz w:val="24"/>
          <w:szCs w:val="24"/>
          <w:lang w:val="en-US"/>
        </w:rPr>
        <w:t>&amp;  WOLLMERSHAEUSER</w:t>
      </w:r>
      <w:proofErr w:type="gramEnd"/>
      <w:r>
        <w:rPr>
          <w:rFonts w:ascii="Times New Roman" w:hAnsi="Times New Roman" w:cs="Times New Roman"/>
          <w:sz w:val="24"/>
          <w:szCs w:val="24"/>
          <w:lang w:val="en-US"/>
        </w:rPr>
        <w:t xml:space="preserve">, T. (2006). “The BMW Model: A New Framework for Teaching Monetary Economics”. </w:t>
      </w:r>
      <w:proofErr w:type="gramStart"/>
      <w:r>
        <w:rPr>
          <w:rFonts w:ascii="Times New Roman" w:hAnsi="Times New Roman" w:cs="Times New Roman"/>
          <w:sz w:val="24"/>
          <w:szCs w:val="24"/>
          <w:lang w:val="en-US"/>
        </w:rPr>
        <w:t>The Journal of Economic Education, 37 (1), pp. 98-117, 2006.</w:t>
      </w:r>
      <w:proofErr w:type="gramEnd"/>
    </w:p>
    <w:p w:rsidR="00224817" w:rsidRDefault="00224817" w:rsidP="00C3357F">
      <w:pPr>
        <w:spacing w:after="100" w:afterAutospacing="1"/>
        <w:jc w:val="both"/>
        <w:rPr>
          <w:rFonts w:ascii="Times New Roman" w:hAnsi="Times New Roman" w:cs="Times New Roman"/>
          <w:sz w:val="24"/>
          <w:szCs w:val="24"/>
          <w:lang w:val="en-US"/>
        </w:rPr>
      </w:pPr>
      <w:r>
        <w:rPr>
          <w:rFonts w:ascii="Times New Roman" w:hAnsi="Times New Roman" w:cs="Times New Roman"/>
          <w:sz w:val="24"/>
          <w:szCs w:val="24"/>
          <w:lang w:val="en-US"/>
        </w:rPr>
        <w:t>BERNANKE, B. S. &amp; MISHKIN, F. S. (1997). “Inflation targeting: a new framework for monetary policy?</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J</w:t>
      </w:r>
      <w:r w:rsidR="00A87AC3">
        <w:rPr>
          <w:rFonts w:ascii="Times New Roman" w:hAnsi="Times New Roman" w:cs="Times New Roman"/>
          <w:sz w:val="24"/>
          <w:szCs w:val="24"/>
          <w:lang w:val="en-US"/>
        </w:rPr>
        <w:t>o</w:t>
      </w:r>
      <w:r>
        <w:rPr>
          <w:rFonts w:ascii="Times New Roman" w:hAnsi="Times New Roman" w:cs="Times New Roman"/>
          <w:sz w:val="24"/>
          <w:szCs w:val="24"/>
          <w:lang w:val="en-US"/>
        </w:rPr>
        <w:t>urnal of Economic Perspectives, v.11, n.2, pp. 97-116, 1997.</w:t>
      </w:r>
      <w:proofErr w:type="gramEnd"/>
    </w:p>
    <w:p w:rsidR="002370C3" w:rsidRPr="00575D45" w:rsidRDefault="002370C3" w:rsidP="00C3357F">
      <w:pPr>
        <w:spacing w:after="100" w:afterAutospacing="1"/>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CASHIN, P. e MCDERMOTT.</w:t>
      </w:r>
      <w:proofErr w:type="gramEnd"/>
      <w:r>
        <w:rPr>
          <w:rFonts w:ascii="Times New Roman" w:hAnsi="Times New Roman" w:cs="Times New Roman"/>
          <w:sz w:val="24"/>
          <w:szCs w:val="24"/>
          <w:lang w:val="en-US"/>
        </w:rPr>
        <w:t xml:space="preserve"> “The Long-Run Behavior of Commodity Prices: Small Trends and Big Variability. </w:t>
      </w:r>
      <w:r w:rsidRPr="00575D45">
        <w:rPr>
          <w:rFonts w:ascii="Times New Roman" w:hAnsi="Times New Roman" w:cs="Times New Roman"/>
          <w:sz w:val="24"/>
          <w:szCs w:val="24"/>
          <w:lang w:val="en-US"/>
        </w:rPr>
        <w:t>IMF Staff Papers, Vol. 49, 175-99-2002</w:t>
      </w:r>
    </w:p>
    <w:p w:rsidR="006638FC" w:rsidRPr="006667C1" w:rsidRDefault="006638FC" w:rsidP="00C3357F">
      <w:pPr>
        <w:spacing w:after="100" w:afterAutospacing="1"/>
        <w:jc w:val="both"/>
        <w:rPr>
          <w:rFonts w:ascii="Times New Roman" w:hAnsi="Times New Roman" w:cs="Times New Roman"/>
          <w:sz w:val="24"/>
          <w:szCs w:val="24"/>
          <w:lang w:val="en-US"/>
        </w:rPr>
      </w:pPr>
      <w:r w:rsidRPr="00575D45">
        <w:rPr>
          <w:rFonts w:ascii="Times New Roman" w:hAnsi="Times New Roman" w:cs="Times New Roman"/>
          <w:sz w:val="24"/>
          <w:szCs w:val="24"/>
          <w:lang w:val="en-US"/>
        </w:rPr>
        <w:t xml:space="preserve">AOKI, K. (2001). </w:t>
      </w:r>
      <w:proofErr w:type="gramStart"/>
      <w:r w:rsidRPr="00575D45">
        <w:rPr>
          <w:rFonts w:ascii="Times New Roman" w:hAnsi="Times New Roman" w:cs="Times New Roman"/>
          <w:sz w:val="24"/>
          <w:szCs w:val="24"/>
          <w:lang w:val="en-US"/>
        </w:rPr>
        <w:t>Optimal Monetary Policy Responses to Relative-Price Changes.</w:t>
      </w:r>
      <w:proofErr w:type="gramEnd"/>
      <w:r w:rsidRPr="00575D45">
        <w:rPr>
          <w:rFonts w:ascii="Times New Roman" w:hAnsi="Times New Roman" w:cs="Times New Roman"/>
          <w:sz w:val="24"/>
          <w:szCs w:val="24"/>
          <w:lang w:val="en-US"/>
        </w:rPr>
        <w:t xml:space="preserve"> </w:t>
      </w:r>
      <w:r w:rsidRPr="006667C1">
        <w:rPr>
          <w:rFonts w:ascii="Times New Roman" w:hAnsi="Times New Roman" w:cs="Times New Roman"/>
          <w:sz w:val="24"/>
          <w:szCs w:val="24"/>
          <w:lang w:val="en-US"/>
        </w:rPr>
        <w:t>Journal of Monetary Economics, 48, 55-80</w:t>
      </w:r>
    </w:p>
    <w:p w:rsidR="001A15FD" w:rsidRDefault="003E0EEE" w:rsidP="001A15FD">
      <w:pPr>
        <w:spacing w:after="100" w:afterAutospacing="1"/>
        <w:jc w:val="both"/>
        <w:rPr>
          <w:rFonts w:ascii="Times New Roman" w:hAnsi="Times New Roman" w:cs="Times New Roman"/>
          <w:sz w:val="24"/>
          <w:szCs w:val="24"/>
          <w:lang w:val="en-US"/>
        </w:rPr>
      </w:pPr>
      <w:proofErr w:type="gramStart"/>
      <w:r w:rsidRPr="003E0EEE">
        <w:rPr>
          <w:rFonts w:ascii="Times New Roman" w:hAnsi="Times New Roman" w:cs="Times New Roman"/>
          <w:sz w:val="24"/>
          <w:szCs w:val="24"/>
          <w:lang w:val="en-US"/>
        </w:rPr>
        <w:t>BLINDER, A. (1998).</w:t>
      </w:r>
      <w:proofErr w:type="gramEnd"/>
      <w:r w:rsidRPr="003E0EEE">
        <w:rPr>
          <w:rFonts w:ascii="Times New Roman" w:hAnsi="Times New Roman" w:cs="Times New Roman"/>
          <w:sz w:val="24"/>
          <w:szCs w:val="24"/>
          <w:lang w:val="en-US"/>
        </w:rPr>
        <w:t xml:space="preserve"> </w:t>
      </w:r>
      <w:proofErr w:type="gramStart"/>
      <w:r w:rsidRPr="003E0EEE">
        <w:rPr>
          <w:rFonts w:ascii="Times New Roman" w:hAnsi="Times New Roman" w:cs="Times New Roman"/>
          <w:i/>
          <w:sz w:val="24"/>
          <w:szCs w:val="24"/>
          <w:lang w:val="en-US"/>
        </w:rPr>
        <w:t>Central Banking in Theory and Practice</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sidRPr="001A15FD">
        <w:rPr>
          <w:rFonts w:ascii="Times New Roman" w:hAnsi="Times New Roman" w:cs="Times New Roman"/>
          <w:sz w:val="24"/>
          <w:szCs w:val="24"/>
          <w:lang w:val="en-US"/>
        </w:rPr>
        <w:t>MIT Press.</w:t>
      </w:r>
      <w:proofErr w:type="gramEnd"/>
    </w:p>
    <w:p w:rsidR="00735F7E" w:rsidRDefault="00735F7E" w:rsidP="001A15FD">
      <w:pPr>
        <w:spacing w:after="100" w:afterAutospacing="1"/>
        <w:jc w:val="both"/>
        <w:rPr>
          <w:rFonts w:ascii="Times New Roman" w:hAnsi="Times New Roman" w:cs="Times New Roman"/>
          <w:sz w:val="24"/>
          <w:szCs w:val="24"/>
        </w:rPr>
      </w:pPr>
      <w:proofErr w:type="gramStart"/>
      <w:r w:rsidRPr="00735F7E">
        <w:rPr>
          <w:rFonts w:ascii="Times New Roman" w:hAnsi="Times New Roman" w:cs="Times New Roman"/>
          <w:sz w:val="24"/>
          <w:szCs w:val="24"/>
          <w:lang w:val="en-US"/>
        </w:rPr>
        <w:t xml:space="preserve">BODENSTEIN, </w:t>
      </w:r>
      <w:r>
        <w:rPr>
          <w:rFonts w:ascii="Times New Roman" w:hAnsi="Times New Roman" w:cs="Times New Roman"/>
          <w:sz w:val="24"/>
          <w:szCs w:val="24"/>
          <w:lang w:val="en-US"/>
        </w:rPr>
        <w:t xml:space="preserve">M.; ERCEG, C. J.; GUERRIERI, L. </w:t>
      </w:r>
      <w:r w:rsidRPr="00735F7E">
        <w:rPr>
          <w:rFonts w:ascii="Times New Roman" w:hAnsi="Times New Roman" w:cs="Times New Roman"/>
          <w:sz w:val="24"/>
          <w:szCs w:val="24"/>
          <w:lang w:val="en-US"/>
        </w:rPr>
        <w:t>(2008).</w:t>
      </w:r>
      <w:proofErr w:type="gramEnd"/>
      <w:r w:rsidRPr="00735F7E">
        <w:rPr>
          <w:rFonts w:ascii="Times New Roman" w:hAnsi="Times New Roman" w:cs="Times New Roman"/>
          <w:sz w:val="24"/>
          <w:szCs w:val="24"/>
          <w:lang w:val="en-US"/>
        </w:rPr>
        <w:t xml:space="preserve"> </w:t>
      </w:r>
      <w:proofErr w:type="gramStart"/>
      <w:r w:rsidR="001A15FD">
        <w:rPr>
          <w:rFonts w:ascii="Times New Roman" w:hAnsi="Times New Roman" w:cs="Times New Roman"/>
          <w:i/>
          <w:iCs/>
          <w:sz w:val="24"/>
          <w:szCs w:val="24"/>
          <w:lang w:val="en-US"/>
        </w:rPr>
        <w:t xml:space="preserve">Optimal Monetary Policy with </w:t>
      </w:r>
      <w:r w:rsidRPr="00735F7E">
        <w:rPr>
          <w:rFonts w:ascii="Times New Roman" w:hAnsi="Times New Roman" w:cs="Times New Roman"/>
          <w:i/>
          <w:iCs/>
          <w:sz w:val="24"/>
          <w:szCs w:val="24"/>
          <w:lang w:val="en-US"/>
        </w:rPr>
        <w:t>Distinct Core</w:t>
      </w:r>
      <w:r>
        <w:rPr>
          <w:rFonts w:ascii="Times New Roman" w:hAnsi="Times New Roman" w:cs="Times New Roman"/>
          <w:sz w:val="24"/>
          <w:szCs w:val="24"/>
          <w:lang w:val="en-US"/>
        </w:rPr>
        <w:t xml:space="preserve"> </w:t>
      </w:r>
      <w:r w:rsidRPr="00735F7E">
        <w:rPr>
          <w:rFonts w:ascii="Times New Roman" w:hAnsi="Times New Roman" w:cs="Times New Roman"/>
          <w:i/>
          <w:iCs/>
          <w:sz w:val="24"/>
          <w:szCs w:val="24"/>
          <w:lang w:val="en-US"/>
        </w:rPr>
        <w:t>and Headline Inflation Rates</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Journal of Monetary </w:t>
      </w:r>
      <w:r w:rsidRPr="001A15FD">
        <w:rPr>
          <w:rFonts w:ascii="Times New Roman" w:hAnsi="Times New Roman" w:cs="Times New Roman"/>
          <w:sz w:val="24"/>
          <w:szCs w:val="24"/>
          <w:lang w:val="en-US"/>
        </w:rPr>
        <w:t>Economics, 55, 18-33.</w:t>
      </w:r>
    </w:p>
    <w:p w:rsidR="00E1482C" w:rsidRPr="00A87AC3" w:rsidRDefault="00E1482C" w:rsidP="00E1482C">
      <w:pPr>
        <w:spacing w:after="100" w:afterAutospacing="1"/>
        <w:jc w:val="both"/>
        <w:rPr>
          <w:rFonts w:ascii="Times New Roman" w:hAnsi="Times New Roman" w:cs="Times New Roman"/>
          <w:sz w:val="24"/>
          <w:szCs w:val="24"/>
        </w:rPr>
      </w:pPr>
      <w:r w:rsidRPr="00AE58EF">
        <w:rPr>
          <w:rFonts w:ascii="Times New Roman" w:hAnsi="Times New Roman" w:cs="Times New Roman"/>
          <w:sz w:val="24"/>
          <w:szCs w:val="24"/>
        </w:rPr>
        <w:t xml:space="preserve">______. </w:t>
      </w:r>
      <w:r w:rsidRPr="00A87AC3">
        <w:rPr>
          <w:rFonts w:ascii="Times New Roman" w:hAnsi="Times New Roman" w:cs="Times New Roman"/>
          <w:sz w:val="24"/>
          <w:szCs w:val="24"/>
        </w:rPr>
        <w:t xml:space="preserve">Banco Central do Brasil. </w:t>
      </w:r>
      <w:r w:rsidRPr="00A87AC3">
        <w:rPr>
          <w:rFonts w:ascii="Times New Roman" w:hAnsi="Times New Roman" w:cs="Times New Roman"/>
          <w:b/>
          <w:sz w:val="24"/>
          <w:szCs w:val="24"/>
        </w:rPr>
        <w:t>Relatório de Inflação</w:t>
      </w:r>
      <w:r>
        <w:rPr>
          <w:rFonts w:ascii="Times New Roman" w:hAnsi="Times New Roman" w:cs="Times New Roman"/>
          <w:sz w:val="24"/>
          <w:szCs w:val="24"/>
        </w:rPr>
        <w:t>, vol.6, n.2, pag. 106, jun. 2004. Disponível em &lt;</w:t>
      </w:r>
      <w:r w:rsidRPr="0012568F">
        <w:rPr>
          <w:rFonts w:ascii="Times New Roman" w:hAnsi="Times New Roman" w:cs="Times New Roman"/>
          <w:sz w:val="24"/>
          <w:szCs w:val="24"/>
        </w:rPr>
        <w:t>http://www.bcb.gov.br/htms/relinf/port/2010/12/ri201012P.pdf</w:t>
      </w:r>
      <w:r>
        <w:rPr>
          <w:rFonts w:ascii="Times New Roman" w:hAnsi="Times New Roman" w:cs="Times New Roman"/>
          <w:sz w:val="24"/>
          <w:szCs w:val="24"/>
        </w:rPr>
        <w:t xml:space="preserve">&gt; </w:t>
      </w:r>
    </w:p>
    <w:p w:rsidR="00A87AC3" w:rsidRDefault="00A87AC3" w:rsidP="00C3357F">
      <w:pPr>
        <w:spacing w:after="100" w:afterAutospacing="1"/>
        <w:jc w:val="both"/>
        <w:rPr>
          <w:rFonts w:ascii="Times New Roman" w:hAnsi="Times New Roman" w:cs="Times New Roman"/>
          <w:sz w:val="24"/>
          <w:szCs w:val="24"/>
        </w:rPr>
      </w:pPr>
      <w:r w:rsidRPr="00A87AC3">
        <w:rPr>
          <w:rFonts w:ascii="Times New Roman" w:hAnsi="Times New Roman" w:cs="Times New Roman"/>
          <w:sz w:val="24"/>
          <w:szCs w:val="24"/>
        </w:rPr>
        <w:lastRenderedPageBreak/>
        <w:t>______</w:t>
      </w:r>
      <w:bookmarkStart w:id="0" w:name="_GoBack"/>
      <w:bookmarkEnd w:id="0"/>
      <w:r w:rsidRPr="00A87AC3">
        <w:rPr>
          <w:rFonts w:ascii="Times New Roman" w:hAnsi="Times New Roman" w:cs="Times New Roman"/>
          <w:sz w:val="24"/>
          <w:szCs w:val="24"/>
        </w:rPr>
        <w:t xml:space="preserve">. Banco Central do Brasil. </w:t>
      </w:r>
      <w:r w:rsidRPr="00A87AC3">
        <w:rPr>
          <w:rFonts w:ascii="Times New Roman" w:hAnsi="Times New Roman" w:cs="Times New Roman"/>
          <w:b/>
          <w:sz w:val="24"/>
          <w:szCs w:val="24"/>
        </w:rPr>
        <w:t>Relatório de Inflação</w:t>
      </w:r>
      <w:r>
        <w:rPr>
          <w:rFonts w:ascii="Times New Roman" w:hAnsi="Times New Roman" w:cs="Times New Roman"/>
          <w:sz w:val="24"/>
          <w:szCs w:val="24"/>
        </w:rPr>
        <w:t xml:space="preserve">, </w:t>
      </w:r>
      <w:r w:rsidR="00A57CE7">
        <w:rPr>
          <w:rFonts w:ascii="Times New Roman" w:hAnsi="Times New Roman" w:cs="Times New Roman"/>
          <w:sz w:val="24"/>
          <w:szCs w:val="24"/>
        </w:rPr>
        <w:t xml:space="preserve">vol.15, n.1, </w:t>
      </w:r>
      <w:r>
        <w:rPr>
          <w:rFonts w:ascii="Times New Roman" w:hAnsi="Times New Roman" w:cs="Times New Roman"/>
          <w:sz w:val="24"/>
          <w:szCs w:val="24"/>
        </w:rPr>
        <w:t xml:space="preserve">pag. 84, mar. 2013. </w:t>
      </w:r>
      <w:r w:rsidR="005F4E9C">
        <w:rPr>
          <w:rFonts w:ascii="Times New Roman" w:hAnsi="Times New Roman" w:cs="Times New Roman"/>
          <w:sz w:val="24"/>
          <w:szCs w:val="24"/>
        </w:rPr>
        <w:t>Disponível</w:t>
      </w:r>
      <w:r>
        <w:rPr>
          <w:rFonts w:ascii="Times New Roman" w:hAnsi="Times New Roman" w:cs="Times New Roman"/>
          <w:sz w:val="24"/>
          <w:szCs w:val="24"/>
        </w:rPr>
        <w:t xml:space="preserve"> em &lt;</w:t>
      </w:r>
      <w:r w:rsidR="00D5695B" w:rsidRPr="00D5695B">
        <w:rPr>
          <w:rFonts w:ascii="Times New Roman" w:hAnsi="Times New Roman" w:cs="Times New Roman"/>
          <w:sz w:val="24"/>
          <w:szCs w:val="24"/>
        </w:rPr>
        <w:t>http://www.bcb.gov.br/htms/relinf/port/2013/03/ri201303P.pdf</w:t>
      </w:r>
      <w:r>
        <w:rPr>
          <w:rFonts w:ascii="Times New Roman" w:hAnsi="Times New Roman" w:cs="Times New Roman"/>
          <w:sz w:val="24"/>
          <w:szCs w:val="24"/>
        </w:rPr>
        <w:t xml:space="preserve">&gt; </w:t>
      </w:r>
    </w:p>
    <w:p w:rsidR="00A87AC3" w:rsidRDefault="00A87AC3" w:rsidP="00C3357F">
      <w:pPr>
        <w:spacing w:after="100" w:afterAutospacing="1"/>
        <w:jc w:val="both"/>
        <w:rPr>
          <w:rFonts w:ascii="Times New Roman" w:hAnsi="Times New Roman" w:cs="Times New Roman"/>
          <w:sz w:val="24"/>
          <w:szCs w:val="24"/>
        </w:rPr>
      </w:pPr>
      <w:r w:rsidRPr="00A87AC3">
        <w:rPr>
          <w:rFonts w:ascii="Times New Roman" w:hAnsi="Times New Roman" w:cs="Times New Roman"/>
          <w:sz w:val="24"/>
          <w:szCs w:val="24"/>
        </w:rPr>
        <w:t xml:space="preserve">______. Banco Central do Brasil. </w:t>
      </w:r>
      <w:r w:rsidRPr="00A87AC3">
        <w:rPr>
          <w:rFonts w:ascii="Times New Roman" w:hAnsi="Times New Roman" w:cs="Times New Roman"/>
          <w:b/>
          <w:sz w:val="24"/>
          <w:szCs w:val="24"/>
        </w:rPr>
        <w:t>Relatório de Inflação</w:t>
      </w:r>
      <w:r>
        <w:rPr>
          <w:rFonts w:ascii="Times New Roman" w:hAnsi="Times New Roman" w:cs="Times New Roman"/>
          <w:sz w:val="24"/>
          <w:szCs w:val="24"/>
        </w:rPr>
        <w:t xml:space="preserve">, vol.13, </w:t>
      </w:r>
      <w:r w:rsidR="005F4E9C">
        <w:rPr>
          <w:rFonts w:ascii="Times New Roman" w:hAnsi="Times New Roman" w:cs="Times New Roman"/>
          <w:sz w:val="24"/>
          <w:szCs w:val="24"/>
        </w:rPr>
        <w:t>n.1, pag. 95</w:t>
      </w:r>
      <w:r>
        <w:rPr>
          <w:rFonts w:ascii="Times New Roman" w:hAnsi="Times New Roman" w:cs="Times New Roman"/>
          <w:sz w:val="24"/>
          <w:szCs w:val="24"/>
        </w:rPr>
        <w:t xml:space="preserve">, </w:t>
      </w:r>
      <w:r w:rsidR="008E25E7">
        <w:rPr>
          <w:rFonts w:ascii="Times New Roman" w:hAnsi="Times New Roman" w:cs="Times New Roman"/>
          <w:sz w:val="24"/>
          <w:szCs w:val="24"/>
        </w:rPr>
        <w:t>mar. 2011</w:t>
      </w:r>
      <w:r>
        <w:rPr>
          <w:rFonts w:ascii="Times New Roman" w:hAnsi="Times New Roman" w:cs="Times New Roman"/>
          <w:sz w:val="24"/>
          <w:szCs w:val="24"/>
        </w:rPr>
        <w:t xml:space="preserve">. </w:t>
      </w:r>
      <w:r w:rsidR="005F4E9C">
        <w:rPr>
          <w:rFonts w:ascii="Times New Roman" w:hAnsi="Times New Roman" w:cs="Times New Roman"/>
          <w:sz w:val="24"/>
          <w:szCs w:val="24"/>
        </w:rPr>
        <w:t>Disponível</w:t>
      </w:r>
      <w:r>
        <w:rPr>
          <w:rFonts w:ascii="Times New Roman" w:hAnsi="Times New Roman" w:cs="Times New Roman"/>
          <w:sz w:val="24"/>
          <w:szCs w:val="24"/>
        </w:rPr>
        <w:t xml:space="preserve"> em &lt;</w:t>
      </w:r>
      <w:r w:rsidR="005F4E9C" w:rsidRPr="005F4E9C">
        <w:rPr>
          <w:rFonts w:ascii="Times New Roman" w:hAnsi="Times New Roman" w:cs="Times New Roman"/>
          <w:sz w:val="24"/>
          <w:szCs w:val="24"/>
        </w:rPr>
        <w:t>http://www.bcb.gov.br/htms/relinf/port/2011/03/ri201103P.pdf</w:t>
      </w:r>
      <w:r>
        <w:rPr>
          <w:rFonts w:ascii="Times New Roman" w:hAnsi="Times New Roman" w:cs="Times New Roman"/>
          <w:sz w:val="24"/>
          <w:szCs w:val="24"/>
        </w:rPr>
        <w:t xml:space="preserve">&gt; </w:t>
      </w:r>
    </w:p>
    <w:p w:rsidR="008E25E7" w:rsidRDefault="008E25E7" w:rsidP="00C3357F">
      <w:pPr>
        <w:spacing w:after="100" w:afterAutospacing="1"/>
        <w:jc w:val="both"/>
        <w:rPr>
          <w:rFonts w:ascii="Times New Roman" w:hAnsi="Times New Roman" w:cs="Times New Roman"/>
          <w:sz w:val="24"/>
          <w:szCs w:val="24"/>
        </w:rPr>
      </w:pPr>
      <w:r w:rsidRPr="00A87AC3">
        <w:rPr>
          <w:rFonts w:ascii="Times New Roman" w:hAnsi="Times New Roman" w:cs="Times New Roman"/>
          <w:sz w:val="24"/>
          <w:szCs w:val="24"/>
        </w:rPr>
        <w:t xml:space="preserve">______. Banco Central do Brasil. </w:t>
      </w:r>
      <w:r w:rsidRPr="00A87AC3">
        <w:rPr>
          <w:rFonts w:ascii="Times New Roman" w:hAnsi="Times New Roman" w:cs="Times New Roman"/>
          <w:b/>
          <w:sz w:val="24"/>
          <w:szCs w:val="24"/>
        </w:rPr>
        <w:t>Relatório de Inflação</w:t>
      </w:r>
      <w:r>
        <w:rPr>
          <w:rFonts w:ascii="Times New Roman" w:hAnsi="Times New Roman" w:cs="Times New Roman"/>
          <w:sz w:val="24"/>
          <w:szCs w:val="24"/>
        </w:rPr>
        <w:t>, vol.13, n.2, pag. 53, jun. 2011. Disponível em &lt;</w:t>
      </w:r>
      <w:r w:rsidRPr="008E25E7">
        <w:rPr>
          <w:rFonts w:ascii="Times New Roman" w:hAnsi="Times New Roman" w:cs="Times New Roman"/>
          <w:sz w:val="24"/>
          <w:szCs w:val="24"/>
        </w:rPr>
        <w:t>http://www.bcb.gov.br/htms/relinf/port/2011/06/ri201106P.pdf</w:t>
      </w:r>
      <w:r>
        <w:rPr>
          <w:rFonts w:ascii="Times New Roman" w:hAnsi="Times New Roman" w:cs="Times New Roman"/>
          <w:sz w:val="24"/>
          <w:szCs w:val="24"/>
        </w:rPr>
        <w:t xml:space="preserve">&gt; </w:t>
      </w:r>
    </w:p>
    <w:p w:rsidR="002E4E60" w:rsidRPr="00A87AC3" w:rsidRDefault="00707021" w:rsidP="00C3357F">
      <w:pPr>
        <w:spacing w:after="100" w:afterAutospacing="1"/>
        <w:jc w:val="both"/>
        <w:rPr>
          <w:rFonts w:ascii="Times New Roman" w:hAnsi="Times New Roman" w:cs="Times New Roman"/>
          <w:sz w:val="24"/>
          <w:szCs w:val="24"/>
        </w:rPr>
      </w:pPr>
      <w:r w:rsidRPr="00A87AC3">
        <w:rPr>
          <w:rFonts w:ascii="Times New Roman" w:hAnsi="Times New Roman" w:cs="Times New Roman"/>
          <w:sz w:val="24"/>
          <w:szCs w:val="24"/>
        </w:rPr>
        <w:t xml:space="preserve">______. Banco Central do Brasil. </w:t>
      </w:r>
      <w:r w:rsidRPr="00A87AC3">
        <w:rPr>
          <w:rFonts w:ascii="Times New Roman" w:hAnsi="Times New Roman" w:cs="Times New Roman"/>
          <w:b/>
          <w:sz w:val="24"/>
          <w:szCs w:val="24"/>
        </w:rPr>
        <w:t>Relatório de Inflação</w:t>
      </w:r>
      <w:r>
        <w:rPr>
          <w:rFonts w:ascii="Times New Roman" w:hAnsi="Times New Roman" w:cs="Times New Roman"/>
          <w:sz w:val="24"/>
          <w:szCs w:val="24"/>
        </w:rPr>
        <w:t>, vol.12, n.4, pag. 59, dez. 2010. Disponível em &lt;</w:t>
      </w:r>
      <w:r w:rsidR="0012568F" w:rsidRPr="0012568F">
        <w:rPr>
          <w:rFonts w:ascii="Times New Roman" w:hAnsi="Times New Roman" w:cs="Times New Roman"/>
          <w:sz w:val="24"/>
          <w:szCs w:val="24"/>
        </w:rPr>
        <w:t>http://www.bcb.gov.br/htms/relinf/port/2010/12/ri201012P.pdf</w:t>
      </w:r>
      <w:r>
        <w:rPr>
          <w:rFonts w:ascii="Times New Roman" w:hAnsi="Times New Roman" w:cs="Times New Roman"/>
          <w:sz w:val="24"/>
          <w:szCs w:val="24"/>
        </w:rPr>
        <w:t xml:space="preserve">&gt; </w:t>
      </w:r>
    </w:p>
    <w:sectPr w:rsidR="002E4E60" w:rsidRPr="00A87AC3" w:rsidSect="00B2016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2C7" w:rsidRDefault="00CA62C7" w:rsidP="00832C7A">
      <w:pPr>
        <w:spacing w:line="240" w:lineRule="auto"/>
      </w:pPr>
      <w:r>
        <w:separator/>
      </w:r>
    </w:p>
  </w:endnote>
  <w:endnote w:type="continuationSeparator" w:id="0">
    <w:p w:rsidR="00CA62C7" w:rsidRDefault="00CA62C7" w:rsidP="00832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141381"/>
      <w:docPartObj>
        <w:docPartGallery w:val="Page Numbers (Bottom of Page)"/>
        <w:docPartUnique/>
      </w:docPartObj>
    </w:sdtPr>
    <w:sdtContent>
      <w:p w:rsidR="00941C7C" w:rsidRDefault="00941C7C">
        <w:pPr>
          <w:pStyle w:val="Rodap"/>
          <w:jc w:val="right"/>
        </w:pPr>
        <w:r>
          <w:fldChar w:fldCharType="begin"/>
        </w:r>
        <w:r>
          <w:instrText>PAGE   \* MERGEFORMAT</w:instrText>
        </w:r>
        <w:r>
          <w:fldChar w:fldCharType="separate"/>
        </w:r>
        <w:r w:rsidR="001A15FD">
          <w:rPr>
            <w:noProof/>
          </w:rPr>
          <w:t>16</w:t>
        </w:r>
        <w:r>
          <w:fldChar w:fldCharType="end"/>
        </w:r>
      </w:p>
    </w:sdtContent>
  </w:sdt>
  <w:p w:rsidR="00941C7C" w:rsidRDefault="00941C7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2C7" w:rsidRDefault="00CA62C7" w:rsidP="00832C7A">
      <w:pPr>
        <w:spacing w:line="240" w:lineRule="auto"/>
      </w:pPr>
      <w:r>
        <w:separator/>
      </w:r>
    </w:p>
  </w:footnote>
  <w:footnote w:type="continuationSeparator" w:id="0">
    <w:p w:rsidR="00CA62C7" w:rsidRDefault="00CA62C7" w:rsidP="00832C7A">
      <w:pPr>
        <w:spacing w:line="240" w:lineRule="auto"/>
      </w:pPr>
      <w:r>
        <w:continuationSeparator/>
      </w:r>
    </w:p>
  </w:footnote>
  <w:footnote w:id="1">
    <w:p w:rsidR="00941C7C" w:rsidRPr="00E80C0F" w:rsidRDefault="00941C7C" w:rsidP="007527AE">
      <w:pPr>
        <w:pStyle w:val="Textodenotaderodap"/>
        <w:jc w:val="both"/>
        <w:rPr>
          <w:rFonts w:ascii="Times New Roman" w:hAnsi="Times New Roman" w:cs="Times New Roman"/>
        </w:rPr>
      </w:pPr>
      <w:r w:rsidRPr="00E80C0F">
        <w:rPr>
          <w:rStyle w:val="Refdenotaderodap"/>
          <w:rFonts w:ascii="Times New Roman" w:hAnsi="Times New Roman" w:cs="Times New Roman"/>
        </w:rPr>
        <w:footnoteRef/>
      </w:r>
      <w:r w:rsidRPr="00E80C0F">
        <w:rPr>
          <w:rFonts w:ascii="Times New Roman" w:hAnsi="Times New Roman" w:cs="Times New Roman"/>
        </w:rPr>
        <w:t xml:space="preserve"> O </w:t>
      </w:r>
      <w:proofErr w:type="gramStart"/>
      <w:r w:rsidRPr="00E80C0F">
        <w:rPr>
          <w:rFonts w:ascii="Times New Roman" w:hAnsi="Times New Roman" w:cs="Times New Roman"/>
        </w:rPr>
        <w:t>IC-</w:t>
      </w:r>
      <w:proofErr w:type="spellStart"/>
      <w:r w:rsidRPr="00E80C0F">
        <w:rPr>
          <w:rFonts w:ascii="Times New Roman" w:hAnsi="Times New Roman" w:cs="Times New Roman"/>
        </w:rPr>
        <w:t>Br</w:t>
      </w:r>
      <w:proofErr w:type="spellEnd"/>
      <w:proofErr w:type="gramEnd"/>
      <w:r w:rsidRPr="00E80C0F">
        <w:rPr>
          <w:rFonts w:ascii="Times New Roman" w:hAnsi="Times New Roman" w:cs="Times New Roman"/>
        </w:rPr>
        <w:t xml:space="preserve"> agrega os indicadores relativos aos segmentos Agropecuária, Metal e Energia. Para </w:t>
      </w:r>
      <w:proofErr w:type="gramStart"/>
      <w:r w:rsidRPr="00E80C0F">
        <w:rPr>
          <w:rFonts w:ascii="Times New Roman" w:hAnsi="Times New Roman" w:cs="Times New Roman"/>
        </w:rPr>
        <w:t>o cálculo do indicador Agropecuária</w:t>
      </w:r>
      <w:proofErr w:type="gramEnd"/>
      <w:r w:rsidRPr="00E80C0F">
        <w:rPr>
          <w:rFonts w:ascii="Times New Roman" w:hAnsi="Times New Roman" w:cs="Times New Roman"/>
        </w:rPr>
        <w:t xml:space="preserve"> foram consideradas as </w:t>
      </w:r>
      <w:r w:rsidRPr="00E80C0F">
        <w:rPr>
          <w:rFonts w:ascii="Times New Roman" w:hAnsi="Times New Roman" w:cs="Times New Roman"/>
          <w:i/>
        </w:rPr>
        <w:t>commodities</w:t>
      </w:r>
      <w:r w:rsidRPr="00E80C0F">
        <w:rPr>
          <w:rFonts w:ascii="Times New Roman" w:hAnsi="Times New Roman" w:cs="Times New Roman"/>
        </w:rPr>
        <w:t xml:space="preserve"> carne de boi, algodão, óleo de soja, trigo, açúcar, milho, café e carne de porco. O segmento Metal engloba alumínio, minério de ferro, </w:t>
      </w:r>
      <w:proofErr w:type="gramStart"/>
      <w:r w:rsidRPr="00E80C0F">
        <w:rPr>
          <w:rFonts w:ascii="Times New Roman" w:hAnsi="Times New Roman" w:cs="Times New Roman"/>
        </w:rPr>
        <w:t>cobre,</w:t>
      </w:r>
      <w:proofErr w:type="gramEnd"/>
      <w:r w:rsidRPr="00E80C0F">
        <w:rPr>
          <w:rFonts w:ascii="Times New Roman" w:hAnsi="Times New Roman" w:cs="Times New Roman"/>
        </w:rPr>
        <w:t xml:space="preserve"> estanho, zinco, chumbo e níquel, enquanto o segmento Energia inclui petróleo tipo Brent, gás natural e carvão.</w:t>
      </w:r>
    </w:p>
  </w:footnote>
  <w:footnote w:id="2">
    <w:p w:rsidR="00941C7C" w:rsidRPr="00E80C0F" w:rsidRDefault="00941C7C" w:rsidP="00592ECF">
      <w:pPr>
        <w:pStyle w:val="Textodenotaderodap"/>
        <w:jc w:val="both"/>
        <w:rPr>
          <w:rFonts w:ascii="Times New Roman" w:hAnsi="Times New Roman" w:cs="Times New Roman"/>
        </w:rPr>
      </w:pPr>
      <w:r w:rsidRPr="00E80C0F">
        <w:rPr>
          <w:rStyle w:val="Refdenotaderodap"/>
          <w:rFonts w:ascii="Times New Roman" w:hAnsi="Times New Roman" w:cs="Times New Roman"/>
        </w:rPr>
        <w:footnoteRef/>
      </w:r>
      <w:r w:rsidRPr="00E80C0F">
        <w:rPr>
          <w:rFonts w:ascii="Times New Roman" w:hAnsi="Times New Roman" w:cs="Times New Roman"/>
        </w:rPr>
        <w:t xml:space="preserve"> A série de eventos climáticos que afetaram a oferta agropecuária na safra 2010/2011 teve inicio com a forte estiagem na Rússia, que culminou na suspensão das exportações de trigo desse país em agosto de 2010. Posteriormente, com o advento do fenômeno La </w:t>
      </w:r>
      <w:proofErr w:type="spellStart"/>
      <w:r w:rsidRPr="00E80C0F">
        <w:rPr>
          <w:rFonts w:ascii="Times New Roman" w:hAnsi="Times New Roman" w:cs="Times New Roman"/>
        </w:rPr>
        <w:t>Niña</w:t>
      </w:r>
      <w:proofErr w:type="spellEnd"/>
      <w:r w:rsidRPr="00E80C0F">
        <w:rPr>
          <w:rFonts w:ascii="Times New Roman" w:hAnsi="Times New Roman" w:cs="Times New Roman"/>
        </w:rPr>
        <w:t xml:space="preserve">, os efeitos do clima sobre a oferta atingiram outras </w:t>
      </w:r>
      <w:r w:rsidRPr="00E80C0F">
        <w:rPr>
          <w:rFonts w:ascii="Times New Roman" w:hAnsi="Times New Roman" w:cs="Times New Roman"/>
          <w:i/>
        </w:rPr>
        <w:t>commodities</w:t>
      </w:r>
      <w:r w:rsidRPr="00E80C0F">
        <w:rPr>
          <w:rFonts w:ascii="Times New Roman" w:hAnsi="Times New Roman" w:cs="Times New Roman"/>
        </w:rPr>
        <w:t xml:space="preserve"> do setor, como milho, soja, açúcar, café e algodão, em meio à ocorrência de enchentes na Austrália e condições climáticas extremamente adversas na China, Estados Unidos, Argentina e Brasil.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F66"/>
    <w:rsid w:val="00001ACE"/>
    <w:rsid w:val="00035A90"/>
    <w:rsid w:val="00036C6E"/>
    <w:rsid w:val="00045D00"/>
    <w:rsid w:val="000668C6"/>
    <w:rsid w:val="00072DFA"/>
    <w:rsid w:val="0008669E"/>
    <w:rsid w:val="000C102B"/>
    <w:rsid w:val="000D137F"/>
    <w:rsid w:val="000E4CF3"/>
    <w:rsid w:val="00101106"/>
    <w:rsid w:val="001012F3"/>
    <w:rsid w:val="0011143B"/>
    <w:rsid w:val="0012568F"/>
    <w:rsid w:val="00127716"/>
    <w:rsid w:val="001415D8"/>
    <w:rsid w:val="00145665"/>
    <w:rsid w:val="001849D1"/>
    <w:rsid w:val="00185A83"/>
    <w:rsid w:val="00197115"/>
    <w:rsid w:val="001A15FD"/>
    <w:rsid w:val="001A7AF9"/>
    <w:rsid w:val="001D05DB"/>
    <w:rsid w:val="001E0E73"/>
    <w:rsid w:val="001E3897"/>
    <w:rsid w:val="001E4CB4"/>
    <w:rsid w:val="001E77B2"/>
    <w:rsid w:val="001F4DCA"/>
    <w:rsid w:val="0020270D"/>
    <w:rsid w:val="00210987"/>
    <w:rsid w:val="00217EAC"/>
    <w:rsid w:val="00224817"/>
    <w:rsid w:val="002334BF"/>
    <w:rsid w:val="002370C3"/>
    <w:rsid w:val="00261E98"/>
    <w:rsid w:val="00275233"/>
    <w:rsid w:val="002854F1"/>
    <w:rsid w:val="002948A3"/>
    <w:rsid w:val="002B0E21"/>
    <w:rsid w:val="002E4E60"/>
    <w:rsid w:val="002F12A3"/>
    <w:rsid w:val="0032043B"/>
    <w:rsid w:val="00343379"/>
    <w:rsid w:val="0036736A"/>
    <w:rsid w:val="00395163"/>
    <w:rsid w:val="003954E9"/>
    <w:rsid w:val="003A3188"/>
    <w:rsid w:val="003B1D06"/>
    <w:rsid w:val="003B52FA"/>
    <w:rsid w:val="003C7024"/>
    <w:rsid w:val="003D5A85"/>
    <w:rsid w:val="003E0EEE"/>
    <w:rsid w:val="004226BC"/>
    <w:rsid w:val="00442DE9"/>
    <w:rsid w:val="00446ACB"/>
    <w:rsid w:val="004470C3"/>
    <w:rsid w:val="00490CDE"/>
    <w:rsid w:val="00491CD1"/>
    <w:rsid w:val="004922CD"/>
    <w:rsid w:val="004937DB"/>
    <w:rsid w:val="004B46BC"/>
    <w:rsid w:val="004C52DA"/>
    <w:rsid w:val="004D2A40"/>
    <w:rsid w:val="004E705F"/>
    <w:rsid w:val="00503B4A"/>
    <w:rsid w:val="0050735A"/>
    <w:rsid w:val="005262B8"/>
    <w:rsid w:val="00531B9A"/>
    <w:rsid w:val="00560503"/>
    <w:rsid w:val="00563339"/>
    <w:rsid w:val="0057414A"/>
    <w:rsid w:val="00575D45"/>
    <w:rsid w:val="00592ECF"/>
    <w:rsid w:val="005B6E35"/>
    <w:rsid w:val="005D7E1D"/>
    <w:rsid w:val="005F2724"/>
    <w:rsid w:val="005F4E9C"/>
    <w:rsid w:val="00604D09"/>
    <w:rsid w:val="00606BA3"/>
    <w:rsid w:val="0062007D"/>
    <w:rsid w:val="00622497"/>
    <w:rsid w:val="00622798"/>
    <w:rsid w:val="00625B70"/>
    <w:rsid w:val="006638FC"/>
    <w:rsid w:val="006667C1"/>
    <w:rsid w:val="0069714E"/>
    <w:rsid w:val="006A0188"/>
    <w:rsid w:val="00707021"/>
    <w:rsid w:val="00713443"/>
    <w:rsid w:val="0072668A"/>
    <w:rsid w:val="00735F7E"/>
    <w:rsid w:val="007379F0"/>
    <w:rsid w:val="007527AE"/>
    <w:rsid w:val="007E16B0"/>
    <w:rsid w:val="00806F22"/>
    <w:rsid w:val="008217FD"/>
    <w:rsid w:val="00824511"/>
    <w:rsid w:val="00832C7A"/>
    <w:rsid w:val="00840913"/>
    <w:rsid w:val="00852585"/>
    <w:rsid w:val="0086069F"/>
    <w:rsid w:val="008672A1"/>
    <w:rsid w:val="00873197"/>
    <w:rsid w:val="008D3B18"/>
    <w:rsid w:val="008E25E7"/>
    <w:rsid w:val="008F58CD"/>
    <w:rsid w:val="00913697"/>
    <w:rsid w:val="00941C7C"/>
    <w:rsid w:val="00943D84"/>
    <w:rsid w:val="009517C8"/>
    <w:rsid w:val="00954DF9"/>
    <w:rsid w:val="00956A63"/>
    <w:rsid w:val="009A3118"/>
    <w:rsid w:val="009B06B2"/>
    <w:rsid w:val="009B773F"/>
    <w:rsid w:val="009D541E"/>
    <w:rsid w:val="009D6E24"/>
    <w:rsid w:val="009D79E8"/>
    <w:rsid w:val="00A04D72"/>
    <w:rsid w:val="00A268F5"/>
    <w:rsid w:val="00A27C16"/>
    <w:rsid w:val="00A46D9C"/>
    <w:rsid w:val="00A57CE7"/>
    <w:rsid w:val="00A6270C"/>
    <w:rsid w:val="00A81A68"/>
    <w:rsid w:val="00A87AC3"/>
    <w:rsid w:val="00A90912"/>
    <w:rsid w:val="00AA37B1"/>
    <w:rsid w:val="00AE58EF"/>
    <w:rsid w:val="00B04983"/>
    <w:rsid w:val="00B20163"/>
    <w:rsid w:val="00B41112"/>
    <w:rsid w:val="00B51D8E"/>
    <w:rsid w:val="00B526C2"/>
    <w:rsid w:val="00B7662E"/>
    <w:rsid w:val="00B81642"/>
    <w:rsid w:val="00B8513E"/>
    <w:rsid w:val="00BB11A0"/>
    <w:rsid w:val="00BB64FD"/>
    <w:rsid w:val="00BB6D0A"/>
    <w:rsid w:val="00BE0F17"/>
    <w:rsid w:val="00BF7EC4"/>
    <w:rsid w:val="00C0037D"/>
    <w:rsid w:val="00C01DEE"/>
    <w:rsid w:val="00C2121C"/>
    <w:rsid w:val="00C3357F"/>
    <w:rsid w:val="00C60B70"/>
    <w:rsid w:val="00C72282"/>
    <w:rsid w:val="00C815ED"/>
    <w:rsid w:val="00CA62C7"/>
    <w:rsid w:val="00CC6B08"/>
    <w:rsid w:val="00CD5FCC"/>
    <w:rsid w:val="00D04E13"/>
    <w:rsid w:val="00D13AC3"/>
    <w:rsid w:val="00D20B88"/>
    <w:rsid w:val="00D34F35"/>
    <w:rsid w:val="00D46A39"/>
    <w:rsid w:val="00D5695B"/>
    <w:rsid w:val="00D70576"/>
    <w:rsid w:val="00DC4952"/>
    <w:rsid w:val="00DD6CD1"/>
    <w:rsid w:val="00DF5DDA"/>
    <w:rsid w:val="00E07572"/>
    <w:rsid w:val="00E10124"/>
    <w:rsid w:val="00E1482C"/>
    <w:rsid w:val="00E32D64"/>
    <w:rsid w:val="00E44E2B"/>
    <w:rsid w:val="00E460B4"/>
    <w:rsid w:val="00E601F6"/>
    <w:rsid w:val="00E62651"/>
    <w:rsid w:val="00E65A79"/>
    <w:rsid w:val="00E80C0F"/>
    <w:rsid w:val="00E87F66"/>
    <w:rsid w:val="00E9004B"/>
    <w:rsid w:val="00EB334A"/>
    <w:rsid w:val="00EE1A5A"/>
    <w:rsid w:val="00EE79B4"/>
    <w:rsid w:val="00F03C05"/>
    <w:rsid w:val="00F050A9"/>
    <w:rsid w:val="00F3257E"/>
    <w:rsid w:val="00F358EB"/>
    <w:rsid w:val="00F85211"/>
    <w:rsid w:val="00F9447B"/>
    <w:rsid w:val="00F97C81"/>
    <w:rsid w:val="00FA4266"/>
    <w:rsid w:val="00FD7645"/>
    <w:rsid w:val="00FF6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87AC3"/>
    <w:rPr>
      <w:color w:val="0000FF" w:themeColor="hyperlink"/>
      <w:u w:val="single"/>
    </w:rPr>
  </w:style>
  <w:style w:type="paragraph" w:styleId="PargrafodaLista">
    <w:name w:val="List Paragraph"/>
    <w:basedOn w:val="Normal"/>
    <w:uiPriority w:val="34"/>
    <w:qFormat/>
    <w:rsid w:val="001415D8"/>
    <w:pPr>
      <w:ind w:left="720"/>
      <w:contextualSpacing/>
    </w:pPr>
  </w:style>
  <w:style w:type="paragraph" w:styleId="Cabealho">
    <w:name w:val="header"/>
    <w:basedOn w:val="Normal"/>
    <w:link w:val="CabealhoChar"/>
    <w:uiPriority w:val="99"/>
    <w:unhideWhenUsed/>
    <w:rsid w:val="00832C7A"/>
    <w:pPr>
      <w:tabs>
        <w:tab w:val="center" w:pos="4252"/>
        <w:tab w:val="right" w:pos="8504"/>
      </w:tabs>
      <w:spacing w:line="240" w:lineRule="auto"/>
    </w:pPr>
  </w:style>
  <w:style w:type="character" w:customStyle="1" w:styleId="CabealhoChar">
    <w:name w:val="Cabeçalho Char"/>
    <w:basedOn w:val="Fontepargpadro"/>
    <w:link w:val="Cabealho"/>
    <w:uiPriority w:val="99"/>
    <w:rsid w:val="00832C7A"/>
  </w:style>
  <w:style w:type="paragraph" w:styleId="Rodap">
    <w:name w:val="footer"/>
    <w:basedOn w:val="Normal"/>
    <w:link w:val="RodapChar"/>
    <w:uiPriority w:val="99"/>
    <w:unhideWhenUsed/>
    <w:rsid w:val="00832C7A"/>
    <w:pPr>
      <w:tabs>
        <w:tab w:val="center" w:pos="4252"/>
        <w:tab w:val="right" w:pos="8504"/>
      </w:tabs>
      <w:spacing w:line="240" w:lineRule="auto"/>
    </w:pPr>
  </w:style>
  <w:style w:type="character" w:customStyle="1" w:styleId="RodapChar">
    <w:name w:val="Rodapé Char"/>
    <w:basedOn w:val="Fontepargpadro"/>
    <w:link w:val="Rodap"/>
    <w:uiPriority w:val="99"/>
    <w:rsid w:val="00832C7A"/>
  </w:style>
  <w:style w:type="character" w:customStyle="1" w:styleId="longtext">
    <w:name w:val="long_text"/>
    <w:basedOn w:val="Fontepargpadro"/>
    <w:rsid w:val="00CC6B08"/>
  </w:style>
  <w:style w:type="character" w:customStyle="1" w:styleId="hps">
    <w:name w:val="hps"/>
    <w:basedOn w:val="Fontepargpadro"/>
    <w:rsid w:val="00BB11A0"/>
  </w:style>
  <w:style w:type="paragraph" w:styleId="Textodenotaderodap">
    <w:name w:val="footnote text"/>
    <w:basedOn w:val="Normal"/>
    <w:link w:val="TextodenotaderodapChar"/>
    <w:uiPriority w:val="99"/>
    <w:semiHidden/>
    <w:unhideWhenUsed/>
    <w:rsid w:val="007527A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527AE"/>
    <w:rPr>
      <w:sz w:val="20"/>
      <w:szCs w:val="20"/>
    </w:rPr>
  </w:style>
  <w:style w:type="character" w:styleId="Refdenotaderodap">
    <w:name w:val="footnote reference"/>
    <w:basedOn w:val="Fontepargpadro"/>
    <w:uiPriority w:val="99"/>
    <w:semiHidden/>
    <w:unhideWhenUsed/>
    <w:rsid w:val="0075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87AC3"/>
    <w:rPr>
      <w:color w:val="0000FF" w:themeColor="hyperlink"/>
      <w:u w:val="single"/>
    </w:rPr>
  </w:style>
  <w:style w:type="paragraph" w:styleId="PargrafodaLista">
    <w:name w:val="List Paragraph"/>
    <w:basedOn w:val="Normal"/>
    <w:uiPriority w:val="34"/>
    <w:qFormat/>
    <w:rsid w:val="001415D8"/>
    <w:pPr>
      <w:ind w:left="720"/>
      <w:contextualSpacing/>
    </w:pPr>
  </w:style>
  <w:style w:type="paragraph" w:styleId="Cabealho">
    <w:name w:val="header"/>
    <w:basedOn w:val="Normal"/>
    <w:link w:val="CabealhoChar"/>
    <w:uiPriority w:val="99"/>
    <w:unhideWhenUsed/>
    <w:rsid w:val="00832C7A"/>
    <w:pPr>
      <w:tabs>
        <w:tab w:val="center" w:pos="4252"/>
        <w:tab w:val="right" w:pos="8504"/>
      </w:tabs>
      <w:spacing w:line="240" w:lineRule="auto"/>
    </w:pPr>
  </w:style>
  <w:style w:type="character" w:customStyle="1" w:styleId="CabealhoChar">
    <w:name w:val="Cabeçalho Char"/>
    <w:basedOn w:val="Fontepargpadro"/>
    <w:link w:val="Cabealho"/>
    <w:uiPriority w:val="99"/>
    <w:rsid w:val="00832C7A"/>
  </w:style>
  <w:style w:type="paragraph" w:styleId="Rodap">
    <w:name w:val="footer"/>
    <w:basedOn w:val="Normal"/>
    <w:link w:val="RodapChar"/>
    <w:uiPriority w:val="99"/>
    <w:unhideWhenUsed/>
    <w:rsid w:val="00832C7A"/>
    <w:pPr>
      <w:tabs>
        <w:tab w:val="center" w:pos="4252"/>
        <w:tab w:val="right" w:pos="8504"/>
      </w:tabs>
      <w:spacing w:line="240" w:lineRule="auto"/>
    </w:pPr>
  </w:style>
  <w:style w:type="character" w:customStyle="1" w:styleId="RodapChar">
    <w:name w:val="Rodapé Char"/>
    <w:basedOn w:val="Fontepargpadro"/>
    <w:link w:val="Rodap"/>
    <w:uiPriority w:val="99"/>
    <w:rsid w:val="00832C7A"/>
  </w:style>
  <w:style w:type="character" w:customStyle="1" w:styleId="longtext">
    <w:name w:val="long_text"/>
    <w:basedOn w:val="Fontepargpadro"/>
    <w:rsid w:val="00CC6B08"/>
  </w:style>
  <w:style w:type="character" w:customStyle="1" w:styleId="hps">
    <w:name w:val="hps"/>
    <w:basedOn w:val="Fontepargpadro"/>
    <w:rsid w:val="00BB11A0"/>
  </w:style>
  <w:style w:type="paragraph" w:styleId="Textodenotaderodap">
    <w:name w:val="footnote text"/>
    <w:basedOn w:val="Normal"/>
    <w:link w:val="TextodenotaderodapChar"/>
    <w:uiPriority w:val="99"/>
    <w:semiHidden/>
    <w:unhideWhenUsed/>
    <w:rsid w:val="007527A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527AE"/>
    <w:rPr>
      <w:sz w:val="20"/>
      <w:szCs w:val="20"/>
    </w:rPr>
  </w:style>
  <w:style w:type="character" w:styleId="Refdenotaderodap">
    <w:name w:val="footnote reference"/>
    <w:basedOn w:val="Fontepargpadro"/>
    <w:uiPriority w:val="99"/>
    <w:semiHidden/>
    <w:unhideWhenUsed/>
    <w:rsid w:val="0075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92244">
      <w:bodyDiv w:val="1"/>
      <w:marLeft w:val="0"/>
      <w:marRight w:val="0"/>
      <w:marTop w:val="0"/>
      <w:marBottom w:val="0"/>
      <w:divBdr>
        <w:top w:val="none" w:sz="0" w:space="0" w:color="auto"/>
        <w:left w:val="none" w:sz="0" w:space="0" w:color="auto"/>
        <w:bottom w:val="none" w:sz="0" w:space="0" w:color="auto"/>
        <w:right w:val="none" w:sz="0" w:space="0" w:color="auto"/>
      </w:divBdr>
    </w:div>
    <w:div w:id="497766210">
      <w:bodyDiv w:val="1"/>
      <w:marLeft w:val="0"/>
      <w:marRight w:val="0"/>
      <w:marTop w:val="0"/>
      <w:marBottom w:val="0"/>
      <w:divBdr>
        <w:top w:val="none" w:sz="0" w:space="0" w:color="auto"/>
        <w:left w:val="none" w:sz="0" w:space="0" w:color="auto"/>
        <w:bottom w:val="none" w:sz="0" w:space="0" w:color="auto"/>
        <w:right w:val="none" w:sz="0" w:space="0" w:color="auto"/>
      </w:divBdr>
    </w:div>
    <w:div w:id="572200073">
      <w:bodyDiv w:val="1"/>
      <w:marLeft w:val="0"/>
      <w:marRight w:val="0"/>
      <w:marTop w:val="0"/>
      <w:marBottom w:val="0"/>
      <w:divBdr>
        <w:top w:val="none" w:sz="0" w:space="0" w:color="auto"/>
        <w:left w:val="none" w:sz="0" w:space="0" w:color="auto"/>
        <w:bottom w:val="none" w:sz="0" w:space="0" w:color="auto"/>
        <w:right w:val="none" w:sz="0" w:space="0" w:color="auto"/>
      </w:divBdr>
    </w:div>
    <w:div w:id="584270111">
      <w:bodyDiv w:val="1"/>
      <w:marLeft w:val="0"/>
      <w:marRight w:val="0"/>
      <w:marTop w:val="0"/>
      <w:marBottom w:val="0"/>
      <w:divBdr>
        <w:top w:val="none" w:sz="0" w:space="0" w:color="auto"/>
        <w:left w:val="none" w:sz="0" w:space="0" w:color="auto"/>
        <w:bottom w:val="none" w:sz="0" w:space="0" w:color="auto"/>
        <w:right w:val="none" w:sz="0" w:space="0" w:color="auto"/>
      </w:divBdr>
    </w:div>
    <w:div w:id="594941262">
      <w:bodyDiv w:val="1"/>
      <w:marLeft w:val="0"/>
      <w:marRight w:val="0"/>
      <w:marTop w:val="0"/>
      <w:marBottom w:val="0"/>
      <w:divBdr>
        <w:top w:val="none" w:sz="0" w:space="0" w:color="auto"/>
        <w:left w:val="none" w:sz="0" w:space="0" w:color="auto"/>
        <w:bottom w:val="none" w:sz="0" w:space="0" w:color="auto"/>
        <w:right w:val="none" w:sz="0" w:space="0" w:color="auto"/>
      </w:divBdr>
    </w:div>
    <w:div w:id="733313448">
      <w:bodyDiv w:val="1"/>
      <w:marLeft w:val="0"/>
      <w:marRight w:val="0"/>
      <w:marTop w:val="0"/>
      <w:marBottom w:val="0"/>
      <w:divBdr>
        <w:top w:val="none" w:sz="0" w:space="0" w:color="auto"/>
        <w:left w:val="none" w:sz="0" w:space="0" w:color="auto"/>
        <w:bottom w:val="none" w:sz="0" w:space="0" w:color="auto"/>
        <w:right w:val="none" w:sz="0" w:space="0" w:color="auto"/>
      </w:divBdr>
    </w:div>
    <w:div w:id="1152790417">
      <w:bodyDiv w:val="1"/>
      <w:marLeft w:val="0"/>
      <w:marRight w:val="0"/>
      <w:marTop w:val="0"/>
      <w:marBottom w:val="0"/>
      <w:divBdr>
        <w:top w:val="none" w:sz="0" w:space="0" w:color="auto"/>
        <w:left w:val="none" w:sz="0" w:space="0" w:color="auto"/>
        <w:bottom w:val="none" w:sz="0" w:space="0" w:color="auto"/>
        <w:right w:val="none" w:sz="0" w:space="0" w:color="auto"/>
      </w:divBdr>
    </w:div>
    <w:div w:id="1162620607">
      <w:bodyDiv w:val="1"/>
      <w:marLeft w:val="0"/>
      <w:marRight w:val="0"/>
      <w:marTop w:val="0"/>
      <w:marBottom w:val="0"/>
      <w:divBdr>
        <w:top w:val="none" w:sz="0" w:space="0" w:color="auto"/>
        <w:left w:val="none" w:sz="0" w:space="0" w:color="auto"/>
        <w:bottom w:val="none" w:sz="0" w:space="0" w:color="auto"/>
        <w:right w:val="none" w:sz="0" w:space="0" w:color="auto"/>
      </w:divBdr>
    </w:div>
    <w:div w:id="1425765117">
      <w:bodyDiv w:val="1"/>
      <w:marLeft w:val="0"/>
      <w:marRight w:val="0"/>
      <w:marTop w:val="0"/>
      <w:marBottom w:val="0"/>
      <w:divBdr>
        <w:top w:val="none" w:sz="0" w:space="0" w:color="auto"/>
        <w:left w:val="none" w:sz="0" w:space="0" w:color="auto"/>
        <w:bottom w:val="none" w:sz="0" w:space="0" w:color="auto"/>
        <w:right w:val="none" w:sz="0" w:space="0" w:color="auto"/>
      </w:divBdr>
    </w:div>
    <w:div w:id="1730222212">
      <w:bodyDiv w:val="1"/>
      <w:marLeft w:val="0"/>
      <w:marRight w:val="0"/>
      <w:marTop w:val="0"/>
      <w:marBottom w:val="0"/>
      <w:divBdr>
        <w:top w:val="none" w:sz="0" w:space="0" w:color="auto"/>
        <w:left w:val="none" w:sz="0" w:space="0" w:color="auto"/>
        <w:bottom w:val="none" w:sz="0" w:space="0" w:color="auto"/>
        <w:right w:val="none" w:sz="0" w:space="0" w:color="auto"/>
      </w:divBdr>
    </w:div>
    <w:div w:id="1856338919">
      <w:bodyDiv w:val="1"/>
      <w:marLeft w:val="0"/>
      <w:marRight w:val="0"/>
      <w:marTop w:val="0"/>
      <w:marBottom w:val="0"/>
      <w:divBdr>
        <w:top w:val="none" w:sz="0" w:space="0" w:color="auto"/>
        <w:left w:val="none" w:sz="0" w:space="0" w:color="auto"/>
        <w:bottom w:val="none" w:sz="0" w:space="0" w:color="auto"/>
        <w:right w:val="none" w:sz="0" w:space="0" w:color="auto"/>
      </w:divBdr>
    </w:div>
    <w:div w:id="21374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0EC27-0466-44F8-84AC-B3C7CEC1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16</Pages>
  <Words>4611</Words>
  <Characters>24904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STOCKL .</dc:creator>
  <cp:keywords/>
  <dc:description/>
  <cp:lastModifiedBy>MARCOS STOCKL .</cp:lastModifiedBy>
  <cp:revision>85</cp:revision>
  <dcterms:created xsi:type="dcterms:W3CDTF">2013-07-16T18:19:00Z</dcterms:created>
  <dcterms:modified xsi:type="dcterms:W3CDTF">2013-07-22T18:07:00Z</dcterms:modified>
</cp:coreProperties>
</file>