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1B" w:rsidRPr="00213C54" w:rsidRDefault="00AF5E1B" w:rsidP="00AF5E1B">
      <w:pPr>
        <w:widowControl w:val="0"/>
        <w:jc w:val="center"/>
      </w:pPr>
      <w:r>
        <w:t>O JULGAMENTO DE NUREMBERG: IMPARCIALIDADE?</w:t>
      </w:r>
    </w:p>
    <w:p w:rsidR="00AF5E1B" w:rsidRPr="00213C54" w:rsidRDefault="00AF5E1B" w:rsidP="00AF5E1B">
      <w:pPr>
        <w:widowControl w:val="0"/>
        <w:jc w:val="center"/>
        <w:rPr>
          <w:b/>
          <w:bCs/>
        </w:rPr>
      </w:pPr>
    </w:p>
    <w:p w:rsidR="00AF5E1B" w:rsidRPr="00213C54" w:rsidRDefault="00AF5E1B" w:rsidP="00AF5E1B">
      <w:pPr>
        <w:widowControl w:val="0"/>
        <w:jc w:val="center"/>
        <w:rPr>
          <w:b/>
          <w:bCs/>
        </w:rPr>
      </w:pPr>
    </w:p>
    <w:p w:rsidR="00AF5E1B" w:rsidRPr="00213C54" w:rsidRDefault="00AF5E1B" w:rsidP="00AF5E1B">
      <w:pPr>
        <w:widowControl w:val="0"/>
        <w:jc w:val="right"/>
        <w:rPr>
          <w:bCs/>
        </w:rPr>
      </w:pPr>
      <w:r w:rsidRPr="00213C54">
        <w:rPr>
          <w:bCs/>
          <w:sz w:val="20"/>
          <w:szCs w:val="20"/>
        </w:rPr>
        <w:t>Raimundo Nascimento Gama</w:t>
      </w:r>
      <w:r w:rsidRPr="00213C54">
        <w:rPr>
          <w:rStyle w:val="Refdenotaderodap"/>
          <w:bCs/>
        </w:rPr>
        <w:footnoteReference w:id="1"/>
      </w:r>
    </w:p>
    <w:p w:rsidR="00AF5E1B" w:rsidRPr="00213C54" w:rsidRDefault="00AF5E1B" w:rsidP="00AF5E1B">
      <w:pPr>
        <w:widowControl w:val="0"/>
        <w:jc w:val="right"/>
        <w:rPr>
          <w:bCs/>
        </w:rPr>
      </w:pPr>
    </w:p>
    <w:p w:rsidR="00AF5E1B" w:rsidRPr="00213C54" w:rsidRDefault="00AF5E1B" w:rsidP="00AF5E1B">
      <w:pPr>
        <w:widowControl w:val="0"/>
        <w:shd w:val="clear" w:color="auto" w:fill="FFFFFF"/>
        <w:jc w:val="both"/>
        <w:rPr>
          <w:b/>
          <w:bCs/>
          <w:szCs w:val="26"/>
        </w:rPr>
      </w:pPr>
    </w:p>
    <w:p w:rsidR="00AF5E1B" w:rsidRDefault="00AF5E1B" w:rsidP="00AF5E1B">
      <w:pPr>
        <w:widowControl w:val="0"/>
        <w:shd w:val="clear" w:color="auto" w:fill="FFFFFF"/>
        <w:spacing w:before="120" w:after="240"/>
        <w:jc w:val="both"/>
        <w:rPr>
          <w:b/>
          <w:bCs/>
          <w:sz w:val="20"/>
          <w:szCs w:val="20"/>
        </w:rPr>
      </w:pPr>
      <w:r w:rsidRPr="00213C54">
        <w:rPr>
          <w:b/>
          <w:bCs/>
          <w:sz w:val="20"/>
          <w:szCs w:val="20"/>
        </w:rPr>
        <w:t xml:space="preserve">RESUMO: </w:t>
      </w:r>
    </w:p>
    <w:p w:rsidR="00AF5E1B" w:rsidRPr="00543EE5" w:rsidRDefault="00AF5E1B" w:rsidP="00AF5E1B">
      <w:pPr>
        <w:widowControl w:val="0"/>
        <w:shd w:val="clear" w:color="auto" w:fill="FFFFFF"/>
        <w:spacing w:before="120" w:after="240"/>
        <w:jc w:val="both"/>
        <w:rPr>
          <w:sz w:val="20"/>
          <w:szCs w:val="20"/>
        </w:rPr>
      </w:pPr>
      <w:r w:rsidRPr="00213C54">
        <w:rPr>
          <w:bCs/>
          <w:sz w:val="20"/>
          <w:szCs w:val="20"/>
        </w:rPr>
        <w:t xml:space="preserve">O </w:t>
      </w:r>
      <w:r w:rsidRPr="00213C54">
        <w:rPr>
          <w:sz w:val="20"/>
          <w:szCs w:val="20"/>
        </w:rPr>
        <w:t xml:space="preserve">presente trabalho tem </w:t>
      </w:r>
      <w:r>
        <w:rPr>
          <w:sz w:val="20"/>
          <w:szCs w:val="20"/>
        </w:rPr>
        <w:t xml:space="preserve">por propósito maior a abordagem de um dos momentos mais bestiais da história, a Segunda Guerra Mundial, enfocando mais especificamente os julgamentos realizados na cidade alemã de Nuremberg, entre os anos de 1945 e 1946, onde foram sentenciados por um Tribunal Internacional Militar os mais graduados </w:t>
      </w:r>
      <w:proofErr w:type="gramStart"/>
      <w:r>
        <w:rPr>
          <w:sz w:val="20"/>
          <w:szCs w:val="20"/>
        </w:rPr>
        <w:t>lideres nazistas</w:t>
      </w:r>
      <w:proofErr w:type="gramEnd"/>
      <w:r>
        <w:rPr>
          <w:sz w:val="20"/>
          <w:szCs w:val="20"/>
        </w:rPr>
        <w:t xml:space="preserve"> e juízes do III Reich responsáveis pelas barbaridades cometidas contra a humanidade. O Tribunal Internacional Militar, instituído para esse fim a partir de um acordo entre os governos dos Estados Unidos da América, União das Republicas Socialistas Soviéticas, Reino Unido e França, buscou, num grande esforço político maior, encontrar e aplicar uma justiça humana de tamanho ideal para os crimes contra a humanidade cometidos pelos acusados, sendo que, no decorrer dos processos, não aceitou as duas principais alegações da defesa, quais sejam: a de que somente os Estados podem ser considerados responsáveis por crimes de guerra, isentando os indivíduos; e a de que o processo e o enquadramento dos acusados eram de fatos passados (</w:t>
      </w:r>
      <w:proofErr w:type="spellStart"/>
      <w:r>
        <w:rPr>
          <w:i/>
          <w:sz w:val="20"/>
          <w:szCs w:val="20"/>
        </w:rPr>
        <w:t>ex</w:t>
      </w:r>
      <w:proofErr w:type="spellEnd"/>
      <w:r>
        <w:rPr>
          <w:i/>
          <w:sz w:val="20"/>
          <w:szCs w:val="20"/>
        </w:rPr>
        <w:t xml:space="preserve"> post facto</w:t>
      </w:r>
      <w:r>
        <w:rPr>
          <w:sz w:val="20"/>
          <w:szCs w:val="20"/>
        </w:rPr>
        <w:t>). O argumento maior utilizado pelo Tribunal Internacional Militar foi o de que os crimes de guerra são cometidos por homens, portanto, somente punindo a estes é que torna possível fazer cumprir a lei internacional, pois os fatos imputados eram universalmente considerados crimes antes mesmo da Segunda Guerra Mundial. Busca-se neste trabalho apresentar situações do Julgamento de Nuremberg à luz do Direito Internacional Público que implicou no fortalecimento deste a partir de então.</w:t>
      </w:r>
    </w:p>
    <w:p w:rsidR="00AF5E1B" w:rsidRPr="00213C54" w:rsidRDefault="00AF5E1B" w:rsidP="00AF5E1B">
      <w:pPr>
        <w:widowControl w:val="0"/>
        <w:spacing w:before="120" w:after="240"/>
        <w:jc w:val="both"/>
        <w:rPr>
          <w:bCs/>
        </w:rPr>
      </w:pPr>
      <w:r w:rsidRPr="00213C54">
        <w:rPr>
          <w:b/>
          <w:bCs/>
        </w:rPr>
        <w:t>PALAVRAS-CHAVE</w:t>
      </w:r>
      <w:r w:rsidRPr="00213C54">
        <w:t xml:space="preserve">: </w:t>
      </w:r>
      <w:r>
        <w:t>Direitos Humanos; Crimes de Guerra</w:t>
      </w:r>
      <w:r w:rsidRPr="00213C54">
        <w:t xml:space="preserve">; </w:t>
      </w:r>
      <w:r>
        <w:t>Julgamento</w:t>
      </w:r>
      <w:r w:rsidRPr="00213C54">
        <w:t xml:space="preserve">; </w:t>
      </w:r>
      <w:r>
        <w:t>Justiça</w:t>
      </w:r>
      <w:r w:rsidRPr="00213C54">
        <w:t xml:space="preserve">; </w:t>
      </w:r>
      <w:r>
        <w:rPr>
          <w:bCs/>
        </w:rPr>
        <w:t>Tribunal Internacional</w:t>
      </w:r>
      <w:r w:rsidRPr="00213C54">
        <w:rPr>
          <w:bCs/>
        </w:rPr>
        <w:t xml:space="preserve">. </w:t>
      </w:r>
    </w:p>
    <w:p w:rsidR="00AF5E1B" w:rsidRDefault="00AF5E1B" w:rsidP="00AF5E1B">
      <w:pPr>
        <w:widowControl w:val="0"/>
        <w:numPr>
          <w:ilvl w:val="0"/>
          <w:numId w:val="2"/>
        </w:numPr>
        <w:spacing w:before="480" w:after="100" w:afterAutospacing="1"/>
        <w:jc w:val="both"/>
        <w:rPr>
          <w:b/>
          <w:bCs/>
          <w:smallCaps/>
          <w:szCs w:val="26"/>
        </w:rPr>
      </w:pPr>
      <w:r>
        <w:rPr>
          <w:b/>
          <w:bCs/>
          <w:smallCaps/>
          <w:szCs w:val="26"/>
        </w:rPr>
        <w:t>INTRODUÇÃO</w:t>
      </w:r>
    </w:p>
    <w:p w:rsidR="00AF5E1B" w:rsidRDefault="00AF5E1B" w:rsidP="00AF5E1B">
      <w:pPr>
        <w:widowControl w:val="0"/>
        <w:spacing w:before="120" w:after="120" w:line="360" w:lineRule="auto"/>
        <w:ind w:firstLine="1134"/>
        <w:jc w:val="both"/>
      </w:pPr>
      <w:r>
        <w:t xml:space="preserve">Com a Segunda Guerra Mundial surgiu </w:t>
      </w:r>
      <w:proofErr w:type="gramStart"/>
      <w:r>
        <w:t>a</w:t>
      </w:r>
      <w:proofErr w:type="gramEnd"/>
      <w:r>
        <w:t xml:space="preserve"> união de Estados para discutir o tratamento pós-guerra que deveria ser dado aos líderes nazistas que foram responsáveis ou consentiram as atrocidades e os crimes monstruosos cometidos contra a humanidade, submetendo suas vidas a julgamento. A Declaração de Moscou, como um dos atos precedentes do Tribunal de Nuremberg, estabeleceu que os membros do Partido </w:t>
      </w:r>
      <w:proofErr w:type="gramStart"/>
      <w:r>
        <w:t>Nazista diretamente ligados</w:t>
      </w:r>
      <w:proofErr w:type="gramEnd"/>
      <w:r>
        <w:t xml:space="preserve"> aos crimes de guerra deveriam ser encaminhados para os países nos quais cometeram os atos abomináveis para serem julgados e punidos.</w:t>
      </w:r>
    </w:p>
    <w:p w:rsidR="00AF5E1B" w:rsidRDefault="00AF5E1B" w:rsidP="00AF5E1B">
      <w:pPr>
        <w:widowControl w:val="0"/>
        <w:spacing w:before="120" w:after="120" w:line="360" w:lineRule="auto"/>
        <w:ind w:firstLine="1134"/>
        <w:jc w:val="both"/>
      </w:pPr>
      <w:r>
        <w:t xml:space="preserve">Em agosto de 1945 é assinado o Ato Constitutivo do Tribunal de Nuremberg pelos Governos dos Estados Unidos da América, do Reino Unido da Grã-Bretanha e da Irlanda do Norte, da União das Repúblicas Socialistas Soviéticas e o Provisório da República Francesa, com o objetivo de processar e punir </w:t>
      </w:r>
      <w:r w:rsidRPr="002F20BC">
        <w:t>os maiores crimes de guerra do Eixo Europeu</w:t>
      </w:r>
      <w:r>
        <w:t xml:space="preserve">, definindo, no referido documento, </w:t>
      </w:r>
      <w:r w:rsidRPr="002F20BC">
        <w:t xml:space="preserve">as regras dos processos de julgamento, os crimes a serem tratados e o local do julgamento, </w:t>
      </w:r>
      <w:r>
        <w:t>tendo sido escolhida a cidade de</w:t>
      </w:r>
      <w:r w:rsidRPr="002F20BC">
        <w:t xml:space="preserve"> Nuremberg.</w:t>
      </w:r>
    </w:p>
    <w:p w:rsidR="00AF5E1B" w:rsidRDefault="00AF5E1B" w:rsidP="00AF5E1B">
      <w:pPr>
        <w:widowControl w:val="0"/>
        <w:spacing w:before="120" w:after="120" w:line="360" w:lineRule="auto"/>
        <w:ind w:firstLine="1134"/>
        <w:jc w:val="both"/>
      </w:pPr>
      <w:r>
        <w:lastRenderedPageBreak/>
        <w:t>O rol de horrores composto pelas monstruosidades cometidas pelos alemães nazistas não permitia virar a página da história da humanidade sem apuração e punição dos responsáveis pela tortura, humilhação, crueldades e desumanidades inimagináveis, condenação de povos à escravidão, aniquilamento de minorias e morte de milhões de homens, mulheres e crianças.</w:t>
      </w:r>
    </w:p>
    <w:p w:rsidR="00AF5E1B" w:rsidRDefault="00AF5E1B" w:rsidP="00AF5E1B">
      <w:pPr>
        <w:widowControl w:val="0"/>
        <w:spacing w:before="120" w:after="120" w:line="360" w:lineRule="auto"/>
        <w:ind w:firstLine="1134"/>
        <w:jc w:val="both"/>
      </w:pPr>
      <w:r>
        <w:t>Assim fica proposto neste trabalho, à luz da obra O Tribunal de Nuremberg, de Ana Luiza Almeida Ferro pontuar fatos relativos a crimes cometidos durante a Segunda Guerra Mundial que desencadeou a formação de um Tribunal Internacional Militar.</w:t>
      </w:r>
    </w:p>
    <w:p w:rsidR="00AF5E1B" w:rsidRPr="00213C54" w:rsidRDefault="00AF5E1B" w:rsidP="00AF5E1B">
      <w:pPr>
        <w:widowControl w:val="0"/>
        <w:numPr>
          <w:ilvl w:val="0"/>
          <w:numId w:val="2"/>
        </w:numPr>
        <w:tabs>
          <w:tab w:val="left" w:pos="5670"/>
        </w:tabs>
        <w:spacing w:before="480" w:after="100" w:afterAutospacing="1"/>
        <w:jc w:val="both"/>
        <w:rPr>
          <w:b/>
        </w:rPr>
      </w:pPr>
      <w:r>
        <w:rPr>
          <w:b/>
        </w:rPr>
        <w:t>OS PRECEDENTES HISTÓRICOS.</w:t>
      </w:r>
    </w:p>
    <w:p w:rsidR="00AF5E1B" w:rsidRDefault="00AF5E1B" w:rsidP="00AF5E1B">
      <w:pPr>
        <w:widowControl w:val="0"/>
        <w:spacing w:before="120" w:after="120" w:line="360" w:lineRule="auto"/>
        <w:ind w:firstLine="1134"/>
        <w:jc w:val="both"/>
      </w:pPr>
      <w:r>
        <w:t xml:space="preserve">A imposição de sanções penais a responsáveis por crimes de guerra é uma </w:t>
      </w:r>
      <w:proofErr w:type="spellStart"/>
      <w:r>
        <w:t>idéia</w:t>
      </w:r>
      <w:proofErr w:type="spellEnd"/>
      <w:r>
        <w:t xml:space="preserve"> antiga que vem desde a Grécia Antiga, passando por Atenas, onde os lacedemônios julgaram e condenaram à morte os vencidos atenienses, e pela antiguidade Romana, dando origem às manifestações de Direito Internacional Público que serviram de alicerce para a criação do Tribunal de Nuremberg.</w:t>
      </w:r>
    </w:p>
    <w:p w:rsidR="00AF5E1B" w:rsidRDefault="00AF5E1B" w:rsidP="00AF5E1B">
      <w:pPr>
        <w:widowControl w:val="0"/>
        <w:spacing w:before="120" w:after="120" w:line="360" w:lineRule="auto"/>
        <w:ind w:firstLine="1134"/>
        <w:jc w:val="both"/>
      </w:pPr>
      <w:r>
        <w:t xml:space="preserve">Os registros históricos da antiguidade que apontam para a submissão completa dos vencidos ante os vitoriosos, expondo os primeiros às práticas de arbitrariedade dos segundos, fato comum até a Idade Média, indicam que a concepção do amor cristão e fraternidade humana originada na Igreja, foram as primeiras </w:t>
      </w:r>
      <w:proofErr w:type="spellStart"/>
      <w:r>
        <w:t>idéias</w:t>
      </w:r>
      <w:proofErr w:type="spellEnd"/>
      <w:r>
        <w:t xml:space="preserve"> claras daquilo que exorbitava a guerra, indicando os excessos praticados contra as populações civis. Ainda na Idade Média surge um novo precedente: o julgamento, em 1474, de Sir Peter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Hagembach</w:t>
      </w:r>
      <w:proofErr w:type="spellEnd"/>
      <w:r>
        <w:t xml:space="preserve">, governador de </w:t>
      </w:r>
      <w:proofErr w:type="spellStart"/>
      <w:r>
        <w:t>Breisach</w:t>
      </w:r>
      <w:proofErr w:type="spellEnd"/>
      <w:r>
        <w:t>, julgado por juízes da Áustria e cidades aliadas em face da implantação de um período de terror sob o seu domínio.</w:t>
      </w:r>
    </w:p>
    <w:p w:rsidR="00AF5E1B" w:rsidRDefault="00AF5E1B" w:rsidP="00AF5E1B">
      <w:pPr>
        <w:widowControl w:val="0"/>
        <w:spacing w:before="120" w:after="120" w:line="360" w:lineRule="auto"/>
        <w:ind w:firstLine="1134"/>
        <w:jc w:val="both"/>
      </w:pPr>
      <w:r>
        <w:t>A decadência da jurisdição eclesiástica e o crescente fortalecimento do poder real deram início a um movimento doutrinário representado por Francisco de Vitória</w:t>
      </w:r>
      <w:r>
        <w:rPr>
          <w:rStyle w:val="Refdenotaderodap"/>
        </w:rPr>
        <w:footnoteReference w:id="2"/>
      </w:r>
      <w:r>
        <w:t xml:space="preserve"> e Francisco Suarez</w:t>
      </w:r>
      <w:r>
        <w:rPr>
          <w:rStyle w:val="Refdenotaderodap"/>
        </w:rPr>
        <w:footnoteReference w:id="3"/>
      </w:r>
      <w:r>
        <w:t xml:space="preserve">, alcançando o apogeu com </w:t>
      </w:r>
      <w:proofErr w:type="spellStart"/>
      <w:r>
        <w:t>Grotius</w:t>
      </w:r>
      <w:proofErr w:type="spellEnd"/>
      <w:r>
        <w:rPr>
          <w:rStyle w:val="Refdenotaderodap"/>
        </w:rPr>
        <w:footnoteReference w:id="4"/>
      </w:r>
      <w:r>
        <w:t>.</w:t>
      </w:r>
    </w:p>
    <w:p w:rsidR="00AF5E1B" w:rsidRDefault="00AF5E1B" w:rsidP="00AF5E1B">
      <w:pPr>
        <w:widowControl w:val="0"/>
        <w:spacing w:before="120" w:after="120" w:line="360" w:lineRule="auto"/>
        <w:ind w:firstLine="1134"/>
        <w:jc w:val="both"/>
      </w:pPr>
      <w:r>
        <w:t xml:space="preserve">Sob o temor do surgimento de movimentos socialistas a partir da quebra da bolsa </w:t>
      </w:r>
      <w:r>
        <w:lastRenderedPageBreak/>
        <w:t>de Nova Iorque em 1929, surge o Nazismo, regime ditatorial alemão, que teve na ascensão de Adolf Hitler a manutenção do capitalismo. O regime exaltava a raça ariana como sendo superior, responsabilizando os judeus pela crise alemã, ao tempo em que Hitler pregava a importância de se ampliar o território alemão que levou à segunda Guerra Mundial.</w:t>
      </w:r>
    </w:p>
    <w:p w:rsidR="00AF5E1B" w:rsidRPr="002F20BC" w:rsidRDefault="00AF5E1B" w:rsidP="00AF5E1B">
      <w:pPr>
        <w:widowControl w:val="0"/>
        <w:spacing w:before="120" w:after="120" w:line="360" w:lineRule="auto"/>
        <w:ind w:firstLine="1134"/>
        <w:jc w:val="both"/>
      </w:pPr>
      <w:r>
        <w:t>Foi d</w:t>
      </w:r>
      <w:r w:rsidRPr="002F20BC">
        <w:t xml:space="preserve">urante a segunda guerra, </w:t>
      </w:r>
      <w:r>
        <w:t>que</w:t>
      </w:r>
      <w:r w:rsidRPr="002F20BC">
        <w:t xml:space="preserve"> vários campos de concentração e extermínio </w:t>
      </w:r>
      <w:r>
        <w:t>foram construídos e</w:t>
      </w:r>
      <w:r w:rsidRPr="002F20BC">
        <w:t xml:space="preserve"> tinham, entre outras, as funções de promover experiências em seres humanos e também de exterminar os judeus.</w:t>
      </w:r>
    </w:p>
    <w:p w:rsidR="00AF5E1B" w:rsidRPr="00213C54" w:rsidRDefault="00AF5E1B" w:rsidP="00AF5E1B">
      <w:pPr>
        <w:widowControl w:val="0"/>
        <w:numPr>
          <w:ilvl w:val="0"/>
          <w:numId w:val="2"/>
        </w:numPr>
        <w:tabs>
          <w:tab w:val="left" w:pos="5670"/>
        </w:tabs>
        <w:spacing w:before="480" w:after="100" w:afterAutospacing="1"/>
        <w:jc w:val="both"/>
        <w:rPr>
          <w:b/>
        </w:rPr>
      </w:pPr>
      <w:r>
        <w:rPr>
          <w:b/>
        </w:rPr>
        <w:t>OS OBJETIVOS DO TRIBUNAL DE NUREMBERG.</w:t>
      </w:r>
    </w:p>
    <w:p w:rsidR="00AF5E1B" w:rsidRDefault="00AF5E1B" w:rsidP="00AF5E1B">
      <w:pPr>
        <w:widowControl w:val="0"/>
        <w:spacing w:before="120" w:after="120" w:line="360" w:lineRule="auto"/>
        <w:ind w:firstLine="1134"/>
        <w:jc w:val="both"/>
      </w:pPr>
      <w:r>
        <w:t>Objetivava o Tribunal de Nuremberg processar e julgar os criminosos de guerra protagonistas da degradação humana e extermínio de milhões de pessoas durante a Segunda Guerra Mundial, uma atrocidade sem precedentes, dado a crueldade com que, principalmente os civis, eram tratados até a dizimação em campos de concentração, pois não era crível que os responsáveis por tamanha bestialidade, imbuídos de uma filosofia alicerçada no ódio e no desprezo para com os até então vencidos, saíssem ilesos, sem punições pessoais, apenas com o título de perdedores da guerra, pois se tratava de crimes de magnitudes incomparáveis, empregando um esforço político capaz de encontrar na justiça humana o peso ideal para crimes tão horrendos, numa combinação de elementos do Direito Anglo-Americano com os das leis civis do continente europeu.</w:t>
      </w:r>
    </w:p>
    <w:p w:rsidR="00AF5E1B" w:rsidRDefault="00AF5E1B" w:rsidP="00AF5E1B">
      <w:pPr>
        <w:widowControl w:val="0"/>
        <w:spacing w:before="120" w:after="120" w:line="360" w:lineRule="auto"/>
        <w:ind w:firstLine="1134"/>
        <w:jc w:val="both"/>
      </w:pPr>
      <w:r>
        <w:t xml:space="preserve">Com a competência de julgar os crimes contra a paz, os crimes de guerra e os crimes contra a humanidade cometidos ao longo do nazismo, o Tribunal de Nuremberg julgou as atrocidades perpetradas pelos nazistas, responsabilizando-os no âmbito internacional, legal e politicamente, pelos acontecimentos de guerra em seu território com seus próprios nacionais, encontrando nas ações dos alemães, durante a guerra, justificativa forte para o julgamento dos criminosos: </w:t>
      </w:r>
    </w:p>
    <w:p w:rsidR="00AF5E1B" w:rsidRPr="00213C54" w:rsidRDefault="00AF5E1B" w:rsidP="00AF5E1B">
      <w:pPr>
        <w:widowControl w:val="0"/>
        <w:spacing w:before="120" w:after="360"/>
        <w:ind w:left="2268" w:right="-1"/>
        <w:jc w:val="both"/>
        <w:rPr>
          <w:sz w:val="20"/>
          <w:szCs w:val="20"/>
        </w:rPr>
      </w:pPr>
      <w:proofErr w:type="gramStart"/>
      <w:r>
        <w:rPr>
          <w:rFonts w:cs="DFLHCI+TimesNewRoman"/>
          <w:color w:val="000000"/>
          <w:sz w:val="20"/>
          <w:szCs w:val="20"/>
        </w:rPr>
        <w:t>Se é</w:t>
      </w:r>
      <w:proofErr w:type="gramEnd"/>
      <w:r>
        <w:rPr>
          <w:rFonts w:cs="DFLHCI+TimesNewRoman"/>
          <w:color w:val="000000"/>
          <w:sz w:val="20"/>
          <w:szCs w:val="20"/>
        </w:rPr>
        <w:t xml:space="preserve"> verdade que o caminho para o efetivo julgamento de grandes criminosos de guerra foi pavimentado ao longo da história da humanidade, com intensificação de esforços durante o período entre as duas grandes guerras, não é menos verídico que um tribunal do porte do de Nuremberg só foi possível em virtude do horror provocado pelas atrocidades cometidas durante a Segunda Guerra Mundial, particularmente pelos nazistas. </w:t>
      </w:r>
      <w:r w:rsidRPr="00213C54">
        <w:rPr>
          <w:sz w:val="20"/>
          <w:szCs w:val="20"/>
        </w:rPr>
        <w:t xml:space="preserve"> (</w:t>
      </w:r>
      <w:r>
        <w:rPr>
          <w:sz w:val="20"/>
          <w:szCs w:val="20"/>
        </w:rPr>
        <w:t>FERRO</w:t>
      </w:r>
      <w:r w:rsidRPr="00213C54">
        <w:rPr>
          <w:sz w:val="20"/>
          <w:szCs w:val="20"/>
        </w:rPr>
        <w:t xml:space="preserve">, </w:t>
      </w:r>
      <w:r>
        <w:rPr>
          <w:sz w:val="20"/>
          <w:szCs w:val="20"/>
        </w:rPr>
        <w:t>2002</w:t>
      </w:r>
      <w:r w:rsidRPr="00213C54">
        <w:rPr>
          <w:sz w:val="20"/>
          <w:szCs w:val="20"/>
        </w:rPr>
        <w:t xml:space="preserve"> p. </w:t>
      </w:r>
      <w:r>
        <w:rPr>
          <w:sz w:val="20"/>
          <w:szCs w:val="20"/>
        </w:rPr>
        <w:t>36</w:t>
      </w:r>
      <w:r w:rsidRPr="00213C54">
        <w:rPr>
          <w:sz w:val="20"/>
          <w:szCs w:val="20"/>
        </w:rPr>
        <w:t>)</w:t>
      </w:r>
    </w:p>
    <w:p w:rsidR="00AF5E1B" w:rsidRDefault="00AF5E1B" w:rsidP="00AF5E1B">
      <w:pPr>
        <w:widowControl w:val="0"/>
        <w:spacing w:before="120" w:after="120" w:line="360" w:lineRule="auto"/>
        <w:ind w:firstLine="1134"/>
        <w:jc w:val="both"/>
      </w:pPr>
      <w:r>
        <w:t xml:space="preserve">Nuremberg tornou-se prova inconteste de que a proteção dos direitos humanos não mais poderia ficar reservada ao Estado, fortalecendo a </w:t>
      </w:r>
      <w:proofErr w:type="spellStart"/>
      <w:r>
        <w:t>idéia</w:t>
      </w:r>
      <w:proofErr w:type="spellEnd"/>
      <w:r>
        <w:t xml:space="preserve"> de que a maneira como um Estado trata seus cidadãos é de interesse do mundo e que, portanto, os indivíduos têm direitos </w:t>
      </w:r>
      <w:r>
        <w:lastRenderedPageBreak/>
        <w:t>protegidos na ordem internacional.</w:t>
      </w:r>
    </w:p>
    <w:p w:rsidR="00AF5E1B" w:rsidRPr="00213C54" w:rsidRDefault="00AF5E1B" w:rsidP="00AF5E1B">
      <w:pPr>
        <w:widowControl w:val="0"/>
        <w:numPr>
          <w:ilvl w:val="0"/>
          <w:numId w:val="2"/>
        </w:numPr>
        <w:tabs>
          <w:tab w:val="left" w:pos="5670"/>
        </w:tabs>
        <w:spacing w:before="480" w:after="100" w:afterAutospacing="1"/>
        <w:jc w:val="both"/>
        <w:rPr>
          <w:b/>
        </w:rPr>
      </w:pPr>
      <w:r>
        <w:rPr>
          <w:b/>
        </w:rPr>
        <w:t>OS CRIMES</w:t>
      </w:r>
    </w:p>
    <w:p w:rsidR="00AF5E1B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>
        <w:t>No decorrer dos processos do Julgamento de Nu</w:t>
      </w:r>
      <w:r w:rsidRPr="002F20BC">
        <w:t xml:space="preserve">remberg </w:t>
      </w:r>
      <w:r>
        <w:t>foram reveladas ao mundo crueldades assustadoras praticadas</w:t>
      </w:r>
      <w:r w:rsidRPr="002F20BC">
        <w:t xml:space="preserve"> </w:t>
      </w:r>
      <w:r>
        <w:t xml:space="preserve">pela </w:t>
      </w:r>
      <w:r w:rsidRPr="002F20BC">
        <w:t>Alemanha contra populações indefesas, crianças, mulheres e velhos</w:t>
      </w:r>
      <w:r>
        <w:t xml:space="preserve"> e, principalmente, </w:t>
      </w:r>
      <w:r w:rsidRPr="002F20BC">
        <w:t>contra uma raça determinada, a judia, que</w:t>
      </w:r>
      <w:r>
        <w:t>, aliás,</w:t>
      </w:r>
      <w:r w:rsidRPr="002F20BC">
        <w:t xml:space="preserve"> não </w:t>
      </w:r>
      <w:proofErr w:type="gramStart"/>
      <w:r w:rsidRPr="002F20BC">
        <w:t>estava</w:t>
      </w:r>
      <w:proofErr w:type="gramEnd"/>
      <w:r w:rsidRPr="002F20BC">
        <w:t xml:space="preserve"> em guerra contra a Alemanha</w:t>
      </w:r>
      <w:r>
        <w:t>, fatos que levaram</w:t>
      </w:r>
      <w:r w:rsidRPr="002F20BC">
        <w:t xml:space="preserve"> as nações aliadas e ofendidas a tomarem uma decisão para punir os culpados.</w:t>
      </w:r>
    </w:p>
    <w:p w:rsidR="00AF5E1B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 w:rsidRPr="002F20BC">
        <w:t xml:space="preserve">Não se tratava de julgar atos </w:t>
      </w:r>
      <w:r>
        <w:t>próprios</w:t>
      </w:r>
      <w:r w:rsidRPr="002F20BC">
        <w:t xml:space="preserve"> de guerra, e sim </w:t>
      </w:r>
      <w:r>
        <w:t>aqueles</w:t>
      </w:r>
      <w:r w:rsidRPr="002F20BC">
        <w:t xml:space="preserve"> praticados durante </w:t>
      </w:r>
      <w:r>
        <w:t>a</w:t>
      </w:r>
      <w:r w:rsidRPr="002F20BC">
        <w:t xml:space="preserve"> luta armada e considerados como </w:t>
      </w:r>
      <w:r w:rsidRPr="002F20BC">
        <w:rPr>
          <w:i/>
          <w:iCs/>
        </w:rPr>
        <w:t>crimes de guerra</w:t>
      </w:r>
      <w:r w:rsidRPr="002F20BC">
        <w:t xml:space="preserve">. Para </w:t>
      </w:r>
      <w:r>
        <w:t>tanto</w:t>
      </w:r>
      <w:r w:rsidRPr="002F20BC">
        <w:t xml:space="preserve">, os governos dos Estados Unidos, da França, do Reino Unido e da União Soviética concluíram um acordo no sentido da criação de um tribunal militar, destinado a processar e punir os maiores criminosos de guerra, pertencentes aos países inimigos, </w:t>
      </w:r>
      <w:r>
        <w:t>sob a forma</w:t>
      </w:r>
      <w:r w:rsidRPr="002F20BC">
        <w:t xml:space="preserve"> de um Estatuto elaborad</w:t>
      </w:r>
      <w:r>
        <w:t>o</w:t>
      </w:r>
      <w:r w:rsidRPr="002F20BC">
        <w:t xml:space="preserve"> pelos representantes das grandes potências aliadas</w:t>
      </w:r>
      <w:r>
        <w:t>, ou</w:t>
      </w:r>
      <w:r w:rsidRPr="002F20BC">
        <w:t xml:space="preserve"> seja, era </w:t>
      </w:r>
      <w:r>
        <w:t>preciso</w:t>
      </w:r>
      <w:r w:rsidRPr="002F20BC">
        <w:t xml:space="preserve"> criar os delitos nas leis, pois </w:t>
      </w:r>
      <w:r>
        <w:t xml:space="preserve">aos olhos do mundo eles já existiam, assim sendo </w:t>
      </w:r>
      <w:r w:rsidRPr="002F20BC">
        <w:t>o Estatuto do</w:t>
      </w:r>
      <w:r>
        <w:t xml:space="preserve"> Tribunal de Nu</w:t>
      </w:r>
      <w:r w:rsidRPr="002F20BC">
        <w:t>remberg estabeleceu três categorias de crimes:</w:t>
      </w:r>
    </w:p>
    <w:p w:rsidR="00AF5E1B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 w:rsidRPr="00742A3B">
        <w:rPr>
          <w:bCs/>
        </w:rPr>
        <w:t>Crimes contra a paz:</w:t>
      </w:r>
      <w:r w:rsidRPr="002F20BC">
        <w:t xml:space="preserve"> </w:t>
      </w:r>
      <w:r>
        <w:t xml:space="preserve">aqueles </w:t>
      </w:r>
      <w:r w:rsidRPr="002F20BC">
        <w:t xml:space="preserve">classificados </w:t>
      </w:r>
      <w:r>
        <w:t>do ponto de vista d</w:t>
      </w:r>
      <w:r w:rsidRPr="002F20BC">
        <w:t xml:space="preserve">o planejamento, </w:t>
      </w:r>
      <w:r>
        <w:t>d</w:t>
      </w:r>
      <w:r w:rsidRPr="002F20BC">
        <w:t xml:space="preserve">a preparação, </w:t>
      </w:r>
      <w:r>
        <w:t>d</w:t>
      </w:r>
      <w:r w:rsidRPr="002F20BC">
        <w:t xml:space="preserve">a iniciação, </w:t>
      </w:r>
      <w:r>
        <w:t>d</w:t>
      </w:r>
      <w:r w:rsidRPr="002F20BC">
        <w:t xml:space="preserve">a realização ou </w:t>
      </w:r>
      <w:r>
        <w:t>d</w:t>
      </w:r>
      <w:r w:rsidRPr="002F20BC">
        <w:t xml:space="preserve">o empreendimento de uma guerra de agressão, </w:t>
      </w:r>
      <w:r>
        <w:t>violando</w:t>
      </w:r>
      <w:r w:rsidRPr="002F20BC">
        <w:t xml:space="preserve"> </w:t>
      </w:r>
      <w:proofErr w:type="gramStart"/>
      <w:r w:rsidRPr="002F20BC">
        <w:t>tratados ou garantias internacionais, e a participação num plano comum</w:t>
      </w:r>
      <w:proofErr w:type="gramEnd"/>
      <w:r w:rsidRPr="002F20BC">
        <w:t>, ou conspiração para a execução de qualquer desses atos ou fatos.</w:t>
      </w:r>
    </w:p>
    <w:p w:rsidR="00AF5E1B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 w:rsidRPr="00742A3B">
        <w:rPr>
          <w:bCs/>
        </w:rPr>
        <w:t>Crimes contra a guerra:</w:t>
      </w:r>
      <w:r w:rsidRPr="002F20BC">
        <w:t xml:space="preserve"> </w:t>
      </w:r>
      <w:r>
        <w:t xml:space="preserve">aqueles caracterizados como </w:t>
      </w:r>
      <w:r w:rsidRPr="002F20BC">
        <w:t xml:space="preserve">violações das leis e </w:t>
      </w:r>
      <w:r>
        <w:t xml:space="preserve">dos </w:t>
      </w:r>
      <w:r w:rsidRPr="002F20BC">
        <w:t xml:space="preserve">costumes da guerra, inclusive </w:t>
      </w:r>
      <w:r>
        <w:t>mortandade</w:t>
      </w:r>
      <w:r w:rsidRPr="002F20BC">
        <w:t>, maus tratos, deportação de populações civis, assassínio ou maus tratos de prisioneiros de guerra, morte de reféns, destruição</w:t>
      </w:r>
      <w:r>
        <w:t xml:space="preserve"> desmotivadas</w:t>
      </w:r>
      <w:r w:rsidRPr="002F20BC">
        <w:t xml:space="preserve"> de cidades, devastações não justificadas por necessidade militar, etc.</w:t>
      </w:r>
    </w:p>
    <w:p w:rsidR="00AF5E1B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 w:rsidRPr="00742A3B">
        <w:rPr>
          <w:bCs/>
        </w:rPr>
        <w:t>Crimes contra a humanidade:</w:t>
      </w:r>
      <w:r w:rsidRPr="002F20BC">
        <w:t xml:space="preserve"> </w:t>
      </w:r>
      <w:r>
        <w:t>aqueles tipificados pelos</w:t>
      </w:r>
      <w:r w:rsidRPr="002F20BC">
        <w:t xml:space="preserve"> assassinatos, </w:t>
      </w:r>
      <w:r>
        <w:t xml:space="preserve">pela </w:t>
      </w:r>
      <w:r w:rsidRPr="002F20BC">
        <w:t xml:space="preserve">exterminação, </w:t>
      </w:r>
      <w:r>
        <w:t xml:space="preserve">pela </w:t>
      </w:r>
      <w:r w:rsidRPr="002F20BC">
        <w:t xml:space="preserve">redução à escravatura, </w:t>
      </w:r>
      <w:r>
        <w:t xml:space="preserve">pela </w:t>
      </w:r>
      <w:r w:rsidRPr="002F20BC">
        <w:t xml:space="preserve">deportação, e </w:t>
      </w:r>
      <w:r>
        <w:t xml:space="preserve">por </w:t>
      </w:r>
      <w:r w:rsidRPr="002F20BC">
        <w:t>outros atos desumanos cometidos contra qualquer agrupamento civil antes ou durante a guerra, ou</w:t>
      </w:r>
      <w:r>
        <w:t xml:space="preserve"> ainda por</w:t>
      </w:r>
      <w:r w:rsidRPr="002F20BC">
        <w:t xml:space="preserve"> perseguições por motivos políticos, raciais ou religiosos, em execução ou em conexão com qualquer crime, etc. É nesse contexto de crime em que o genocídio é enquadrado.</w:t>
      </w:r>
    </w:p>
    <w:p w:rsidR="00AF5E1B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>
        <w:t>De acordo com o Estatuto do Tribunal de Nu</w:t>
      </w:r>
      <w:r w:rsidRPr="002F20BC">
        <w:t>remberg</w:t>
      </w:r>
      <w:r>
        <w:t>,</w:t>
      </w:r>
      <w:r w:rsidRPr="002F20BC">
        <w:t xml:space="preserve"> </w:t>
      </w:r>
      <w:r>
        <w:t xml:space="preserve">o </w:t>
      </w:r>
      <w:r w:rsidRPr="002F20BC">
        <w:t xml:space="preserve">art. 7° estipulou que as posições oficiais dos acusados, como os chefes de Estado ou funcionários responsáveis em departamentos governamentais, não os livrariam de responsabilidade nem </w:t>
      </w:r>
      <w:r>
        <w:t xml:space="preserve">abrandariam </w:t>
      </w:r>
      <w:r w:rsidRPr="002F20BC">
        <w:t>sua</w:t>
      </w:r>
      <w:r>
        <w:t>s</w:t>
      </w:r>
      <w:r w:rsidRPr="002F20BC">
        <w:t xml:space="preserve"> </w:t>
      </w:r>
      <w:r w:rsidRPr="002F20BC">
        <w:lastRenderedPageBreak/>
        <w:t>responsabilidade</w:t>
      </w:r>
      <w:r>
        <w:t xml:space="preserve">s, e, também, </w:t>
      </w:r>
      <w:r w:rsidRPr="002F20BC">
        <w:t xml:space="preserve">o art. 8° do referido Estatuto </w:t>
      </w:r>
      <w:r>
        <w:t>preceituava</w:t>
      </w:r>
      <w:r w:rsidRPr="002F20BC">
        <w:t xml:space="preserve"> que o fato de um acusado ter agido por ordem de seu governo ou de um superior não o livraria de </w:t>
      </w:r>
      <w:proofErr w:type="gramStart"/>
      <w:r w:rsidRPr="002F20BC">
        <w:t>responsabilidade</w:t>
      </w:r>
      <w:proofErr w:type="gramEnd"/>
    </w:p>
    <w:p w:rsidR="00AF5E1B" w:rsidRPr="00213C54" w:rsidRDefault="00AF5E1B" w:rsidP="00AF5E1B">
      <w:pPr>
        <w:widowControl w:val="0"/>
        <w:numPr>
          <w:ilvl w:val="0"/>
          <w:numId w:val="2"/>
        </w:numPr>
        <w:tabs>
          <w:tab w:val="left" w:pos="5670"/>
        </w:tabs>
        <w:spacing w:before="480" w:after="100" w:afterAutospacing="1"/>
        <w:jc w:val="both"/>
        <w:rPr>
          <w:b/>
        </w:rPr>
      </w:pPr>
      <w:r>
        <w:rPr>
          <w:b/>
        </w:rPr>
        <w:t>O JULGAMENTO</w:t>
      </w:r>
    </w:p>
    <w:p w:rsidR="00AF5E1B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>
        <w:t>O J</w:t>
      </w:r>
      <w:r w:rsidRPr="002F20BC">
        <w:t>ulgamento</w:t>
      </w:r>
      <w:r>
        <w:t xml:space="preserve"> de Nuremberg</w:t>
      </w:r>
      <w:r w:rsidRPr="002F20BC">
        <w:t xml:space="preserve"> perpetua o momento da confluência de leis, costumes e doutrinas jurídicas, constituindo-se numa das principais contribuições à codificação do Direito Internacional Público e na utilização mais fiel</w:t>
      </w:r>
      <w:r>
        <w:t xml:space="preserve"> </w:t>
      </w:r>
      <w:r w:rsidRPr="002F20BC">
        <w:t>do Direito como meio formal de se atingir e assegurar a consecução do ideal de Justiça</w:t>
      </w:r>
      <w:r>
        <w:t>.</w:t>
      </w:r>
    </w:p>
    <w:p w:rsidR="00AF5E1B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 w:rsidRPr="002F20BC">
        <w:t>O Tribunal de Nuremberg</w:t>
      </w:r>
      <w:r>
        <w:t>,</w:t>
      </w:r>
      <w:r w:rsidRPr="002F20BC">
        <w:t xml:space="preserve"> </w:t>
      </w:r>
      <w:r>
        <w:t>quando</w:t>
      </w:r>
      <w:r w:rsidRPr="002F20BC">
        <w:t xml:space="preserve"> foi instalado</w:t>
      </w:r>
      <w:r>
        <w:t>,</w:t>
      </w:r>
      <w:r w:rsidRPr="002F20BC">
        <w:t xml:space="preserve"> aplicou um Direito </w:t>
      </w:r>
      <w:r>
        <w:t xml:space="preserve">que até então </w:t>
      </w:r>
      <w:r w:rsidRPr="002F20BC">
        <w:t xml:space="preserve">não </w:t>
      </w:r>
      <w:r>
        <w:t xml:space="preserve">estava </w:t>
      </w:r>
      <w:r w:rsidRPr="002F20BC">
        <w:t>escrito, bem como penas não previstas em tratado algum</w:t>
      </w:r>
      <w:r>
        <w:t xml:space="preserve"> antes dos crimes que estavam sendo imputados aos acusados, ou seja, as regras foram estabelecidas no Estatuto de Nuremberg, e nesse sentido temos que:</w:t>
      </w:r>
    </w:p>
    <w:p w:rsidR="00AF5E1B" w:rsidRPr="00213C54" w:rsidRDefault="00AF5E1B" w:rsidP="00AF5E1B">
      <w:pPr>
        <w:widowControl w:val="0"/>
        <w:spacing w:before="120" w:after="360"/>
        <w:ind w:left="2268" w:right="-1"/>
        <w:jc w:val="both"/>
        <w:rPr>
          <w:sz w:val="20"/>
          <w:szCs w:val="20"/>
        </w:rPr>
      </w:pPr>
      <w:r>
        <w:rPr>
          <w:rFonts w:cs="DFLHCI+TimesNewRoman"/>
          <w:color w:val="000000"/>
          <w:sz w:val="20"/>
          <w:szCs w:val="20"/>
        </w:rPr>
        <w:t xml:space="preserve">Com respeito aos crimes previstos no Estatuto de Nuremberg, o Procurador britânico enfatizou que os direitos e deveres dos Estados são direitos e deveres dos homens. Esses direitos e deveres não se aplicando aos indivíduos, na verdade a nada mais obrigam. Em </w:t>
      </w:r>
      <w:proofErr w:type="spellStart"/>
      <w:r>
        <w:rPr>
          <w:rFonts w:cs="DFLHCI+TimesNewRoman"/>
          <w:color w:val="000000"/>
          <w:sz w:val="20"/>
          <w:szCs w:val="20"/>
        </w:rPr>
        <w:t>seqüência</w:t>
      </w:r>
      <w:proofErr w:type="spellEnd"/>
      <w:r>
        <w:rPr>
          <w:rFonts w:cs="DFLHCI+TimesNewRoman"/>
          <w:color w:val="000000"/>
          <w:sz w:val="20"/>
          <w:szCs w:val="20"/>
        </w:rPr>
        <w:t xml:space="preserve">, manifestou-se criticamente acerca do argumento da Defesa baseado na tese do </w:t>
      </w:r>
      <w:proofErr w:type="gramStart"/>
      <w:r>
        <w:rPr>
          <w:rFonts w:cs="DFLHCI+TimesNewRoman"/>
          <w:color w:val="000000"/>
          <w:sz w:val="20"/>
          <w:szCs w:val="20"/>
        </w:rPr>
        <w:t>“ato de governo, expressando que a mesma ocultava as pessoas que o executaram atrás do princípio da soberania, objetivando desculpá-las “como órgãos do Estado”.</w:t>
      </w:r>
      <w:proofErr w:type="gramEnd"/>
      <w:r>
        <w:rPr>
          <w:rFonts w:cs="DFLHCI+TimesNewRoman"/>
          <w:color w:val="000000"/>
          <w:sz w:val="20"/>
          <w:szCs w:val="20"/>
        </w:rPr>
        <w:t xml:space="preserve"> </w:t>
      </w:r>
      <w:r w:rsidRPr="00213C54">
        <w:rPr>
          <w:sz w:val="20"/>
          <w:szCs w:val="20"/>
        </w:rPr>
        <w:t>(</w:t>
      </w:r>
      <w:r>
        <w:rPr>
          <w:sz w:val="20"/>
          <w:szCs w:val="20"/>
        </w:rPr>
        <w:t>FERRO</w:t>
      </w:r>
      <w:r w:rsidRPr="00213C54">
        <w:rPr>
          <w:sz w:val="20"/>
          <w:szCs w:val="20"/>
        </w:rPr>
        <w:t xml:space="preserve">, </w:t>
      </w:r>
      <w:r>
        <w:rPr>
          <w:sz w:val="20"/>
          <w:szCs w:val="20"/>
        </w:rPr>
        <w:t>2002</w:t>
      </w:r>
      <w:r w:rsidRPr="00213C54">
        <w:rPr>
          <w:sz w:val="20"/>
          <w:szCs w:val="20"/>
        </w:rPr>
        <w:t xml:space="preserve"> p. </w:t>
      </w:r>
      <w:r>
        <w:rPr>
          <w:sz w:val="20"/>
          <w:szCs w:val="20"/>
        </w:rPr>
        <w:t>88</w:t>
      </w:r>
      <w:r w:rsidRPr="00213C54">
        <w:rPr>
          <w:sz w:val="20"/>
          <w:szCs w:val="20"/>
        </w:rPr>
        <w:t>)</w:t>
      </w:r>
    </w:p>
    <w:p w:rsidR="00AF5E1B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 w:rsidRPr="002F20BC">
        <w:t xml:space="preserve"> Entretanto, apesar de ferido o princípio de legalidade (não há crime e nem pena sem lei que os preveja) representou grande </w:t>
      </w:r>
      <w:r>
        <w:t>avanço</w:t>
      </w:r>
      <w:r w:rsidRPr="002F20BC">
        <w:t xml:space="preserve"> para a humanização da guerra, constituindo séria advertência aos provocadores de guerras de agressão. </w:t>
      </w:r>
      <w:r>
        <w:t xml:space="preserve">Vale ressaltar </w:t>
      </w:r>
      <w:r w:rsidRPr="002F20BC">
        <w:t>que o princípio de legalidade não é anterior ao Direito Penal</w:t>
      </w:r>
      <w:r>
        <w:t>, surgindo</w:t>
      </w:r>
      <w:r w:rsidRPr="002F20BC">
        <w:t xml:space="preserve"> depois</w:t>
      </w:r>
      <w:r>
        <w:t xml:space="preserve"> </w:t>
      </w:r>
      <w:r w:rsidRPr="002F20BC">
        <w:t xml:space="preserve">o </w:t>
      </w:r>
      <w:proofErr w:type="spellStart"/>
      <w:r w:rsidRPr="002F20BC">
        <w:rPr>
          <w:i/>
          <w:iCs/>
        </w:rPr>
        <w:t>nullum</w:t>
      </w:r>
      <w:proofErr w:type="spellEnd"/>
      <w:r w:rsidRPr="002F20BC">
        <w:rPr>
          <w:i/>
          <w:iCs/>
        </w:rPr>
        <w:t xml:space="preserve"> </w:t>
      </w:r>
      <w:proofErr w:type="spellStart"/>
      <w:r w:rsidRPr="002F20BC">
        <w:rPr>
          <w:i/>
          <w:iCs/>
        </w:rPr>
        <w:t>crimen</w:t>
      </w:r>
      <w:proofErr w:type="spellEnd"/>
      <w:r w:rsidRPr="002F20BC">
        <w:rPr>
          <w:i/>
          <w:iCs/>
        </w:rPr>
        <w:t xml:space="preserve"> </w:t>
      </w:r>
      <w:proofErr w:type="spellStart"/>
      <w:r w:rsidRPr="002F20BC">
        <w:rPr>
          <w:i/>
          <w:iCs/>
        </w:rPr>
        <w:t>sine</w:t>
      </w:r>
      <w:proofErr w:type="spellEnd"/>
      <w:r w:rsidRPr="002F20BC">
        <w:rPr>
          <w:i/>
          <w:iCs/>
        </w:rPr>
        <w:t xml:space="preserve"> lege, </w:t>
      </w:r>
      <w:proofErr w:type="spellStart"/>
      <w:r w:rsidRPr="002F20BC">
        <w:rPr>
          <w:i/>
          <w:iCs/>
        </w:rPr>
        <w:t>nulla</w:t>
      </w:r>
      <w:proofErr w:type="spellEnd"/>
      <w:r w:rsidRPr="002F20BC">
        <w:rPr>
          <w:i/>
          <w:iCs/>
        </w:rPr>
        <w:t xml:space="preserve"> </w:t>
      </w:r>
      <w:proofErr w:type="spellStart"/>
      <w:r w:rsidRPr="002F20BC">
        <w:rPr>
          <w:i/>
          <w:iCs/>
        </w:rPr>
        <w:t>poena</w:t>
      </w:r>
      <w:proofErr w:type="spellEnd"/>
      <w:r w:rsidRPr="002F20BC">
        <w:rPr>
          <w:i/>
          <w:iCs/>
        </w:rPr>
        <w:t xml:space="preserve"> </w:t>
      </w:r>
      <w:proofErr w:type="spellStart"/>
      <w:r w:rsidRPr="002F20BC">
        <w:rPr>
          <w:i/>
          <w:iCs/>
        </w:rPr>
        <w:t>sine</w:t>
      </w:r>
      <w:proofErr w:type="spellEnd"/>
      <w:r w:rsidRPr="002F20BC">
        <w:rPr>
          <w:i/>
          <w:iCs/>
        </w:rPr>
        <w:t xml:space="preserve"> lege,</w:t>
      </w:r>
      <w:r w:rsidRPr="002F20BC">
        <w:t xml:space="preserve"> ou seja, inexistência de crime ou pena que não </w:t>
      </w:r>
      <w:r>
        <w:t>esteja previsto pela</w:t>
      </w:r>
      <w:r w:rsidRPr="002F20BC">
        <w:t xml:space="preserve"> lei penal.</w:t>
      </w:r>
    </w:p>
    <w:p w:rsidR="00AF5E1B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>
        <w:t>Em que pese essas</w:t>
      </w:r>
      <w:r w:rsidRPr="002F20BC">
        <w:t xml:space="preserve"> imprecisões, não se pode ignorar o reconhecimento de um princípio jurídico: o de que o homem possui </w:t>
      </w:r>
      <w:proofErr w:type="gramStart"/>
      <w:r w:rsidRPr="002F20BC">
        <w:t>direitos</w:t>
      </w:r>
      <w:proofErr w:type="gramEnd"/>
      <w:r w:rsidRPr="002F20BC">
        <w:t xml:space="preserve"> e liberdades fundamentais</w:t>
      </w:r>
      <w:r>
        <w:t xml:space="preserve"> inerentes ao ser, de forma que nenhum Estado ou Governo pode desprezar, mesmo que sob a justificativa de </w:t>
      </w:r>
      <w:proofErr w:type="spellStart"/>
      <w:r>
        <w:t>prevalecência</w:t>
      </w:r>
      <w:proofErr w:type="spellEnd"/>
      <w:r>
        <w:t xml:space="preserve"> dos interesses coletivos sobre o individual, . Assim sendo,</w:t>
      </w:r>
      <w:r w:rsidRPr="002F20BC">
        <w:t xml:space="preserve"> o </w:t>
      </w:r>
      <w:r>
        <w:t>Julgamento</w:t>
      </w:r>
      <w:r w:rsidRPr="002F20BC">
        <w:t xml:space="preserve"> de Nuremberg represent</w:t>
      </w:r>
      <w:r>
        <w:t>ou</w:t>
      </w:r>
      <w:r w:rsidRPr="002F20BC">
        <w:t xml:space="preserve"> um</w:t>
      </w:r>
      <w:r>
        <w:t>a</w:t>
      </w:r>
      <w:r w:rsidRPr="002F20BC">
        <w:t xml:space="preserve"> grande </w:t>
      </w:r>
      <w:r>
        <w:t>melhoria</w:t>
      </w:r>
      <w:r w:rsidRPr="002F20BC">
        <w:t xml:space="preserve"> </w:t>
      </w:r>
      <w:r>
        <w:t>para alcançar</w:t>
      </w:r>
      <w:r w:rsidRPr="002F20BC">
        <w:t xml:space="preserve"> a desejada implantação de um regime em que tais direitos e liberdades sejam devidamente </w:t>
      </w:r>
      <w:proofErr w:type="gramStart"/>
      <w:r w:rsidRPr="002F20BC">
        <w:t>respeitados, protegidos e sancionados internacionalmente</w:t>
      </w:r>
      <w:proofErr w:type="gramEnd"/>
      <w:r w:rsidRPr="002F20BC">
        <w:t xml:space="preserve">. </w:t>
      </w:r>
      <w:r>
        <w:t>É possível dizer</w:t>
      </w:r>
      <w:r w:rsidRPr="002F20BC">
        <w:t xml:space="preserve"> que se abriu no campo do Direito Público Internacional um capítulo de importância</w:t>
      </w:r>
      <w:r>
        <w:t xml:space="preserve"> ímpar</w:t>
      </w:r>
      <w:r w:rsidRPr="002F20BC">
        <w:t>: o do Direito Penal das Nações</w:t>
      </w:r>
      <w:r>
        <w:t>.</w:t>
      </w:r>
    </w:p>
    <w:p w:rsidR="00AF5E1B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 w:rsidRPr="002F20BC">
        <w:lastRenderedPageBreak/>
        <w:t xml:space="preserve">A </w:t>
      </w:r>
      <w:proofErr w:type="spellStart"/>
      <w:r w:rsidRPr="002F20BC">
        <w:t>Assembléia</w:t>
      </w:r>
      <w:proofErr w:type="spellEnd"/>
      <w:r w:rsidRPr="002F20BC">
        <w:t xml:space="preserve"> das Nações Unidas, </w:t>
      </w:r>
      <w:r>
        <w:t>ao aprovar</w:t>
      </w:r>
      <w:r w:rsidRPr="002F20BC">
        <w:t xml:space="preserve"> em 1948 a Declaração Universal dos Direitos do Homem, restabeleceu o princípio do </w:t>
      </w:r>
      <w:proofErr w:type="spellStart"/>
      <w:r w:rsidRPr="002F20BC">
        <w:rPr>
          <w:i/>
          <w:iCs/>
        </w:rPr>
        <w:t>nullum</w:t>
      </w:r>
      <w:proofErr w:type="spellEnd"/>
      <w:r w:rsidRPr="002F20BC">
        <w:rPr>
          <w:i/>
          <w:iCs/>
        </w:rPr>
        <w:t xml:space="preserve"> </w:t>
      </w:r>
      <w:proofErr w:type="spellStart"/>
      <w:r w:rsidRPr="002F20BC">
        <w:rPr>
          <w:i/>
          <w:iCs/>
        </w:rPr>
        <w:t>crimen</w:t>
      </w:r>
      <w:proofErr w:type="spellEnd"/>
      <w:r w:rsidRPr="002F20BC">
        <w:rPr>
          <w:i/>
          <w:iCs/>
        </w:rPr>
        <w:t xml:space="preserve">, </w:t>
      </w:r>
      <w:proofErr w:type="spellStart"/>
      <w:r w:rsidRPr="002F20BC">
        <w:rPr>
          <w:i/>
          <w:iCs/>
        </w:rPr>
        <w:t>nulla</w:t>
      </w:r>
      <w:proofErr w:type="spellEnd"/>
      <w:r w:rsidRPr="002F20BC">
        <w:rPr>
          <w:i/>
          <w:iCs/>
        </w:rPr>
        <w:t xml:space="preserve"> </w:t>
      </w:r>
      <w:proofErr w:type="spellStart"/>
      <w:r w:rsidRPr="002F20BC">
        <w:rPr>
          <w:i/>
          <w:iCs/>
        </w:rPr>
        <w:t>poena</w:t>
      </w:r>
      <w:proofErr w:type="spellEnd"/>
      <w:r w:rsidRPr="002F20BC">
        <w:rPr>
          <w:i/>
          <w:iCs/>
        </w:rPr>
        <w:t xml:space="preserve"> </w:t>
      </w:r>
      <w:proofErr w:type="spellStart"/>
      <w:r w:rsidRPr="002F20BC">
        <w:rPr>
          <w:i/>
          <w:iCs/>
        </w:rPr>
        <w:t>sine</w:t>
      </w:r>
      <w:proofErr w:type="spellEnd"/>
      <w:r w:rsidRPr="002F20BC">
        <w:rPr>
          <w:i/>
          <w:iCs/>
        </w:rPr>
        <w:t xml:space="preserve"> lege</w:t>
      </w:r>
      <w:r w:rsidRPr="002F20BC">
        <w:t xml:space="preserve">. </w:t>
      </w:r>
      <w:r>
        <w:t>Em seu</w:t>
      </w:r>
      <w:r w:rsidRPr="002F20BC">
        <w:t xml:space="preserve"> art. 11, parágrafo 2°</w:t>
      </w:r>
      <w:r>
        <w:t xml:space="preserve"> está preceituado</w:t>
      </w:r>
      <w:r w:rsidRPr="002F20BC">
        <w:t>: "ninguém será condenado por ações ou omissões que, no momento em que foram cometidas, não constituíam atos delituosos no Direito Nacional ou Internacional"</w:t>
      </w:r>
      <w:r>
        <w:t>.</w:t>
      </w:r>
    </w:p>
    <w:p w:rsidR="00AF5E1B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>
        <w:t>Verifica-se, entretanto, que</w:t>
      </w:r>
      <w:r w:rsidRPr="002F20BC">
        <w:t xml:space="preserve"> em Nuremberg, para caracterizar o </w:t>
      </w:r>
      <w:r w:rsidRPr="002F20BC">
        <w:rPr>
          <w:i/>
          <w:iCs/>
        </w:rPr>
        <w:t>crime de guerra</w:t>
      </w:r>
      <w:r>
        <w:rPr>
          <w:i/>
          <w:iCs/>
        </w:rPr>
        <w:t>,</w:t>
      </w:r>
      <w:r w:rsidRPr="002F20BC">
        <w:t xml:space="preserve"> invocaram os julgadores a violação de tratados e acordos internacionais, que não delimitavam sanções como penas de morte ou prisão perpétua para condenar os infratores</w:t>
      </w:r>
      <w:r>
        <w:t>.</w:t>
      </w:r>
      <w:r w:rsidRPr="002F20BC">
        <w:t xml:space="preserve"> </w:t>
      </w:r>
      <w:r>
        <w:t>Embora c</w:t>
      </w:r>
      <w:r w:rsidRPr="002F20BC">
        <w:t>ontrariando o princípio da legalidade, não foram apenas simples assassinatos e atrocidades que constituíram o ponto essencial das acusações. A acusação é da participação consciente</w:t>
      </w:r>
      <w:r>
        <w:t xml:space="preserve"> e deliberada</w:t>
      </w:r>
      <w:r w:rsidRPr="002F20BC">
        <w:t>, num sistema de governo organizado</w:t>
      </w:r>
      <w:r>
        <w:t xml:space="preserve"> e com poderio militar</w:t>
      </w:r>
      <w:r w:rsidRPr="002F20BC">
        <w:t>, de crueldade e injustiça, em violação a todos os princípios morais</w:t>
      </w:r>
      <w:r>
        <w:t>, éticos</w:t>
      </w:r>
      <w:r w:rsidRPr="002F20BC">
        <w:t xml:space="preserve"> e legais aceitos por todas as nações civilizadas.</w:t>
      </w:r>
    </w:p>
    <w:p w:rsidR="00AF5E1B" w:rsidRPr="002F20BC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 w:rsidRPr="002F20BC">
        <w:t xml:space="preserve">O princípio da lei criminal, em qualquer nação civilizada, </w:t>
      </w:r>
      <w:r>
        <w:t>estabelece como norma</w:t>
      </w:r>
      <w:r w:rsidRPr="002F20BC">
        <w:t xml:space="preserve"> que</w:t>
      </w:r>
      <w:r>
        <w:t xml:space="preserve"> </w:t>
      </w:r>
      <w:r w:rsidRPr="002F20BC">
        <w:t xml:space="preserve">qualquer pessoa que obrigue outra a cometer assassinato, </w:t>
      </w:r>
      <w:r>
        <w:t>ou</w:t>
      </w:r>
      <w:r w:rsidRPr="002F20BC">
        <w:t xml:space="preserve"> que forneça </w:t>
      </w:r>
      <w:r>
        <w:t>os meios ou arma</w:t>
      </w:r>
      <w:r w:rsidRPr="002F20BC">
        <w:t xml:space="preserve"> para a finalidade do crime, </w:t>
      </w:r>
      <w:r>
        <w:t>ou ainda,</w:t>
      </w:r>
      <w:r w:rsidRPr="002F20BC">
        <w:t xml:space="preserve"> que seja cúmplice do crime, é culpada.</w:t>
      </w:r>
      <w:r>
        <w:t xml:space="preserve"> Isto posto, constata-se que h</w:t>
      </w:r>
      <w:r w:rsidRPr="002F20BC">
        <w:t xml:space="preserve">omens que se tornaram parte de leis e decretos cujo propósito era o extermínio de seres humanos que, em posições </w:t>
      </w:r>
      <w:r>
        <w:t>importantes n</w:t>
      </w:r>
      <w:r w:rsidRPr="002F20BC">
        <w:t>o Estado</w:t>
      </w:r>
      <w:r>
        <w:t>, quer como autores ou executores</w:t>
      </w:r>
      <w:r w:rsidRPr="002F20BC">
        <w:t>, participaram na execução de leis ilegais, seja sob a ótica do Direito Natural</w:t>
      </w:r>
      <w:r>
        <w:t xml:space="preserve"> ou</w:t>
      </w:r>
      <w:r w:rsidRPr="002F20BC">
        <w:t xml:space="preserve"> mesmo sob a ótica do Direito Positivo, ainda que na tentativa de </w:t>
      </w:r>
      <w:r>
        <w:t>favorecer sua</w:t>
      </w:r>
      <w:r w:rsidRPr="002F20BC">
        <w:t xml:space="preserve"> nação</w:t>
      </w:r>
      <w:r>
        <w:t xml:space="preserve"> </w:t>
      </w:r>
      <w:proofErr w:type="gramStart"/>
      <w:r>
        <w:t>acreditando</w:t>
      </w:r>
      <w:proofErr w:type="gramEnd"/>
      <w:r>
        <w:t xml:space="preserve"> estar fazendo o correto</w:t>
      </w:r>
      <w:r w:rsidRPr="002F20BC">
        <w:t xml:space="preserve">, porém </w:t>
      </w:r>
      <w:r>
        <w:t>distantes</w:t>
      </w:r>
      <w:r w:rsidRPr="002F20BC">
        <w:t xml:space="preserve"> de princípios e valores morais, al</w:t>
      </w:r>
      <w:r>
        <w:t>heados</w:t>
      </w:r>
      <w:r w:rsidRPr="002F20BC">
        <w:t xml:space="preserve"> pela ausência de um espírito da justiça, devem ser </w:t>
      </w:r>
      <w:r>
        <w:t xml:space="preserve">processados, julgados e </w:t>
      </w:r>
      <w:r w:rsidRPr="002F20BC">
        <w:t>punidos</w:t>
      </w:r>
      <w:r>
        <w:t xml:space="preserve"> exemplarmente</w:t>
      </w:r>
      <w:r w:rsidRPr="002F20BC">
        <w:t>.</w:t>
      </w:r>
    </w:p>
    <w:p w:rsidR="00AF5E1B" w:rsidRPr="00213C54" w:rsidRDefault="00AF5E1B" w:rsidP="00AF5E1B">
      <w:pPr>
        <w:widowControl w:val="0"/>
        <w:numPr>
          <w:ilvl w:val="0"/>
          <w:numId w:val="2"/>
        </w:numPr>
        <w:tabs>
          <w:tab w:val="left" w:pos="5670"/>
        </w:tabs>
        <w:spacing w:before="480" w:after="100" w:afterAutospacing="1"/>
        <w:jc w:val="both"/>
        <w:rPr>
          <w:b/>
        </w:rPr>
      </w:pPr>
      <w:r>
        <w:rPr>
          <w:b/>
        </w:rPr>
        <w:t>CONCLUSÃO</w:t>
      </w:r>
    </w:p>
    <w:p w:rsidR="00AF5E1B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>
        <w:t>Afirmar que o Tribunal de Nuremberg agiu com total imparcialidade em face das barbaridades cometidas pelos alemães contra as Nações constituintes do próprio tribunal é expressar ingenuidade, pois, em verdade, foi um tribunal de vencedores julgando vencidos e, diga-se de passagem, com regras criadas a partir dos acontecimentos, não anteriores a esses, porquanto os crimes não estavam definidos em lei</w:t>
      </w:r>
      <w:r w:rsidRPr="00145163">
        <w:t>.</w:t>
      </w:r>
      <w:r>
        <w:t xml:space="preserve"> Entretanto, não há como negar a contribuição para o atual estágio do Direito Internacional Público, fato que indica que os acertos foram maiores do que os erros e estes últimos são perfeitamente justificáveis ante o cenário estabelecido pelas ações alemãs, pois a condenação dos principais criminosos de </w:t>
      </w:r>
      <w:r>
        <w:lastRenderedPageBreak/>
        <w:t>guerra obedeceu à consciência universal, com garantias aos acusados de ampla defesa.</w:t>
      </w:r>
    </w:p>
    <w:p w:rsidR="00AF5E1B" w:rsidRPr="00145163" w:rsidRDefault="00AF5E1B" w:rsidP="00AF5E1B">
      <w:pPr>
        <w:widowControl w:val="0"/>
        <w:tabs>
          <w:tab w:val="left" w:pos="5670"/>
        </w:tabs>
        <w:spacing w:before="120" w:after="120" w:line="360" w:lineRule="auto"/>
        <w:ind w:firstLine="1134"/>
        <w:jc w:val="both"/>
      </w:pPr>
      <w:r>
        <w:t>A paz foi o desiderato comum que motivou a criação do Tribunal Penal Internacional, com balizamento, de certa forma, principiado no Tribunal de Nuremberg como forma de alertar àqueles que queiram enveredar-se na provocação de guerras injustificadas, sem propósitos, desumanas e cruéis.</w:t>
      </w:r>
    </w:p>
    <w:p w:rsidR="00AF5E1B" w:rsidRPr="00213C54" w:rsidRDefault="00AF5E1B" w:rsidP="00AF5E1B">
      <w:pPr>
        <w:widowControl w:val="0"/>
        <w:numPr>
          <w:ilvl w:val="0"/>
          <w:numId w:val="2"/>
        </w:numPr>
        <w:spacing w:before="600" w:after="100" w:afterAutospacing="1" w:line="480" w:lineRule="auto"/>
        <w:jc w:val="both"/>
        <w:rPr>
          <w:b/>
        </w:rPr>
      </w:pPr>
      <w:r w:rsidRPr="00213C54">
        <w:rPr>
          <w:b/>
        </w:rPr>
        <w:t xml:space="preserve">REFÊRENCIAS </w:t>
      </w:r>
    </w:p>
    <w:tbl>
      <w:tblPr>
        <w:tblW w:w="9000" w:type="dxa"/>
        <w:tblLook w:val="01E0" w:firstRow="1" w:lastRow="1" w:firstColumn="1" w:lastColumn="1" w:noHBand="0" w:noVBand="0"/>
      </w:tblPr>
      <w:tblGrid>
        <w:gridCol w:w="9000"/>
      </w:tblGrid>
      <w:tr w:rsidR="00AF5E1B" w:rsidRPr="00213C54" w:rsidTr="009A1CDE">
        <w:tc>
          <w:tcPr>
            <w:tcW w:w="9000" w:type="dxa"/>
          </w:tcPr>
          <w:p w:rsidR="00AF5E1B" w:rsidRPr="00213C54" w:rsidRDefault="00AF5E1B" w:rsidP="009A1CDE">
            <w:pPr>
              <w:pStyle w:val="NormalWeb"/>
              <w:widowControl w:val="0"/>
              <w:spacing w:before="0" w:beforeAutospacing="0" w:after="120" w:afterAutospacing="0" w:line="360" w:lineRule="auto"/>
              <w:jc w:val="both"/>
              <w:rPr>
                <w:color w:val="auto"/>
              </w:rPr>
            </w:pPr>
            <w:r w:rsidRPr="00213C54">
              <w:rPr>
                <w:color w:val="auto"/>
              </w:rPr>
              <w:t xml:space="preserve">ANTUNES, </w:t>
            </w:r>
            <w:proofErr w:type="spellStart"/>
            <w:r w:rsidRPr="00213C54">
              <w:rPr>
                <w:color w:val="auto"/>
              </w:rPr>
              <w:t>Irandé</w:t>
            </w:r>
            <w:proofErr w:type="spellEnd"/>
            <w:r w:rsidRPr="00213C54">
              <w:rPr>
                <w:color w:val="auto"/>
              </w:rPr>
              <w:t xml:space="preserve">. </w:t>
            </w:r>
            <w:r w:rsidRPr="00213C54">
              <w:rPr>
                <w:b/>
                <w:color w:val="auto"/>
              </w:rPr>
              <w:t xml:space="preserve">Lutar com palavras: </w:t>
            </w:r>
            <w:r w:rsidRPr="00213C54">
              <w:rPr>
                <w:color w:val="auto"/>
              </w:rPr>
              <w:t>coesão e coerência. São Paulo: Parábola, 2005.</w:t>
            </w:r>
          </w:p>
        </w:tc>
      </w:tr>
      <w:tr w:rsidR="00AF5E1B" w:rsidRPr="00213C54" w:rsidTr="009A1CDE">
        <w:tc>
          <w:tcPr>
            <w:tcW w:w="9000" w:type="dxa"/>
          </w:tcPr>
          <w:p w:rsidR="00AF5E1B" w:rsidRPr="00213C54" w:rsidRDefault="00AF5E1B" w:rsidP="009A1CDE">
            <w:pPr>
              <w:pStyle w:val="NormalWeb"/>
              <w:widowControl w:val="0"/>
              <w:spacing w:before="0" w:beforeAutospacing="0" w:after="120" w:afterAutospacing="0" w:line="360" w:lineRule="auto"/>
              <w:jc w:val="both"/>
              <w:rPr>
                <w:color w:val="auto"/>
              </w:rPr>
            </w:pPr>
            <w:r w:rsidRPr="00213C54">
              <w:rPr>
                <w:color w:val="auto"/>
              </w:rPr>
              <w:t xml:space="preserve">BECHARA, Evanildo. </w:t>
            </w:r>
            <w:r w:rsidRPr="00213C54">
              <w:rPr>
                <w:b/>
                <w:color w:val="auto"/>
              </w:rPr>
              <w:t>Moderna gramática portuguesa</w:t>
            </w:r>
            <w:r w:rsidRPr="00213C54">
              <w:rPr>
                <w:color w:val="auto"/>
              </w:rPr>
              <w:t xml:space="preserve">. 37. </w:t>
            </w:r>
            <w:proofErr w:type="gramStart"/>
            <w:r w:rsidRPr="00213C54">
              <w:rPr>
                <w:color w:val="auto"/>
              </w:rPr>
              <w:t>ed.</w:t>
            </w:r>
            <w:proofErr w:type="gramEnd"/>
            <w:r w:rsidRPr="00213C54">
              <w:rPr>
                <w:color w:val="auto"/>
              </w:rPr>
              <w:t xml:space="preserve"> Rio de Janeiro: </w:t>
            </w:r>
            <w:proofErr w:type="spellStart"/>
            <w:r w:rsidRPr="00213C54">
              <w:rPr>
                <w:color w:val="auto"/>
              </w:rPr>
              <w:t>Lucema</w:t>
            </w:r>
            <w:proofErr w:type="spellEnd"/>
            <w:r w:rsidRPr="00213C54">
              <w:rPr>
                <w:color w:val="auto"/>
              </w:rPr>
              <w:t>, 1999.</w:t>
            </w:r>
          </w:p>
        </w:tc>
      </w:tr>
      <w:tr w:rsidR="00AF5E1B" w:rsidRPr="00213C54" w:rsidTr="009A1CDE">
        <w:tc>
          <w:tcPr>
            <w:tcW w:w="9000" w:type="dxa"/>
          </w:tcPr>
          <w:p w:rsidR="00AF5E1B" w:rsidRPr="00213C54" w:rsidRDefault="00AF5E1B" w:rsidP="009A1CDE">
            <w:pPr>
              <w:pStyle w:val="NormalWeb"/>
              <w:widowControl w:val="0"/>
              <w:spacing w:before="0" w:beforeAutospacing="0" w:after="120" w:afterAutospacing="0" w:line="360" w:lineRule="auto"/>
              <w:jc w:val="both"/>
              <w:rPr>
                <w:color w:val="auto"/>
              </w:rPr>
            </w:pPr>
            <w:r w:rsidRPr="00A47110">
              <w:rPr>
                <w:b/>
                <w:color w:val="auto"/>
              </w:rPr>
              <w:t>Dicionário Eletrônico Houaiss</w:t>
            </w:r>
            <w:r w:rsidRPr="00213C54">
              <w:rPr>
                <w:color w:val="auto"/>
              </w:rPr>
              <w:t xml:space="preserve">. Versão monousuário 3.0 – junho 2009. Copyright </w:t>
            </w:r>
            <w:r w:rsidRPr="00213C54">
              <w:rPr>
                <w:color w:val="auto"/>
              </w:rPr>
              <w:sym w:font="Symbol" w:char="F0D3"/>
            </w:r>
            <w:r w:rsidRPr="00213C54">
              <w:rPr>
                <w:color w:val="auto"/>
              </w:rPr>
              <w:t xml:space="preserve"> 2001</w:t>
            </w:r>
            <w:proofErr w:type="gramStart"/>
            <w:r w:rsidRPr="00213C54">
              <w:rPr>
                <w:color w:val="auto"/>
              </w:rPr>
              <w:t>..</w:t>
            </w:r>
            <w:proofErr w:type="gramEnd"/>
            <w:r w:rsidRPr="00213C54">
              <w:rPr>
                <w:color w:val="auto"/>
              </w:rPr>
              <w:t xml:space="preserve">2009. Instituto </w:t>
            </w:r>
            <w:proofErr w:type="spellStart"/>
            <w:r w:rsidRPr="00213C54">
              <w:rPr>
                <w:color w:val="auto"/>
              </w:rPr>
              <w:t>Antonio</w:t>
            </w:r>
            <w:proofErr w:type="spellEnd"/>
            <w:r w:rsidRPr="00213C54">
              <w:rPr>
                <w:color w:val="auto"/>
              </w:rPr>
              <w:t xml:space="preserve"> Houaiss.</w:t>
            </w:r>
          </w:p>
        </w:tc>
      </w:tr>
      <w:tr w:rsidR="00AF5E1B" w:rsidRPr="00213C54" w:rsidTr="009A1CDE">
        <w:tc>
          <w:tcPr>
            <w:tcW w:w="9000" w:type="dxa"/>
          </w:tcPr>
          <w:p w:rsidR="00AF5E1B" w:rsidRPr="004C0266" w:rsidRDefault="00AF5E1B" w:rsidP="009A1CDE">
            <w:pPr>
              <w:pStyle w:val="NormalWeb"/>
              <w:widowControl w:val="0"/>
              <w:spacing w:before="0" w:beforeAutospacing="0" w:after="120" w:afterAutospacing="0" w:line="360" w:lineRule="auto"/>
              <w:jc w:val="both"/>
              <w:rPr>
                <w:color w:val="auto"/>
              </w:rPr>
            </w:pPr>
            <w:r w:rsidRPr="004C0266">
              <w:rPr>
                <w:b/>
                <w:color w:val="auto"/>
              </w:rPr>
              <w:t xml:space="preserve">Dicionário jurídico </w:t>
            </w:r>
            <w:proofErr w:type="spellStart"/>
            <w:r w:rsidRPr="004C0266">
              <w:rPr>
                <w:b/>
                <w:color w:val="auto"/>
              </w:rPr>
              <w:t>Acquaviva</w:t>
            </w:r>
            <w:proofErr w:type="spellEnd"/>
            <w:r>
              <w:rPr>
                <w:color w:val="auto"/>
              </w:rPr>
              <w:t xml:space="preserve">. Organização Marcus Cláudio </w:t>
            </w:r>
            <w:proofErr w:type="spellStart"/>
            <w:r>
              <w:rPr>
                <w:color w:val="auto"/>
              </w:rPr>
              <w:t>Acquaviva</w:t>
            </w:r>
            <w:proofErr w:type="spellEnd"/>
            <w:r>
              <w:rPr>
                <w:color w:val="auto"/>
              </w:rPr>
              <w:t xml:space="preserve">. – 2. </w:t>
            </w:r>
            <w:proofErr w:type="gramStart"/>
            <w:r>
              <w:rPr>
                <w:color w:val="auto"/>
              </w:rPr>
              <w:t>ed.</w:t>
            </w:r>
            <w:proofErr w:type="gramEnd"/>
            <w:r>
              <w:rPr>
                <w:color w:val="auto"/>
              </w:rPr>
              <w:t xml:space="preserve"> – São Paulo: </w:t>
            </w:r>
            <w:proofErr w:type="spellStart"/>
            <w:r>
              <w:rPr>
                <w:color w:val="auto"/>
              </w:rPr>
              <w:t>Riddel</w:t>
            </w:r>
            <w:proofErr w:type="spellEnd"/>
            <w:r>
              <w:rPr>
                <w:color w:val="auto"/>
              </w:rPr>
              <w:t>, 2008.</w:t>
            </w:r>
          </w:p>
        </w:tc>
      </w:tr>
      <w:tr w:rsidR="00AF5E1B" w:rsidRPr="00213C54" w:rsidTr="009A1CDE">
        <w:tc>
          <w:tcPr>
            <w:tcW w:w="9000" w:type="dxa"/>
          </w:tcPr>
          <w:p w:rsidR="00AF5E1B" w:rsidRPr="00F6024D" w:rsidRDefault="00AF5E1B" w:rsidP="009A1CDE">
            <w:pPr>
              <w:pStyle w:val="NormalWeb"/>
              <w:widowControl w:val="0"/>
              <w:spacing w:before="0" w:beforeAutospacing="0" w:after="120" w:afterAutospacing="0" w:line="36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FERRO, Ana Luiza Almeida. </w:t>
            </w:r>
            <w:r>
              <w:rPr>
                <w:b/>
                <w:color w:val="auto"/>
              </w:rPr>
              <w:t xml:space="preserve">O tribunal de Nuremberg: </w:t>
            </w:r>
            <w:r>
              <w:rPr>
                <w:color w:val="auto"/>
              </w:rPr>
              <w:t>dos precedentes à confirmação de seus princípios. – Belo Horizonte: Melhoramentos, 2002.</w:t>
            </w:r>
          </w:p>
        </w:tc>
      </w:tr>
      <w:tr w:rsidR="00AF5E1B" w:rsidRPr="00213C54" w:rsidTr="009A1CDE">
        <w:tc>
          <w:tcPr>
            <w:tcW w:w="9000" w:type="dxa"/>
          </w:tcPr>
          <w:p w:rsidR="00AF5E1B" w:rsidRPr="00213C54" w:rsidRDefault="00AF5E1B" w:rsidP="009A1CDE">
            <w:pPr>
              <w:pStyle w:val="NormalWeb"/>
              <w:widowControl w:val="0"/>
              <w:spacing w:before="0" w:beforeAutospacing="0" w:after="120" w:afterAutospacing="0" w:line="360" w:lineRule="auto"/>
              <w:jc w:val="both"/>
              <w:rPr>
                <w:color w:val="auto"/>
              </w:rPr>
            </w:pPr>
            <w:r w:rsidRPr="00213C54">
              <w:rPr>
                <w:color w:val="auto"/>
              </w:rPr>
              <w:t xml:space="preserve">LAKATOS, Eva Maria. </w:t>
            </w:r>
            <w:r w:rsidRPr="00213C54">
              <w:rPr>
                <w:b/>
                <w:color w:val="auto"/>
              </w:rPr>
              <w:t>Metodologia do trabalho científico:</w:t>
            </w:r>
            <w:r w:rsidRPr="00213C54">
              <w:rPr>
                <w:color w:val="auto"/>
              </w:rPr>
              <w:t xml:space="preserve"> procedimentos básicos, pesquisa bibliográfica, projeto e relatório, publicações e trabalhos científicos. – 6. </w:t>
            </w:r>
            <w:proofErr w:type="gramStart"/>
            <w:r w:rsidRPr="00213C54">
              <w:rPr>
                <w:color w:val="auto"/>
              </w:rPr>
              <w:t>ed.</w:t>
            </w:r>
            <w:proofErr w:type="gramEnd"/>
            <w:r w:rsidRPr="00213C54">
              <w:rPr>
                <w:color w:val="auto"/>
              </w:rPr>
              <w:t xml:space="preserve"> – São Paulo: Atlas, 2001.</w:t>
            </w:r>
          </w:p>
        </w:tc>
      </w:tr>
      <w:tr w:rsidR="00AF5E1B" w:rsidRPr="00213C54" w:rsidTr="009A1CDE">
        <w:tc>
          <w:tcPr>
            <w:tcW w:w="9000" w:type="dxa"/>
          </w:tcPr>
          <w:p w:rsidR="00AF5E1B" w:rsidRPr="004C0266" w:rsidRDefault="00AF5E1B" w:rsidP="009A1CDE">
            <w:pPr>
              <w:pStyle w:val="NormalWeb"/>
              <w:widowControl w:val="0"/>
              <w:spacing w:before="0" w:beforeAutospacing="0" w:after="120" w:afterAutospacing="0" w:line="360" w:lineRule="auto"/>
              <w:jc w:val="both"/>
              <w:rPr>
                <w:color w:val="auto"/>
              </w:rPr>
            </w:pPr>
            <w:r w:rsidRPr="004C0266">
              <w:rPr>
                <w:color w:val="auto"/>
              </w:rPr>
              <w:t xml:space="preserve">SANTOS, José Wilson dos, BARROSO, Russel Marcos Batista. </w:t>
            </w:r>
            <w:r w:rsidRPr="004C0266">
              <w:rPr>
                <w:b/>
                <w:color w:val="auto"/>
              </w:rPr>
              <w:t xml:space="preserve">Manual dos trabalhos acadêmicos: </w:t>
            </w:r>
            <w:r w:rsidRPr="004C0266">
              <w:rPr>
                <w:color w:val="auto"/>
              </w:rPr>
              <w:t xml:space="preserve">artigos, ensaios, fichamentos, relatórios, resumos e resenhas. – Aracaju: </w:t>
            </w:r>
            <w:proofErr w:type="spellStart"/>
            <w:r w:rsidRPr="004C0266">
              <w:rPr>
                <w:color w:val="auto"/>
              </w:rPr>
              <w:t>Sercore</w:t>
            </w:r>
            <w:proofErr w:type="spellEnd"/>
            <w:r w:rsidRPr="004C0266">
              <w:rPr>
                <w:color w:val="auto"/>
              </w:rPr>
              <w:t>, 2007.</w:t>
            </w:r>
          </w:p>
        </w:tc>
      </w:tr>
    </w:tbl>
    <w:p w:rsidR="00AF5E1B" w:rsidRPr="00213C54" w:rsidRDefault="00AF5E1B" w:rsidP="00AF5E1B">
      <w:pPr>
        <w:widowControl w:val="0"/>
        <w:tabs>
          <w:tab w:val="left" w:pos="5670"/>
        </w:tabs>
        <w:jc w:val="both"/>
      </w:pPr>
    </w:p>
    <w:p w:rsidR="00AC6FDE" w:rsidRDefault="00AC6FDE"/>
    <w:sectPr w:rsidR="00AC6FDE" w:rsidSect="0030055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1134" w:bottom="1134" w:left="1701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469" w:rsidRDefault="00C90469" w:rsidP="00AF5E1B">
      <w:r>
        <w:separator/>
      </w:r>
    </w:p>
  </w:endnote>
  <w:endnote w:type="continuationSeparator" w:id="0">
    <w:p w:rsidR="00C90469" w:rsidRDefault="00C90469" w:rsidP="00AF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LHC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1B" w:rsidRDefault="00AF5E1B" w:rsidP="00A15D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F5E1B" w:rsidRDefault="00AF5E1B" w:rsidP="00D1429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1B" w:rsidRDefault="00AF5E1B" w:rsidP="00D1429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469" w:rsidRDefault="00C90469" w:rsidP="00AF5E1B">
      <w:r>
        <w:separator/>
      </w:r>
    </w:p>
  </w:footnote>
  <w:footnote w:type="continuationSeparator" w:id="0">
    <w:p w:rsidR="00C90469" w:rsidRDefault="00C90469" w:rsidP="00AF5E1B">
      <w:r>
        <w:continuationSeparator/>
      </w:r>
    </w:p>
  </w:footnote>
  <w:footnote w:id="1">
    <w:p w:rsidR="00AF5E1B" w:rsidRDefault="00AF5E1B" w:rsidP="00AF5E1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 em Letras Vernáculas, Literatura Brasileira e Literatura Portuguesa pela Universidade do Estado da Bahia – UNEB – Campus XXII, Euclides da Cunha – Bahia e Acadêmico do Curso de Bacharelado em Direito pela Faculdade de Ciências Humanas e Sociais AGES, Paripiranga - Bahia.</w:t>
      </w:r>
    </w:p>
  </w:footnote>
  <w:footnote w:id="2">
    <w:p w:rsidR="00AF5E1B" w:rsidRPr="003C1418" w:rsidRDefault="00AF5E1B" w:rsidP="00AF5E1B">
      <w:pPr>
        <w:pStyle w:val="NormalWeb"/>
        <w:spacing w:before="0" w:beforeAutospacing="0" w:after="0" w:afterAutospacing="0"/>
        <w:jc w:val="both"/>
        <w:rPr>
          <w:color w:val="auto"/>
        </w:rPr>
      </w:pPr>
      <w:r>
        <w:rPr>
          <w:rStyle w:val="Refdenotaderodap"/>
        </w:rPr>
        <w:footnoteRef/>
      </w:r>
      <w:r>
        <w:t xml:space="preserve"> </w:t>
      </w:r>
      <w:r w:rsidRPr="00983B2C">
        <w:rPr>
          <w:bCs/>
          <w:color w:val="auto"/>
          <w:sz w:val="20"/>
          <w:szCs w:val="20"/>
        </w:rPr>
        <w:t>Francisco de Vitória</w:t>
      </w:r>
      <w:r w:rsidRPr="00983B2C">
        <w:rPr>
          <w:color w:val="auto"/>
          <w:sz w:val="20"/>
          <w:szCs w:val="20"/>
        </w:rPr>
        <w:t xml:space="preserve"> (</w:t>
      </w:r>
      <w:hyperlink r:id="rId1" w:tooltip="Burgos" w:history="1">
        <w:r w:rsidRPr="00983B2C">
          <w:rPr>
            <w:color w:val="auto"/>
            <w:sz w:val="20"/>
            <w:szCs w:val="20"/>
          </w:rPr>
          <w:t>Burgos</w:t>
        </w:r>
      </w:hyperlink>
      <w:r w:rsidRPr="00983B2C">
        <w:rPr>
          <w:color w:val="auto"/>
          <w:sz w:val="20"/>
          <w:szCs w:val="20"/>
        </w:rPr>
        <w:t xml:space="preserve"> ou </w:t>
      </w:r>
      <w:hyperlink r:id="rId2" w:tooltip="Vitória (Espanha)" w:history="1">
        <w:r w:rsidRPr="00983B2C">
          <w:rPr>
            <w:color w:val="auto"/>
            <w:sz w:val="20"/>
            <w:szCs w:val="20"/>
          </w:rPr>
          <w:t>Vitória</w:t>
        </w:r>
      </w:hyperlink>
      <w:r w:rsidRPr="00983B2C">
        <w:rPr>
          <w:color w:val="auto"/>
          <w:sz w:val="20"/>
          <w:szCs w:val="20"/>
        </w:rPr>
        <w:t xml:space="preserve">, </w:t>
      </w:r>
      <w:hyperlink r:id="rId3" w:tooltip="1483" w:history="1">
        <w:r w:rsidRPr="00983B2C">
          <w:rPr>
            <w:color w:val="auto"/>
            <w:sz w:val="20"/>
            <w:szCs w:val="20"/>
          </w:rPr>
          <w:t>1483</w:t>
        </w:r>
      </w:hyperlink>
      <w:r w:rsidRPr="00983B2C">
        <w:rPr>
          <w:color w:val="auto"/>
          <w:sz w:val="20"/>
          <w:szCs w:val="20"/>
        </w:rPr>
        <w:t xml:space="preserve"> — </w:t>
      </w:r>
      <w:hyperlink r:id="rId4" w:tooltip="Salamanca" w:history="1">
        <w:r w:rsidRPr="00983B2C">
          <w:rPr>
            <w:color w:val="auto"/>
            <w:sz w:val="20"/>
            <w:szCs w:val="20"/>
          </w:rPr>
          <w:t>Salamanca</w:t>
        </w:r>
      </w:hyperlink>
      <w:r w:rsidRPr="00983B2C">
        <w:rPr>
          <w:color w:val="auto"/>
          <w:sz w:val="20"/>
          <w:szCs w:val="20"/>
        </w:rPr>
        <w:t xml:space="preserve">, </w:t>
      </w:r>
      <w:hyperlink r:id="rId5" w:tooltip="1512" w:history="1">
        <w:r w:rsidRPr="00983B2C">
          <w:rPr>
            <w:color w:val="auto"/>
            <w:sz w:val="20"/>
            <w:szCs w:val="20"/>
          </w:rPr>
          <w:t>1512</w:t>
        </w:r>
      </w:hyperlink>
      <w:r w:rsidRPr="00983B2C">
        <w:rPr>
          <w:color w:val="auto"/>
          <w:sz w:val="20"/>
          <w:szCs w:val="20"/>
        </w:rPr>
        <w:t xml:space="preserve">) </w:t>
      </w:r>
      <w:hyperlink r:id="rId6" w:tooltip="Teólogo" w:history="1">
        <w:r w:rsidRPr="00983B2C">
          <w:rPr>
            <w:color w:val="auto"/>
            <w:sz w:val="20"/>
            <w:szCs w:val="20"/>
          </w:rPr>
          <w:t>teólogo</w:t>
        </w:r>
      </w:hyperlink>
      <w:r w:rsidRPr="00983B2C">
        <w:rPr>
          <w:color w:val="auto"/>
          <w:sz w:val="20"/>
          <w:szCs w:val="20"/>
        </w:rPr>
        <w:t xml:space="preserve"> </w:t>
      </w:r>
      <w:hyperlink r:id="rId7" w:tooltip="Espanha" w:history="1">
        <w:r w:rsidRPr="00983B2C">
          <w:rPr>
            <w:color w:val="auto"/>
            <w:sz w:val="20"/>
            <w:szCs w:val="20"/>
          </w:rPr>
          <w:t>espanhol</w:t>
        </w:r>
      </w:hyperlink>
      <w:r w:rsidRPr="00983B2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983B2C">
        <w:rPr>
          <w:color w:val="auto"/>
          <w:sz w:val="20"/>
          <w:szCs w:val="20"/>
        </w:rPr>
        <w:t>neo-escolástico</w:t>
      </w:r>
      <w:proofErr w:type="spellEnd"/>
      <w:proofErr w:type="gramEnd"/>
      <w:r w:rsidRPr="00983B2C">
        <w:rPr>
          <w:color w:val="auto"/>
          <w:sz w:val="20"/>
          <w:szCs w:val="20"/>
        </w:rPr>
        <w:t xml:space="preserve"> e um dos fundadores da tradição </w:t>
      </w:r>
      <w:hyperlink r:id="rId8" w:tooltip="Filosofia" w:history="1">
        <w:r w:rsidRPr="00983B2C">
          <w:rPr>
            <w:color w:val="auto"/>
            <w:sz w:val="20"/>
            <w:szCs w:val="20"/>
          </w:rPr>
          <w:t>filosófica</w:t>
        </w:r>
      </w:hyperlink>
      <w:r w:rsidRPr="00983B2C">
        <w:rPr>
          <w:color w:val="auto"/>
          <w:sz w:val="20"/>
          <w:szCs w:val="20"/>
        </w:rPr>
        <w:t xml:space="preserve"> da chamada</w:t>
      </w:r>
      <w:bookmarkStart w:id="0" w:name="_GoBack"/>
      <w:bookmarkEnd w:id="0"/>
      <w:r w:rsidRPr="00983B2C">
        <w:rPr>
          <w:color w:val="auto"/>
          <w:sz w:val="20"/>
          <w:szCs w:val="20"/>
        </w:rPr>
        <w:t xml:space="preserve"> "</w:t>
      </w:r>
      <w:hyperlink r:id="rId9" w:tooltip="Escola de Salamanca (página não existe)" w:history="1">
        <w:r w:rsidRPr="00983B2C">
          <w:rPr>
            <w:color w:val="auto"/>
            <w:sz w:val="20"/>
            <w:szCs w:val="20"/>
          </w:rPr>
          <w:t>Escola de Salamanca</w:t>
        </w:r>
      </w:hyperlink>
      <w:r w:rsidRPr="00983B2C">
        <w:rPr>
          <w:color w:val="auto"/>
          <w:sz w:val="20"/>
          <w:szCs w:val="20"/>
        </w:rPr>
        <w:t xml:space="preserve">", sendo também conhecido por suas contribuições para </w:t>
      </w:r>
      <w:r w:rsidRPr="003C1418">
        <w:rPr>
          <w:color w:val="auto"/>
          <w:sz w:val="20"/>
          <w:szCs w:val="20"/>
        </w:rPr>
        <w:t>a teoria da Guerra Justa e como um dos criadores do moderno direito internacional.</w:t>
      </w:r>
    </w:p>
  </w:footnote>
  <w:footnote w:id="3">
    <w:p w:rsidR="00AF5E1B" w:rsidRPr="003C1418" w:rsidRDefault="00AF5E1B" w:rsidP="00AF5E1B">
      <w:pPr>
        <w:pStyle w:val="Textodenotaderodap"/>
        <w:jc w:val="both"/>
      </w:pPr>
      <w:r w:rsidRPr="003C1418">
        <w:rPr>
          <w:rStyle w:val="Refdenotaderodap"/>
        </w:rPr>
        <w:footnoteRef/>
      </w:r>
      <w:r w:rsidRPr="003C1418">
        <w:t xml:space="preserve"> </w:t>
      </w:r>
      <w:r w:rsidRPr="003C1418">
        <w:rPr>
          <w:bCs/>
        </w:rPr>
        <w:t xml:space="preserve">Francisco </w:t>
      </w:r>
      <w:proofErr w:type="spellStart"/>
      <w:r w:rsidRPr="003C1418">
        <w:rPr>
          <w:bCs/>
        </w:rPr>
        <w:t>Suárez</w:t>
      </w:r>
      <w:proofErr w:type="spellEnd"/>
      <w:r w:rsidRPr="003C1418">
        <w:t xml:space="preserve"> (</w:t>
      </w:r>
      <w:hyperlink r:id="rId10" w:tooltip="Granada" w:history="1">
        <w:r w:rsidRPr="003C1418">
          <w:rPr>
            <w:rStyle w:val="Hyperlink"/>
            <w:color w:val="auto"/>
            <w:u w:val="none"/>
          </w:rPr>
          <w:t>Granada</w:t>
        </w:r>
      </w:hyperlink>
      <w:r w:rsidRPr="003C1418">
        <w:t xml:space="preserve">, </w:t>
      </w:r>
      <w:hyperlink r:id="rId11" w:tooltip="1548" w:history="1">
        <w:r w:rsidRPr="003C1418">
          <w:rPr>
            <w:rStyle w:val="Hyperlink"/>
            <w:color w:val="auto"/>
            <w:u w:val="none"/>
          </w:rPr>
          <w:t>1548</w:t>
        </w:r>
      </w:hyperlink>
      <w:r w:rsidRPr="003C1418">
        <w:t xml:space="preserve"> — </w:t>
      </w:r>
      <w:hyperlink r:id="rId12" w:tooltip="Lisboa" w:history="1">
        <w:r w:rsidRPr="003C1418">
          <w:rPr>
            <w:rStyle w:val="Hyperlink"/>
            <w:color w:val="auto"/>
            <w:u w:val="none"/>
          </w:rPr>
          <w:t>Lisboa</w:t>
        </w:r>
      </w:hyperlink>
      <w:r w:rsidRPr="003C1418">
        <w:t xml:space="preserve">, </w:t>
      </w:r>
      <w:hyperlink r:id="rId13" w:tooltip="1617" w:history="1">
        <w:r w:rsidRPr="003C1418">
          <w:rPr>
            <w:rStyle w:val="Hyperlink"/>
            <w:color w:val="auto"/>
            <w:u w:val="none"/>
          </w:rPr>
          <w:t>1617</w:t>
        </w:r>
      </w:hyperlink>
      <w:r w:rsidRPr="003C1418">
        <w:t xml:space="preserve">) foi um </w:t>
      </w:r>
      <w:hyperlink r:id="rId14" w:tooltip="Jesuíta" w:history="1">
        <w:r w:rsidRPr="003C1418">
          <w:rPr>
            <w:rStyle w:val="Hyperlink"/>
            <w:color w:val="auto"/>
            <w:u w:val="none"/>
          </w:rPr>
          <w:t>jesuíta</w:t>
        </w:r>
      </w:hyperlink>
      <w:r w:rsidRPr="003C1418">
        <w:t xml:space="preserve">, </w:t>
      </w:r>
      <w:hyperlink r:id="rId15" w:tooltip="Filósofo" w:history="1">
        <w:r w:rsidRPr="003C1418">
          <w:rPr>
            <w:rStyle w:val="Hyperlink"/>
            <w:color w:val="auto"/>
            <w:u w:val="none"/>
          </w:rPr>
          <w:t>filósofo</w:t>
        </w:r>
      </w:hyperlink>
      <w:r w:rsidRPr="003C1418">
        <w:t xml:space="preserve">, </w:t>
      </w:r>
      <w:hyperlink r:id="rId16" w:tooltip="Jurista" w:history="1">
        <w:r w:rsidRPr="003C1418">
          <w:rPr>
            <w:rStyle w:val="Hyperlink"/>
            <w:color w:val="auto"/>
            <w:u w:val="none"/>
          </w:rPr>
          <w:t>jurista</w:t>
        </w:r>
      </w:hyperlink>
      <w:r w:rsidRPr="003C1418">
        <w:t xml:space="preserve"> e pensador dos séculos XVI e XVII, destacando-se como uma das principais figuras do </w:t>
      </w:r>
      <w:hyperlink r:id="rId17" w:tooltip="Jusnaturalismo" w:history="1">
        <w:proofErr w:type="spellStart"/>
        <w:r w:rsidRPr="003C1418">
          <w:rPr>
            <w:rStyle w:val="Hyperlink"/>
            <w:color w:val="auto"/>
            <w:u w:val="none"/>
          </w:rPr>
          <w:t>jusnaturalismo</w:t>
        </w:r>
        <w:proofErr w:type="spellEnd"/>
      </w:hyperlink>
      <w:r w:rsidRPr="003C1418">
        <w:t xml:space="preserve"> e do </w:t>
      </w:r>
      <w:hyperlink r:id="rId18" w:tooltip="Direito Internacional" w:history="1">
        <w:r w:rsidRPr="003C1418">
          <w:rPr>
            <w:rStyle w:val="Hyperlink"/>
            <w:color w:val="auto"/>
            <w:u w:val="none"/>
          </w:rPr>
          <w:t>Direito Internacional</w:t>
        </w:r>
      </w:hyperlink>
      <w:r w:rsidRPr="003C1418">
        <w:t xml:space="preserve"> da </w:t>
      </w:r>
      <w:hyperlink r:id="rId19" w:tooltip="Idade Moderna" w:history="1">
        <w:r w:rsidRPr="003C1418">
          <w:rPr>
            <w:rStyle w:val="Hyperlink"/>
            <w:color w:val="auto"/>
            <w:u w:val="none"/>
          </w:rPr>
          <w:t>Idade Moderna</w:t>
        </w:r>
      </w:hyperlink>
      <w:r w:rsidRPr="003C1418">
        <w:t>.</w:t>
      </w:r>
    </w:p>
  </w:footnote>
  <w:footnote w:id="4">
    <w:p w:rsidR="00AF5E1B" w:rsidRPr="003C1418" w:rsidRDefault="00AF5E1B" w:rsidP="00AF5E1B">
      <w:pPr>
        <w:pStyle w:val="Textodenotaderodap"/>
        <w:jc w:val="both"/>
      </w:pPr>
      <w:r w:rsidRPr="003C1418">
        <w:rPr>
          <w:rStyle w:val="Refdenotaderodap"/>
        </w:rPr>
        <w:footnoteRef/>
      </w:r>
      <w:r w:rsidRPr="003C1418">
        <w:t xml:space="preserve"> </w:t>
      </w:r>
      <w:r w:rsidRPr="003C1418">
        <w:rPr>
          <w:bCs/>
        </w:rPr>
        <w:t xml:space="preserve">Hugo </w:t>
      </w:r>
      <w:proofErr w:type="spellStart"/>
      <w:r w:rsidRPr="003C1418">
        <w:rPr>
          <w:bCs/>
        </w:rPr>
        <w:t>Grotius</w:t>
      </w:r>
      <w:proofErr w:type="spellEnd"/>
      <w:r w:rsidRPr="003C1418">
        <w:t>, (</w:t>
      </w:r>
      <w:hyperlink r:id="rId20" w:tooltip="1583" w:history="1">
        <w:r w:rsidRPr="003C1418">
          <w:rPr>
            <w:rStyle w:val="Hyperlink"/>
            <w:color w:val="auto"/>
            <w:u w:val="none"/>
          </w:rPr>
          <w:t>1583</w:t>
        </w:r>
      </w:hyperlink>
      <w:r w:rsidRPr="003C1418">
        <w:t>—</w:t>
      </w:r>
      <w:hyperlink r:id="rId21" w:tooltip="1645" w:history="1">
        <w:r w:rsidRPr="003C1418">
          <w:rPr>
            <w:rStyle w:val="Hyperlink"/>
            <w:color w:val="auto"/>
            <w:u w:val="none"/>
          </w:rPr>
          <w:t>1645</w:t>
        </w:r>
      </w:hyperlink>
      <w:r w:rsidRPr="003C1418">
        <w:t xml:space="preserve">) foi um </w:t>
      </w:r>
      <w:hyperlink r:id="rId22" w:tooltip="Jurista" w:history="1">
        <w:r w:rsidRPr="003C1418">
          <w:rPr>
            <w:rStyle w:val="Hyperlink"/>
            <w:color w:val="auto"/>
            <w:u w:val="none"/>
          </w:rPr>
          <w:t>jurista</w:t>
        </w:r>
      </w:hyperlink>
      <w:r w:rsidRPr="003C1418">
        <w:t xml:space="preserve"> a serviço da </w:t>
      </w:r>
      <w:hyperlink r:id="rId23" w:tooltip="República dos Países Baixos" w:history="1">
        <w:r w:rsidRPr="003C1418">
          <w:rPr>
            <w:rStyle w:val="Hyperlink"/>
            <w:color w:val="auto"/>
            <w:u w:val="none"/>
          </w:rPr>
          <w:t>República dos Países Baixos</w:t>
        </w:r>
      </w:hyperlink>
      <w:r w:rsidRPr="003C1418">
        <w:t xml:space="preserve">. É considerado o precursor, junto com </w:t>
      </w:r>
      <w:hyperlink r:id="rId24" w:tooltip="Francisco de Vitória" w:history="1">
        <w:r w:rsidRPr="003C1418">
          <w:rPr>
            <w:rStyle w:val="Hyperlink"/>
            <w:color w:val="auto"/>
            <w:u w:val="none"/>
          </w:rPr>
          <w:t>Francisco de Vitória</w:t>
        </w:r>
      </w:hyperlink>
      <w:r w:rsidRPr="003C1418">
        <w:t xml:space="preserve">, do </w:t>
      </w:r>
      <w:hyperlink r:id="rId25" w:tooltip="Direito internacional" w:history="1">
        <w:r w:rsidRPr="003C1418">
          <w:rPr>
            <w:rStyle w:val="Hyperlink"/>
            <w:color w:val="auto"/>
            <w:u w:val="none"/>
          </w:rPr>
          <w:t>Direito internacional</w:t>
        </w:r>
      </w:hyperlink>
      <w:r w:rsidRPr="003C1418">
        <w:t xml:space="preserve">, baseando-se no </w:t>
      </w:r>
      <w:hyperlink r:id="rId26" w:tooltip="Direito natural" w:history="1">
        <w:r w:rsidRPr="003C1418">
          <w:rPr>
            <w:rStyle w:val="Hyperlink"/>
            <w:color w:val="auto"/>
            <w:u w:val="none"/>
          </w:rPr>
          <w:t>Direito natural</w:t>
        </w:r>
      </w:hyperlink>
      <w:r w:rsidRPr="003C1418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1B" w:rsidRDefault="00AF5E1B" w:rsidP="00036E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F5E1B" w:rsidRDefault="00AF5E1B" w:rsidP="002821E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1B" w:rsidRDefault="00AF5E1B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1418">
      <w:rPr>
        <w:noProof/>
      </w:rPr>
      <w:t>- 7 -</w:t>
    </w:r>
    <w:r>
      <w:fldChar w:fldCharType="end"/>
    </w:r>
  </w:p>
  <w:p w:rsidR="00AF5E1B" w:rsidRPr="00476F0E" w:rsidRDefault="00AF5E1B" w:rsidP="00476F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3FD"/>
    <w:multiLevelType w:val="multilevel"/>
    <w:tmpl w:val="8CB46DEE"/>
    <w:styleLink w:val="Estilo3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8343F2A"/>
    <w:multiLevelType w:val="multilevel"/>
    <w:tmpl w:val="8CB46DEE"/>
    <w:numStyleLink w:val="Estilo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1B"/>
    <w:rsid w:val="003304B6"/>
    <w:rsid w:val="003C1418"/>
    <w:rsid w:val="003D1A62"/>
    <w:rsid w:val="00AC6FDE"/>
    <w:rsid w:val="00AF5E1B"/>
    <w:rsid w:val="00C9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F5E1B"/>
    <w:pPr>
      <w:keepNext/>
      <w:jc w:val="center"/>
      <w:outlineLvl w:val="5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F5E1B"/>
    <w:rPr>
      <w:rFonts w:ascii="Arial" w:eastAsia="Times New Roman" w:hAnsi="Arial" w:cs="Times New Roman"/>
      <w:b/>
      <w:bCs/>
      <w:sz w:val="20"/>
      <w:szCs w:val="24"/>
      <w:lang w:eastAsia="pt-BR"/>
    </w:rPr>
  </w:style>
  <w:style w:type="paragraph" w:styleId="NormalWeb">
    <w:name w:val="Normal (Web)"/>
    <w:basedOn w:val="Normal"/>
    <w:uiPriority w:val="99"/>
    <w:semiHidden/>
    <w:rsid w:val="00AF5E1B"/>
    <w:pPr>
      <w:spacing w:before="100" w:beforeAutospacing="1" w:after="100" w:afterAutospacing="1"/>
    </w:pPr>
    <w:rPr>
      <w:color w:val="000000"/>
    </w:rPr>
  </w:style>
  <w:style w:type="paragraph" w:styleId="Textodenotaderodap">
    <w:name w:val="footnote text"/>
    <w:basedOn w:val="Normal"/>
    <w:link w:val="TextodenotaderodapChar"/>
    <w:semiHidden/>
    <w:rsid w:val="00AF5E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F5E1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AF5E1B"/>
    <w:rPr>
      <w:vertAlign w:val="superscript"/>
    </w:rPr>
  </w:style>
  <w:style w:type="paragraph" w:styleId="Rodap">
    <w:name w:val="footer"/>
    <w:basedOn w:val="Normal"/>
    <w:link w:val="RodapChar"/>
    <w:rsid w:val="00AF5E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5E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F5E1B"/>
  </w:style>
  <w:style w:type="paragraph" w:styleId="Cabealho">
    <w:name w:val="header"/>
    <w:basedOn w:val="Normal"/>
    <w:link w:val="CabealhoChar"/>
    <w:uiPriority w:val="99"/>
    <w:rsid w:val="00AF5E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5E1B"/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Estilo3">
    <w:name w:val="Estilo3"/>
    <w:rsid w:val="00AF5E1B"/>
    <w:pPr>
      <w:numPr>
        <w:numId w:val="1"/>
      </w:numPr>
    </w:pPr>
  </w:style>
  <w:style w:type="character" w:styleId="Hyperlink">
    <w:name w:val="Hyperlink"/>
    <w:basedOn w:val="Fontepargpadro"/>
    <w:uiPriority w:val="99"/>
    <w:unhideWhenUsed/>
    <w:rsid w:val="00AF5E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F5E1B"/>
    <w:pPr>
      <w:keepNext/>
      <w:jc w:val="center"/>
      <w:outlineLvl w:val="5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F5E1B"/>
    <w:rPr>
      <w:rFonts w:ascii="Arial" w:eastAsia="Times New Roman" w:hAnsi="Arial" w:cs="Times New Roman"/>
      <w:b/>
      <w:bCs/>
      <w:sz w:val="20"/>
      <w:szCs w:val="24"/>
      <w:lang w:eastAsia="pt-BR"/>
    </w:rPr>
  </w:style>
  <w:style w:type="paragraph" w:styleId="NormalWeb">
    <w:name w:val="Normal (Web)"/>
    <w:basedOn w:val="Normal"/>
    <w:uiPriority w:val="99"/>
    <w:semiHidden/>
    <w:rsid w:val="00AF5E1B"/>
    <w:pPr>
      <w:spacing w:before="100" w:beforeAutospacing="1" w:after="100" w:afterAutospacing="1"/>
    </w:pPr>
    <w:rPr>
      <w:color w:val="000000"/>
    </w:rPr>
  </w:style>
  <w:style w:type="paragraph" w:styleId="Textodenotaderodap">
    <w:name w:val="footnote text"/>
    <w:basedOn w:val="Normal"/>
    <w:link w:val="TextodenotaderodapChar"/>
    <w:semiHidden/>
    <w:rsid w:val="00AF5E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F5E1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AF5E1B"/>
    <w:rPr>
      <w:vertAlign w:val="superscript"/>
    </w:rPr>
  </w:style>
  <w:style w:type="paragraph" w:styleId="Rodap">
    <w:name w:val="footer"/>
    <w:basedOn w:val="Normal"/>
    <w:link w:val="RodapChar"/>
    <w:rsid w:val="00AF5E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5E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F5E1B"/>
  </w:style>
  <w:style w:type="paragraph" w:styleId="Cabealho">
    <w:name w:val="header"/>
    <w:basedOn w:val="Normal"/>
    <w:link w:val="CabealhoChar"/>
    <w:uiPriority w:val="99"/>
    <w:rsid w:val="00AF5E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5E1B"/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Estilo3">
    <w:name w:val="Estilo3"/>
    <w:rsid w:val="00AF5E1B"/>
    <w:pPr>
      <w:numPr>
        <w:numId w:val="1"/>
      </w:numPr>
    </w:pPr>
  </w:style>
  <w:style w:type="character" w:styleId="Hyperlink">
    <w:name w:val="Hyperlink"/>
    <w:basedOn w:val="Fontepargpadro"/>
    <w:uiPriority w:val="99"/>
    <w:unhideWhenUsed/>
    <w:rsid w:val="00AF5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Filosofia" TargetMode="External"/><Relationship Id="rId13" Type="http://schemas.openxmlformats.org/officeDocument/2006/relationships/hyperlink" Target="http://pt.wikipedia.org/wiki/1617" TargetMode="External"/><Relationship Id="rId18" Type="http://schemas.openxmlformats.org/officeDocument/2006/relationships/hyperlink" Target="http://pt.wikipedia.org/wiki/Direito_Internacional" TargetMode="External"/><Relationship Id="rId26" Type="http://schemas.openxmlformats.org/officeDocument/2006/relationships/hyperlink" Target="http://pt.wikipedia.org/wiki/Direito_natural" TargetMode="External"/><Relationship Id="rId3" Type="http://schemas.openxmlformats.org/officeDocument/2006/relationships/hyperlink" Target="http://pt.wikipedia.org/wiki/1483" TargetMode="External"/><Relationship Id="rId21" Type="http://schemas.openxmlformats.org/officeDocument/2006/relationships/hyperlink" Target="http://pt.wikipedia.org/wiki/1645" TargetMode="External"/><Relationship Id="rId7" Type="http://schemas.openxmlformats.org/officeDocument/2006/relationships/hyperlink" Target="http://pt.wikipedia.org/wiki/Espanha" TargetMode="External"/><Relationship Id="rId12" Type="http://schemas.openxmlformats.org/officeDocument/2006/relationships/hyperlink" Target="http://pt.wikipedia.org/wiki/Lisboa" TargetMode="External"/><Relationship Id="rId17" Type="http://schemas.openxmlformats.org/officeDocument/2006/relationships/hyperlink" Target="http://pt.wikipedia.org/wiki/Jusnaturalismo" TargetMode="External"/><Relationship Id="rId25" Type="http://schemas.openxmlformats.org/officeDocument/2006/relationships/hyperlink" Target="http://pt.wikipedia.org/wiki/Direito_internacional" TargetMode="External"/><Relationship Id="rId2" Type="http://schemas.openxmlformats.org/officeDocument/2006/relationships/hyperlink" Target="http://pt.wikipedia.org/wiki/Vit%C3%B3ria_%28Espanha%29" TargetMode="External"/><Relationship Id="rId16" Type="http://schemas.openxmlformats.org/officeDocument/2006/relationships/hyperlink" Target="http://pt.wikipedia.org/wiki/Jurista" TargetMode="External"/><Relationship Id="rId20" Type="http://schemas.openxmlformats.org/officeDocument/2006/relationships/hyperlink" Target="http://pt.wikipedia.org/wiki/1583" TargetMode="External"/><Relationship Id="rId1" Type="http://schemas.openxmlformats.org/officeDocument/2006/relationships/hyperlink" Target="http://pt.wikipedia.org/wiki/Burgos" TargetMode="External"/><Relationship Id="rId6" Type="http://schemas.openxmlformats.org/officeDocument/2006/relationships/hyperlink" Target="http://pt.wikipedia.org/wiki/Te%C3%B3logo" TargetMode="External"/><Relationship Id="rId11" Type="http://schemas.openxmlformats.org/officeDocument/2006/relationships/hyperlink" Target="http://pt.wikipedia.org/wiki/1548" TargetMode="External"/><Relationship Id="rId24" Type="http://schemas.openxmlformats.org/officeDocument/2006/relationships/hyperlink" Target="http://pt.wikipedia.org/wiki/Francisco_de_Vit%C3%B3ria" TargetMode="External"/><Relationship Id="rId5" Type="http://schemas.openxmlformats.org/officeDocument/2006/relationships/hyperlink" Target="http://pt.wikipedia.org/wiki/1512" TargetMode="External"/><Relationship Id="rId15" Type="http://schemas.openxmlformats.org/officeDocument/2006/relationships/hyperlink" Target="http://pt.wikipedia.org/wiki/Fil%C3%B3sofo" TargetMode="External"/><Relationship Id="rId23" Type="http://schemas.openxmlformats.org/officeDocument/2006/relationships/hyperlink" Target="http://pt.wikipedia.org/wiki/Rep%C3%BAblica_dos_Pa%C3%ADses_Baixos" TargetMode="External"/><Relationship Id="rId10" Type="http://schemas.openxmlformats.org/officeDocument/2006/relationships/hyperlink" Target="http://pt.wikipedia.org/wiki/Granada" TargetMode="External"/><Relationship Id="rId19" Type="http://schemas.openxmlformats.org/officeDocument/2006/relationships/hyperlink" Target="http://pt.wikipedia.org/wiki/Idade_Moderna" TargetMode="External"/><Relationship Id="rId4" Type="http://schemas.openxmlformats.org/officeDocument/2006/relationships/hyperlink" Target="http://pt.wikipedia.org/wiki/Salamanca" TargetMode="External"/><Relationship Id="rId9" Type="http://schemas.openxmlformats.org/officeDocument/2006/relationships/hyperlink" Target="http://pt.wikipedia.org/w/index.php?title=Escola_de_Salamanca&amp;action=edit&amp;redlink=1" TargetMode="External"/><Relationship Id="rId14" Type="http://schemas.openxmlformats.org/officeDocument/2006/relationships/hyperlink" Target="http://pt.wikipedia.org/wiki/Jesu%C3%ADta" TargetMode="External"/><Relationship Id="rId22" Type="http://schemas.openxmlformats.org/officeDocument/2006/relationships/hyperlink" Target="http://pt.wikipedia.org/wiki/Jurist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2509</Words>
  <Characters>13552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GAMA</dc:creator>
  <cp:lastModifiedBy>RAIMUNDO GAMA</cp:lastModifiedBy>
  <cp:revision>4</cp:revision>
  <dcterms:created xsi:type="dcterms:W3CDTF">2013-11-07T01:42:00Z</dcterms:created>
  <dcterms:modified xsi:type="dcterms:W3CDTF">2013-11-07T10:47:00Z</dcterms:modified>
</cp:coreProperties>
</file>