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60" w:rsidRDefault="002B6160" w:rsidP="002B6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61106">
        <w:rPr>
          <w:rFonts w:ascii="Times New Roman" w:hAnsi="Times New Roman" w:cs="Times New Roman"/>
          <w:b/>
          <w:sz w:val="24"/>
          <w:szCs w:val="24"/>
        </w:rPr>
        <w:t>A DICOTOMIA VONTADE DA LEI x VONTADE DO LEGISLADOR NO CASO DO RECONHECIMENTO DE UNIÃO ESTÁVEL PARA CASAIS HOMOSSEXUAIS: ANÁLISE DOS ARTIGOS CONSTITUCIONAIS.</w:t>
      </w:r>
    </w:p>
    <w:p w:rsidR="002B6160" w:rsidRPr="00F61106" w:rsidRDefault="002B6160" w:rsidP="002B61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106">
        <w:rPr>
          <w:rFonts w:ascii="Times New Roman" w:hAnsi="Times New Roman" w:cs="Times New Roman"/>
          <w:sz w:val="24"/>
          <w:szCs w:val="24"/>
        </w:rPr>
        <w:t>Barbara Guerra Barbalho</w:t>
      </w:r>
    </w:p>
    <w:p w:rsidR="002B6160" w:rsidRDefault="002B6160" w:rsidP="002B61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106">
        <w:rPr>
          <w:rFonts w:ascii="Times New Roman" w:hAnsi="Times New Roman" w:cs="Times New Roman"/>
          <w:sz w:val="24"/>
          <w:szCs w:val="24"/>
        </w:rPr>
        <w:t>Renata da Silva Costa</w:t>
      </w:r>
    </w:p>
    <w:p w:rsidR="002B6160" w:rsidRDefault="002B6160" w:rsidP="002B61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6160" w:rsidRPr="002A2E70" w:rsidRDefault="002B6160" w:rsidP="002B616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A2E70">
        <w:rPr>
          <w:rFonts w:ascii="Times New Roman" w:hAnsi="Times New Roman" w:cs="Times New Roman"/>
          <w:b/>
          <w:sz w:val="20"/>
          <w:szCs w:val="20"/>
        </w:rPr>
        <w:t>Sumário:</w:t>
      </w:r>
      <w:r w:rsidRPr="002A2E70">
        <w:rPr>
          <w:rFonts w:ascii="Times New Roman" w:hAnsi="Times New Roman" w:cs="Times New Roman"/>
          <w:sz w:val="20"/>
          <w:szCs w:val="20"/>
        </w:rPr>
        <w:t xml:space="preserve"> Introdução; 1- Relevância da dicotomia Vontade da Lei x Vontade do Legislador; 1.1 Como os efeitos da interpretação atingem os direitos dos cidadãos; </w:t>
      </w:r>
      <w:proofErr w:type="gramStart"/>
      <w:r w:rsidRPr="002A2E70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2A2E70">
        <w:rPr>
          <w:rFonts w:ascii="Times New Roman" w:hAnsi="Times New Roman" w:cs="Times New Roman"/>
          <w:sz w:val="20"/>
          <w:szCs w:val="20"/>
        </w:rPr>
        <w:t>. União estável: interpretação conforme a Vontade do Legislador?  Conclusão</w:t>
      </w:r>
    </w:p>
    <w:p w:rsidR="002B6160" w:rsidRDefault="002B6160" w:rsidP="002B6160">
      <w:pPr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2B6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2B6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06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2B6160" w:rsidRDefault="002B6160" w:rsidP="002B6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60" w:rsidRDefault="002B6160" w:rsidP="002B616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BD">
        <w:rPr>
          <w:rFonts w:ascii="Times New Roman" w:hAnsi="Times New Roman" w:cs="Times New Roman"/>
          <w:sz w:val="24"/>
          <w:szCs w:val="24"/>
        </w:rPr>
        <w:t>Sobre a interpretação normativa existem no Direito, duas correntes divergentes: A primeira, a Vontade da Lei, que afirma que o direito deve ser aplicado em sua literalidade</w:t>
      </w:r>
      <w:r>
        <w:rPr>
          <w:rFonts w:ascii="Times New Roman" w:hAnsi="Times New Roman" w:cs="Times New Roman"/>
          <w:sz w:val="24"/>
          <w:szCs w:val="24"/>
        </w:rPr>
        <w:t xml:space="preserve">, e a segunda, a Vontade do Legislador, que permite uma interpretação extensiva. </w:t>
      </w:r>
      <w:r w:rsidRPr="001F1FB5">
        <w:rPr>
          <w:rFonts w:ascii="Times New Roman" w:hAnsi="Times New Roman" w:cs="Times New Roman"/>
          <w:sz w:val="24"/>
          <w:szCs w:val="24"/>
        </w:rPr>
        <w:t xml:space="preserve">A escolha do reconhecimento de união estável para casais homossexuais tem por objetivo ressaltar a conquista de um direito de uma parte da população, que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alcançou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através de uma nova interpretação normativa. O Direito deste modo reconheceu a mudança nos conceitos morais da sociedade, deixando de lado uma interpretação normativa focada essencialmente em um momento histórico em que viveu o legislador originário, e que hoje é considerado ultrapassado. </w:t>
      </w:r>
    </w:p>
    <w:p w:rsidR="00C64B05" w:rsidRDefault="00C64B05" w:rsidP="002B616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EAD" w:rsidRDefault="002B6160" w:rsidP="001A3EA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9E1">
        <w:rPr>
          <w:rFonts w:ascii="Times New Roman" w:hAnsi="Times New Roman" w:cs="Times New Roman"/>
          <w:b/>
          <w:sz w:val="24"/>
          <w:szCs w:val="24"/>
        </w:rPr>
        <w:t xml:space="preserve">PALAVRAS </w:t>
      </w:r>
      <w:proofErr w:type="spellStart"/>
      <w:r w:rsidRPr="00EA09E1">
        <w:rPr>
          <w:rFonts w:ascii="Times New Roman" w:hAnsi="Times New Roman" w:cs="Times New Roman"/>
          <w:b/>
          <w:sz w:val="24"/>
          <w:szCs w:val="24"/>
        </w:rPr>
        <w:t>CHAVE</w:t>
      </w:r>
      <w:proofErr w:type="spellEnd"/>
    </w:p>
    <w:p w:rsidR="002B6160" w:rsidRDefault="002B6160" w:rsidP="001A3EA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09E1">
        <w:rPr>
          <w:rFonts w:ascii="Times New Roman" w:hAnsi="Times New Roman" w:cs="Times New Roman"/>
          <w:sz w:val="24"/>
          <w:szCs w:val="24"/>
        </w:rPr>
        <w:t>Homossexuais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3EAD">
        <w:rPr>
          <w:rFonts w:ascii="Times New Roman" w:hAnsi="Times New Roman" w:cs="Times New Roman"/>
          <w:sz w:val="24"/>
          <w:szCs w:val="24"/>
        </w:rPr>
        <w:t xml:space="preserve"> </w:t>
      </w:r>
      <w:r w:rsidR="00C64B05">
        <w:rPr>
          <w:rFonts w:ascii="Times New Roman" w:hAnsi="Times New Roman" w:cs="Times New Roman"/>
          <w:sz w:val="24"/>
          <w:szCs w:val="24"/>
        </w:rPr>
        <w:t xml:space="preserve">Vontade, Lei, </w:t>
      </w:r>
      <w:proofErr w:type="gramStart"/>
      <w:r w:rsidR="00C64B05">
        <w:rPr>
          <w:rFonts w:ascii="Times New Roman" w:hAnsi="Times New Roman" w:cs="Times New Roman"/>
          <w:sz w:val="24"/>
          <w:szCs w:val="24"/>
        </w:rPr>
        <w:t>Legislador</w:t>
      </w:r>
      <w:proofErr w:type="gramEnd"/>
    </w:p>
    <w:p w:rsidR="00C64B05" w:rsidRPr="001A3EAD" w:rsidRDefault="00C64B05" w:rsidP="001A3EA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60" w:rsidRDefault="002B6160" w:rsidP="001A3EA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9E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C64B05" w:rsidRDefault="00C64B05" w:rsidP="001A3EA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361">
        <w:rPr>
          <w:rFonts w:ascii="Times New Roman" w:hAnsi="Times New Roman" w:cs="Times New Roman"/>
          <w:sz w:val="24"/>
          <w:szCs w:val="24"/>
        </w:rPr>
        <w:t>A dicotomia</w:t>
      </w:r>
      <w:r>
        <w:rPr>
          <w:rFonts w:ascii="Times New Roman" w:hAnsi="Times New Roman" w:cs="Times New Roman"/>
          <w:sz w:val="24"/>
          <w:szCs w:val="24"/>
        </w:rPr>
        <w:t xml:space="preserve"> entre a Vontade da Lei e a Vontade do Legislador influencia na relação entre a sociedade e seus direitos, de forma que a interpretação do texto normativo é de total importância na aplicação do Direito e da Justiça. Enquanto o método da Vontade da Lei se baseia na concepção subjetiva, ou seja, aquela vontade que se impôs historicamente e comporta uma interpretação estática e conservadora, a Vontade do Legislador se baseia na concepção objetiva, que é o próprio conteúdo da lei em si e permite uma interpretação progressiva e/ou evolutiva.</w:t>
      </w: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Atualmente, um dos casos de bastante relevância onde se fez o uso de um desses métodos foi o reconhecimento da união estável para casais homossexuais, de forma que o Direito brasileiro adaptou-se a evolução social e aderiu aos fatos que fazem parte da sociedade. Com a modificação dos costumes, fez-se necessária uma regulamentação legislativa adequada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realidade atual, utilizando-se deste modo a Vontade do Legislador em contrapartida a Vontade da Lei.</w:t>
      </w: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Utilizando-se somente do texto normativo de forma tácita e pura, o alcance a união estável para casais homossexuais seria praticamente impossível, pois o texto se referente unicamente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união entre homens e mulheres. Por tanto, os legisladores atuais utilizando-se dos valores e ideologias da sociedade hodierna e puderam estender o texto normativo e alcançar os direitos almejados por essa parcela da sociedade.</w:t>
      </w: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Pr="00D86718" w:rsidRDefault="002B6160" w:rsidP="002B6160">
      <w:pPr>
        <w:spacing w:before="120" w:after="120" w:line="360" w:lineRule="auto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1.</w:t>
      </w:r>
      <w:proofErr w:type="gramEnd"/>
      <w:r w:rsidRPr="00D86718">
        <w:rPr>
          <w:rFonts w:ascii="Times New Roman" w:hAnsi="Times New Roman"/>
          <w:b/>
        </w:rPr>
        <w:t>Relevância da dicotomia Vontade da Lei x Vontade do Legislador</w:t>
      </w: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>As leis são passíveis de erro, tanto na sua elaboração quanto na aplicação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4975">
        <w:rPr>
          <w:rFonts w:ascii="Times New Roman" w:hAnsi="Times New Roman" w:cs="Times New Roman"/>
          <w:sz w:val="24"/>
          <w:szCs w:val="24"/>
        </w:rPr>
        <w:t xml:space="preserve"> pois são criadas e interpretadas pelo homem, mas devem ser encaradas como se perfeitas fossem. Ao interprete é dada a tarefa de analisar, examinar e estudar o texto normativo buscando a sua melhor aplicabilidade nos casos concretos, praticando assim a hermenêutica jurídica (MAXIMILIANO, p.8-11). Por volta do final do século XIX começou a ser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>discutido a divergência existente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 xml:space="preserve"> entre a vontade da lei e a vontade do legislador, a final, o que deve ser buscado é a vontade de que produziu a lei ou a vontade objetiva que pode</w:t>
      </w:r>
      <w:r>
        <w:rPr>
          <w:rFonts w:ascii="Times New Roman" w:hAnsi="Times New Roman" w:cs="Times New Roman"/>
          <w:sz w:val="24"/>
          <w:szCs w:val="24"/>
        </w:rPr>
        <w:t xml:space="preserve"> ser encontrada no texto?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>CAMARGO, 2003. p.128)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>A escola formal</w:t>
      </w:r>
      <w:r>
        <w:rPr>
          <w:rFonts w:ascii="Times New Roman" w:hAnsi="Times New Roman" w:cs="Times New Roman"/>
          <w:sz w:val="24"/>
          <w:szCs w:val="24"/>
        </w:rPr>
        <w:t xml:space="preserve"> (vontade da lei)</w:t>
      </w:r>
      <w:r w:rsidRPr="00274975">
        <w:rPr>
          <w:rFonts w:ascii="Times New Roman" w:hAnsi="Times New Roman" w:cs="Times New Roman"/>
          <w:sz w:val="24"/>
          <w:szCs w:val="24"/>
        </w:rPr>
        <w:t xml:space="preserve"> defendia a </w:t>
      </w:r>
      <w:proofErr w:type="spellStart"/>
      <w:r w:rsidRPr="00274975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274975">
        <w:rPr>
          <w:rFonts w:ascii="Times New Roman" w:hAnsi="Times New Roman" w:cs="Times New Roman"/>
          <w:sz w:val="24"/>
          <w:szCs w:val="24"/>
        </w:rPr>
        <w:t xml:space="preserve"> de se fazer uma interpretação objetiva das normas, e dizia que para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74975">
        <w:rPr>
          <w:rFonts w:ascii="Times New Roman" w:hAnsi="Times New Roman" w:cs="Times New Roman"/>
          <w:sz w:val="24"/>
          <w:szCs w:val="24"/>
        </w:rPr>
        <w:t xml:space="preserve">correr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 xml:space="preserve"> interpretação, seria necessário que o interprete ‘’abrisse mão’’ das suas ideologias e se limitasse somente as características da própria lei, sem influenciá-la com suas concepções pessoais, acreditando que ao abster o interprete das suas próprias compreensões estariam preservando a segurança jurídica das leis já elaboradas. Já a escola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>não-formal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(vontade do legislador)</w:t>
      </w:r>
      <w:r w:rsidRPr="00274975">
        <w:rPr>
          <w:rFonts w:ascii="Times New Roman" w:hAnsi="Times New Roman" w:cs="Times New Roman"/>
          <w:sz w:val="24"/>
          <w:szCs w:val="24"/>
        </w:rPr>
        <w:t xml:space="preserve"> defendia o subjetivismo, pois considerava rel</w:t>
      </w:r>
      <w:r>
        <w:rPr>
          <w:rFonts w:ascii="Times New Roman" w:hAnsi="Times New Roman" w:cs="Times New Roman"/>
          <w:sz w:val="24"/>
          <w:szCs w:val="24"/>
        </w:rPr>
        <w:t>evante as influe</w:t>
      </w:r>
      <w:r w:rsidRPr="00274975">
        <w:rPr>
          <w:rFonts w:ascii="Times New Roman" w:hAnsi="Times New Roman" w:cs="Times New Roman"/>
          <w:sz w:val="24"/>
          <w:szCs w:val="24"/>
        </w:rPr>
        <w:t xml:space="preserve">ncias do interprete nas normas, como as suas ideologias, culturas nas normas e </w:t>
      </w:r>
      <w:proofErr w:type="spellStart"/>
      <w:r w:rsidRPr="00274975">
        <w:rPr>
          <w:rFonts w:ascii="Times New Roman" w:hAnsi="Times New Roman" w:cs="Times New Roman"/>
          <w:sz w:val="24"/>
          <w:szCs w:val="24"/>
        </w:rPr>
        <w:t>pré-concepções</w:t>
      </w:r>
      <w:proofErr w:type="spellEnd"/>
      <w:r w:rsidRPr="00274975">
        <w:rPr>
          <w:rFonts w:ascii="Times New Roman" w:hAnsi="Times New Roman" w:cs="Times New Roman"/>
          <w:sz w:val="24"/>
          <w:szCs w:val="24"/>
        </w:rPr>
        <w:t>.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 xml:space="preserve">Para a escola da exegese, que é um exemplo da escola formal, o direito é a própria lei escrita, lei esta que é justa, satisfatória e inequívoca. Diz que pela </w:t>
      </w:r>
      <w:r w:rsidRPr="00274975">
        <w:rPr>
          <w:rFonts w:ascii="Times New Roman" w:hAnsi="Times New Roman" w:cs="Times New Roman"/>
          <w:sz w:val="24"/>
          <w:szCs w:val="24"/>
        </w:rPr>
        <w:lastRenderedPageBreak/>
        <w:t>sistematização das leis seria possível encontrar respostas para qualquer caso, não precisando alterar o texto normativo já produzido, pois ele já era suficiente para reso</w:t>
      </w:r>
      <w:r>
        <w:rPr>
          <w:rFonts w:ascii="Times New Roman" w:hAnsi="Times New Roman" w:cs="Times New Roman"/>
          <w:sz w:val="24"/>
          <w:szCs w:val="24"/>
        </w:rPr>
        <w:t xml:space="preserve">lver os conflitos da sociedade.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>CAMARGO, 2003. p. 65-68)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274975">
        <w:rPr>
          <w:rFonts w:ascii="Times New Roman" w:hAnsi="Times New Roman" w:cs="Times New Roman"/>
          <w:sz w:val="24"/>
          <w:szCs w:val="24"/>
        </w:rPr>
        <w:t>exegetismo</w:t>
      </w:r>
      <w:proofErr w:type="spellEnd"/>
      <w:r w:rsidRPr="00274975">
        <w:rPr>
          <w:rFonts w:ascii="Times New Roman" w:hAnsi="Times New Roman" w:cs="Times New Roman"/>
          <w:sz w:val="24"/>
          <w:szCs w:val="24"/>
        </w:rPr>
        <w:t xml:space="preserve"> afirma que para estudar o direito seria preciso se fazer previamente um</w:t>
      </w:r>
      <w:r>
        <w:rPr>
          <w:rFonts w:ascii="Times New Roman" w:hAnsi="Times New Roman" w:cs="Times New Roman"/>
          <w:sz w:val="24"/>
          <w:szCs w:val="24"/>
        </w:rPr>
        <w:t>a análise rigorosa do texto autê</w:t>
      </w:r>
      <w:r w:rsidRPr="00274975">
        <w:rPr>
          <w:rFonts w:ascii="Times New Roman" w:hAnsi="Times New Roman" w:cs="Times New Roman"/>
          <w:sz w:val="24"/>
          <w:szCs w:val="24"/>
        </w:rPr>
        <w:t xml:space="preserve">ntico, valorizando o método sistemático e gramatical para encontrar a verdadeira vontade do legislador, pois a função do operador do direito era fazer apenas a mecânica lógica dedutiva devendo se atentar rigorosamente ao texto legal. A noção do princípio da legalidade e o da supremacia da lei são as principais heranças deixadas, que perdura ate os dias atuais.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>CAMARGO, 2003. p. 65-68)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>O interprete sendo um ser do mu</w:t>
      </w:r>
      <w:r>
        <w:rPr>
          <w:rFonts w:ascii="Times New Roman" w:hAnsi="Times New Roman" w:cs="Times New Roman"/>
          <w:sz w:val="24"/>
          <w:szCs w:val="24"/>
        </w:rPr>
        <w:t>ndo, que vive e recebe influências do seu meio social e</w:t>
      </w:r>
      <w:r w:rsidRPr="002749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>está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 xml:space="preserve"> inserido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975">
        <w:rPr>
          <w:rFonts w:ascii="Times New Roman" w:hAnsi="Times New Roman" w:cs="Times New Roman"/>
          <w:sz w:val="24"/>
          <w:szCs w:val="24"/>
        </w:rPr>
        <w:t>própr</w:t>
      </w:r>
      <w:r>
        <w:rPr>
          <w:rFonts w:ascii="Times New Roman" w:hAnsi="Times New Roman" w:cs="Times New Roman"/>
          <w:sz w:val="24"/>
          <w:szCs w:val="24"/>
        </w:rPr>
        <w:t>io fenômeno jurídico que estuda</w:t>
      </w:r>
      <w:r w:rsidRPr="00274975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274975">
        <w:rPr>
          <w:rFonts w:ascii="Times New Roman" w:hAnsi="Times New Roman" w:cs="Times New Roman"/>
          <w:sz w:val="24"/>
          <w:szCs w:val="24"/>
        </w:rPr>
        <w:t xml:space="preserve"> são as leis. A sua vivencia em sociedade, possibilita formação das suas próprias crenças e ideologias, por isso o abandono absoluto de suas reflexões e valorizações ao fazer a análise de uma lei, se torna impossível. Segundo Eros Grau, a norma é produzida pelo interprete que busca reproduzir o verdadeiro sentido da norma, onde ‘’o produto da interpretação é a norma expressada como tal’’ mas ele não deve fazer uso somente do mundo do </w:t>
      </w:r>
      <w:proofErr w:type="spellStart"/>
      <w:r w:rsidRPr="00274975">
        <w:rPr>
          <w:rFonts w:ascii="Times New Roman" w:hAnsi="Times New Roman" w:cs="Times New Roman"/>
          <w:sz w:val="24"/>
          <w:szCs w:val="24"/>
        </w:rPr>
        <w:t>dever-ser</w:t>
      </w:r>
      <w:proofErr w:type="spellEnd"/>
      <w:r w:rsidRPr="00274975">
        <w:rPr>
          <w:rFonts w:ascii="Times New Roman" w:hAnsi="Times New Roman" w:cs="Times New Roman"/>
          <w:sz w:val="24"/>
          <w:szCs w:val="24"/>
        </w:rPr>
        <w:t>, mas também do mundo do ser, isso é, se basear nos elementos do c</w:t>
      </w:r>
      <w:r>
        <w:rPr>
          <w:rFonts w:ascii="Times New Roman" w:hAnsi="Times New Roman" w:cs="Times New Roman"/>
          <w:sz w:val="24"/>
          <w:szCs w:val="24"/>
        </w:rPr>
        <w:t xml:space="preserve">aso ao qual a norma será aplicada. </w:t>
      </w:r>
      <w:r w:rsidRPr="00274975">
        <w:rPr>
          <w:rFonts w:ascii="Times New Roman" w:hAnsi="Times New Roman" w:cs="Times New Roman"/>
          <w:sz w:val="24"/>
          <w:szCs w:val="24"/>
        </w:rPr>
        <w:t xml:space="preserve">(GRAU, 2002. p.73-75) 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>Na concepção da ‘’vontade do legislador’’, o interprete deve estudar as normas de acordo com a sua postura ideológica, pois para essa corrente, a adaptação da vontade do legislador á realidade social é imprescindível, separando assim o ‘’</w:t>
      </w:r>
      <w:proofErr w:type="spellStart"/>
      <w:r w:rsidRPr="00274975">
        <w:rPr>
          <w:rFonts w:ascii="Times New Roman" w:hAnsi="Times New Roman" w:cs="Times New Roman"/>
          <w:sz w:val="24"/>
          <w:szCs w:val="24"/>
        </w:rPr>
        <w:t>dever-ser</w:t>
      </w:r>
      <w:proofErr w:type="spellEnd"/>
      <w:r w:rsidRPr="00274975">
        <w:rPr>
          <w:rFonts w:ascii="Times New Roman" w:hAnsi="Times New Roman" w:cs="Times New Roman"/>
          <w:sz w:val="24"/>
          <w:szCs w:val="24"/>
        </w:rPr>
        <w:t xml:space="preserve">’’ do ‘’ser’’, pois a aplicação da lei deve ser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>relativo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 xml:space="preserve"> ao fato concreto. Mas isso não significa que a interpretação deve ser reduzida aos juízos de valores do interprete, pois há uma relevante dialética entre os seus valores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>pressuposições) e os valores contidos no texto normativo( valores que o direito e a sociedade almejam).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 xml:space="preserve">O interprete deve ter consciência da influencia dos seus valores, então precisa encará-los da forma mais racional possível para que a sua interpretação não seja reduzida aos seus juízos de valor e que não acabe resultando em um comportamento arbitrário. Tem também ele que encarar as suas pressuposições como premissa, que devem ser utilizadas racionalmente </w:t>
      </w:r>
      <w:r>
        <w:rPr>
          <w:rFonts w:ascii="Times New Roman" w:hAnsi="Times New Roman" w:cs="Times New Roman"/>
          <w:sz w:val="24"/>
          <w:szCs w:val="24"/>
        </w:rPr>
        <w:t>tanto para identificar as influê</w:t>
      </w:r>
      <w:r w:rsidRPr="00274975">
        <w:rPr>
          <w:rFonts w:ascii="Times New Roman" w:hAnsi="Times New Roman" w:cs="Times New Roman"/>
          <w:sz w:val="24"/>
          <w:szCs w:val="24"/>
        </w:rPr>
        <w:t>ncias ideológicas como para contextualizar as suas decisões.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lastRenderedPageBreak/>
        <w:t xml:space="preserve">A jurisprudência dos interesses, que tem como o principal percussor </w:t>
      </w:r>
      <w:proofErr w:type="spellStart"/>
      <w:r w:rsidRPr="00274975">
        <w:rPr>
          <w:rFonts w:ascii="Times New Roman" w:hAnsi="Times New Roman" w:cs="Times New Roman"/>
          <w:sz w:val="24"/>
          <w:szCs w:val="24"/>
        </w:rPr>
        <w:t>Heck</w:t>
      </w:r>
      <w:proofErr w:type="spellEnd"/>
      <w:r w:rsidRPr="002749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274975">
        <w:rPr>
          <w:rFonts w:ascii="Times New Roman" w:hAnsi="Times New Roman" w:cs="Times New Roman"/>
          <w:sz w:val="24"/>
          <w:szCs w:val="24"/>
        </w:rPr>
        <w:t xml:space="preserve">diz que o legislador, ao elaborar a lei, engloba os interesses da sociedade da época em que ele esta inserido, já o juiz, que será o interprete da lei, pode está em um contexto histórico diferente daquele em que a lei foi criada, então ele tem atividade de vincular os interesses do caso concreto com os contidos na lei, fazendo assim uso do método histórico-evolutivo.  O juiz então não deve utilizar a lei de forma literal, pois tem que ter como base os interesses econômicos sociais e morais da coletividade em que se está sendo aplicada a lei, e quando a lei apresentar lacunas se baseará em uma norma já existente, fazendo assim uso da analogia para resolver o problema.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>FALCÃO, 2000. p. 166)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>Depois do positivism</w:t>
      </w:r>
      <w:r>
        <w:rPr>
          <w:rFonts w:ascii="Times New Roman" w:hAnsi="Times New Roman" w:cs="Times New Roman"/>
          <w:sz w:val="24"/>
          <w:szCs w:val="24"/>
        </w:rPr>
        <w:t xml:space="preserve">o sociológico que defendia a </w:t>
      </w:r>
      <w:proofErr w:type="spellStart"/>
      <w:r>
        <w:rPr>
          <w:rFonts w:ascii="Times New Roman" w:hAnsi="Times New Roman" w:cs="Times New Roman"/>
          <w:sz w:val="24"/>
          <w:szCs w:val="24"/>
        </w:rPr>
        <w:t>idé</w:t>
      </w:r>
      <w:r w:rsidRPr="0027497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74975">
        <w:rPr>
          <w:rFonts w:ascii="Times New Roman" w:hAnsi="Times New Roman" w:cs="Times New Roman"/>
          <w:sz w:val="24"/>
          <w:szCs w:val="24"/>
        </w:rPr>
        <w:t xml:space="preserve"> que o conhecimento do homem está ligado á fatos sociais e a causalidade, veio Kelsen com a </w:t>
      </w:r>
      <w:proofErr w:type="spellStart"/>
      <w:r w:rsidRPr="00274975">
        <w:rPr>
          <w:rFonts w:ascii="Times New Roman" w:hAnsi="Times New Roman" w:cs="Times New Roman"/>
          <w:sz w:val="24"/>
          <w:szCs w:val="24"/>
        </w:rPr>
        <w:t>déia</w:t>
      </w:r>
      <w:proofErr w:type="spellEnd"/>
      <w:r w:rsidRPr="00274975">
        <w:rPr>
          <w:rFonts w:ascii="Times New Roman" w:hAnsi="Times New Roman" w:cs="Times New Roman"/>
          <w:sz w:val="24"/>
          <w:szCs w:val="24"/>
        </w:rPr>
        <w:t xml:space="preserve"> do positivismo jurídico em sentido estrito, que objetiva transformar o direito em uma ciência pura universal, afastando-o de todas as influencias exteriores, pois acreditava que o ‘’</w:t>
      </w:r>
      <w:proofErr w:type="spellStart"/>
      <w:r w:rsidRPr="00274975">
        <w:rPr>
          <w:rFonts w:ascii="Times New Roman" w:hAnsi="Times New Roman" w:cs="Times New Roman"/>
          <w:sz w:val="24"/>
          <w:szCs w:val="24"/>
        </w:rPr>
        <w:t>dever-ser</w:t>
      </w:r>
      <w:proofErr w:type="spellEnd"/>
      <w:r w:rsidRPr="00274975">
        <w:rPr>
          <w:rFonts w:ascii="Times New Roman" w:hAnsi="Times New Roman" w:cs="Times New Roman"/>
          <w:sz w:val="24"/>
          <w:szCs w:val="24"/>
        </w:rPr>
        <w:t xml:space="preserve">’’ do direito não se dependia a nenhum fato-social ou histórico. Por volta do século XX, a vontade objetiva da lei, que faz uso do método literal e sistemático,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4975">
        <w:rPr>
          <w:rFonts w:ascii="Times New Roman" w:hAnsi="Times New Roman" w:cs="Times New Roman"/>
          <w:sz w:val="24"/>
          <w:szCs w:val="24"/>
        </w:rPr>
        <w:t>caba por predominar sobre a vontade subjetiva do legislador. (CAMARGO, 2003. p.129)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 xml:space="preserve"> A concepção da vontade da lei visa o cumprimento da vontade objetiva da norma e alega que depois da lei ser produzida, adquire total autonomia com relação ao seu produtor. Ela tem como base a escola formal que almeja a segurança jurídica, limitando-se ao conteúdo da lei e evitando que o interprete influencie na norma a ser interpretada, ao ponto de combater a arbitrariedade.</w:t>
      </w: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975">
        <w:rPr>
          <w:rFonts w:ascii="Times New Roman" w:hAnsi="Times New Roman" w:cs="Times New Roman"/>
          <w:sz w:val="24"/>
          <w:szCs w:val="24"/>
        </w:rPr>
        <w:t xml:space="preserve">Camargo acaba por </w:t>
      </w:r>
      <w:r>
        <w:rPr>
          <w:rFonts w:ascii="Times New Roman" w:hAnsi="Times New Roman" w:cs="Times New Roman"/>
          <w:sz w:val="24"/>
          <w:szCs w:val="24"/>
        </w:rPr>
        <w:t>estabelecer uma vinculação entre</w:t>
      </w:r>
      <w:r w:rsidRPr="00274975">
        <w:rPr>
          <w:rFonts w:ascii="Times New Roman" w:hAnsi="Times New Roman" w:cs="Times New Roman"/>
          <w:sz w:val="24"/>
          <w:szCs w:val="24"/>
        </w:rPr>
        <w:t xml:space="preserve"> essas duas vontades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>da lei e do legislador) pois diz que ao ser feito a defesa da vontade objetiva da lei, abre-se caminho para a int</w:t>
      </w:r>
      <w:r>
        <w:rPr>
          <w:rFonts w:ascii="Times New Roman" w:hAnsi="Times New Roman" w:cs="Times New Roman"/>
          <w:sz w:val="24"/>
          <w:szCs w:val="24"/>
        </w:rPr>
        <w:t>erpretação subjetiva, uma vez que</w:t>
      </w:r>
      <w:r w:rsidRPr="00274975">
        <w:rPr>
          <w:rFonts w:ascii="Times New Roman" w:hAnsi="Times New Roman" w:cs="Times New Roman"/>
          <w:sz w:val="24"/>
          <w:szCs w:val="24"/>
        </w:rPr>
        <w:t xml:space="preserve"> a visão objetiva da lei leva o interprete a buscar o finalidade da norma, por meio da inve</w:t>
      </w:r>
      <w:r>
        <w:rPr>
          <w:rFonts w:ascii="Times New Roman" w:hAnsi="Times New Roman" w:cs="Times New Roman"/>
          <w:sz w:val="24"/>
          <w:szCs w:val="24"/>
        </w:rPr>
        <w:t xml:space="preserve">stigação dos valores sociais. </w:t>
      </w:r>
      <w:proofErr w:type="gramStart"/>
      <w:r w:rsidRPr="002749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4975">
        <w:rPr>
          <w:rFonts w:ascii="Times New Roman" w:hAnsi="Times New Roman" w:cs="Times New Roman"/>
          <w:sz w:val="24"/>
          <w:szCs w:val="24"/>
        </w:rPr>
        <w:t>CAMARGO, 2003. p.133-134)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Pr="00274975" w:rsidRDefault="002B6160" w:rsidP="002B6160">
      <w:pPr>
        <w:pStyle w:val="PargrafodaLista"/>
        <w:numPr>
          <w:ilvl w:val="1"/>
          <w:numId w:val="1"/>
        </w:numPr>
        <w:spacing w:before="120" w:after="120" w:line="360" w:lineRule="auto"/>
        <w:jc w:val="both"/>
        <w:rPr>
          <w:rFonts w:ascii="Times New Roman" w:hAnsi="Times New Roman"/>
          <w:b/>
        </w:rPr>
      </w:pPr>
      <w:r w:rsidRPr="00274975">
        <w:rPr>
          <w:rFonts w:ascii="Times New Roman" w:hAnsi="Times New Roman"/>
          <w:b/>
        </w:rPr>
        <w:t>Como os efeitos da interpretação atingem os direitos dos cidadãos:</w:t>
      </w:r>
      <w:r w:rsidRPr="00274975">
        <w:rPr>
          <w:rFonts w:ascii="Times New Roman" w:hAnsi="Times New Roman"/>
          <w:b/>
        </w:rPr>
        <w:tab/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Onde se tem</w:t>
      </w:r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ser humano, há a interpretação, pois ele depen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dela para que consiga perceber</w:t>
      </w:r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suas características.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(FALCÃO, 2000.p.147). A </w:t>
      </w:r>
      <w:proofErr w:type="spellStart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>Hermeneutica</w:t>
      </w:r>
      <w:proofErr w:type="spellEnd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jurídica </w:t>
      </w:r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é exercida a partir da análise de textos normativos integrais e faz uso de vários métodos, sendo um deles o </w:t>
      </w:r>
      <w:r w:rsidRPr="00274975">
        <w:rPr>
          <w:rFonts w:ascii="Times New Roman" w:hAnsi="Times New Roman" w:cs="Times New Roman"/>
          <w:sz w:val="24"/>
          <w:szCs w:val="24"/>
        </w:rPr>
        <w:t xml:space="preserve">sociológico que busca efetivar a norma adequando-a á realidade social, evitando assim que se abra um abismo entre eles. </w:t>
      </w:r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 é praticada por meio da interpretação que proporciona a sociedade o esclarecimento do conteúdo normativo, mostrando o verdadeiro sentido daquele texto, sendo que para se </w:t>
      </w:r>
      <w:proofErr w:type="gramStart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>ter</w:t>
      </w:r>
      <w:proofErr w:type="gramEnd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compreensão mais acertada, é preciso conectar a norma a realidade social, pois por mais que a norma consiga satisfazer os conflitos da sociedade, ela nunca permanecerá continuamente dentro do contexto social, devido a velocidade em que a sociedade se modifica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>GRAU, 2002. p. 79-81).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o desenvolvimento social faz-se necessário adequar a interpretação da norma com as mudanças da sociedade, pois o direito é também um fenômeno cultural e social, o que dará origem a novas compreensões sem que seja preciso mudar a letra do texto normativo. O interprete do direito então terá a função de mediar </w:t>
      </w:r>
      <w:proofErr w:type="gramStart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relação entre a sociedade e o sistema jurídico, buscando sempre interpretar as normas de forma tal que a verdadeira finalidade da norma seja atendida. </w:t>
      </w:r>
      <w:proofErr w:type="gramStart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>BARROSO, 98. p. 131)</w:t>
      </w: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norma jurídica sendo composta por uma linguagem rebuscada afasta a sociedade das normas e dificulta o entendimento do direito. Com a interpretação, os estudiosos convertem a gramática da norma para uma mais acessível, </w:t>
      </w:r>
      <w:proofErr w:type="spellStart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>alem</w:t>
      </w:r>
      <w:proofErr w:type="spellEnd"/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ligá-la ao contexto social, pois a sociedade vive em constante mudança. A possibilidade de interpretação representa o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xercício da democracia, pois alé</w:t>
      </w:r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>m da analise ser feito por juristas competentes (interpretes autênticos) pode também ser realizada por qualquer cidadão comum (interprete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não autênticos), embora este ú</w:t>
      </w:r>
      <w:r w:rsidRPr="0027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ltimo não influencie tão diretamente no sistema jurídico. </w:t>
      </w:r>
    </w:p>
    <w:p w:rsidR="002B6160" w:rsidRPr="00274975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6160" w:rsidRPr="00D02109" w:rsidRDefault="002B6160" w:rsidP="002B616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109">
        <w:rPr>
          <w:rFonts w:ascii="Times New Roman" w:hAnsi="Times New Roman" w:cs="Times New Roman"/>
          <w:b/>
          <w:sz w:val="24"/>
          <w:szCs w:val="24"/>
        </w:rPr>
        <w:t>2. União estável: interpretação conforme a vontade do legislador?</w:t>
      </w: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decisão do STF de reconhecer a união estável para casais homossexuais através da ADI 4277 e da ADPF 132 foi como será visto, uma mudança na interpretação do texto constitucional.</w:t>
      </w:r>
    </w:p>
    <w:p w:rsidR="002B6160" w:rsidRDefault="002B6160" w:rsidP="002B6160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226 parágrafo 3º da Constituição Federal diz: “A família, base da sociedade, tem especial proteção do Estado. Para efeito da proteção do Estado, é reconhecida união estável entre homem e mulher como entidade familiar, devendo a lei </w:t>
      </w:r>
      <w:r>
        <w:rPr>
          <w:rFonts w:ascii="Times New Roman" w:hAnsi="Times New Roman" w:cs="Times New Roman"/>
          <w:sz w:val="24"/>
          <w:szCs w:val="24"/>
        </w:rPr>
        <w:lastRenderedPageBreak/>
        <w:t>facilitar sua conversão em casamento.” Ao tempo da positivação dessa norma, a cultura e os costumes da sociedade se encaixavam perfeitamente nessa descrição, pois como disse Maria Berenice Dias:</w:t>
      </w:r>
      <w:r w:rsidRPr="00621D59">
        <w:rPr>
          <w:rFonts w:ascii="Arial" w:hAnsi="Arial" w:cs="Arial"/>
          <w:sz w:val="20"/>
          <w:szCs w:val="20"/>
        </w:rPr>
        <w:t xml:space="preserve"> </w:t>
      </w:r>
    </w:p>
    <w:p w:rsidR="002B6160" w:rsidRDefault="002B6160" w:rsidP="002B6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B6160" w:rsidRPr="002B6160" w:rsidRDefault="002B6160" w:rsidP="002B6160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2B6160">
        <w:rPr>
          <w:rFonts w:ascii="Times New Roman" w:hAnsi="Times New Roman" w:cs="Times New Roman"/>
          <w:sz w:val="20"/>
          <w:szCs w:val="20"/>
        </w:rPr>
        <w:t xml:space="preserve">A família assim tutelada pelo Estado sempre teve um perfil patriarcal, sendo uma relação hierarquizada, </w:t>
      </w:r>
      <w:proofErr w:type="spellStart"/>
      <w:r w:rsidRPr="002B6160">
        <w:rPr>
          <w:rFonts w:ascii="Times New Roman" w:hAnsi="Times New Roman" w:cs="Times New Roman"/>
          <w:sz w:val="20"/>
          <w:szCs w:val="20"/>
        </w:rPr>
        <w:t>patrimonializada</w:t>
      </w:r>
      <w:proofErr w:type="spellEnd"/>
      <w:r w:rsidRPr="002B6160">
        <w:rPr>
          <w:rFonts w:ascii="Times New Roman" w:hAnsi="Times New Roman" w:cs="Times New Roman"/>
          <w:sz w:val="20"/>
          <w:szCs w:val="20"/>
        </w:rPr>
        <w:t xml:space="preserve">, verticalizada e, é claro, heterossexual. O homem era o chefe da sociedade conjugal, o cabeça do </w:t>
      </w:r>
      <w:proofErr w:type="spellStart"/>
      <w:proofErr w:type="gramStart"/>
      <w:r w:rsidRPr="002B6160">
        <w:rPr>
          <w:rFonts w:ascii="Times New Roman" w:hAnsi="Times New Roman" w:cs="Times New Roman"/>
          <w:sz w:val="20"/>
          <w:szCs w:val="20"/>
        </w:rPr>
        <w:t>casal,</w:t>
      </w:r>
      <w:proofErr w:type="gramEnd"/>
      <w:r w:rsidRPr="002B6160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B6160">
        <w:rPr>
          <w:rFonts w:ascii="Times New Roman" w:hAnsi="Times New Roman" w:cs="Times New Roman"/>
          <w:sz w:val="20"/>
          <w:szCs w:val="20"/>
        </w:rPr>
        <w:t xml:space="preserve"> administrador dos bens da família.( DIAS, s/d)</w:t>
      </w:r>
    </w:p>
    <w:p w:rsidR="002B6160" w:rsidRDefault="002B6160" w:rsidP="002B6160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Ocorre que novos modelos de famílias foram se apresentando a sociedade ao longo do tempo, como: homens e mulheres solteiros que criam seus filhos (ou até mesmo adotam crianças) sem a participação do cônjuge, irmãos que vivem sem </w:t>
      </w:r>
      <w:proofErr w:type="gramStart"/>
      <w:r>
        <w:rPr>
          <w:rFonts w:ascii="Times New Roman" w:hAnsi="Times New Roman" w:cs="Times New Roman"/>
          <w:sz w:val="24"/>
          <w:szCs w:val="24"/>
        </w:rPr>
        <w:t>os país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por fim os casais homossexuais.</w:t>
      </w:r>
    </w:p>
    <w:p w:rsidR="002B6160" w:rsidRDefault="002B6160" w:rsidP="002B616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os exemplos citados guardam semelhança com o modelo de família tradicional, diferindo-se, especialmente nos casos da união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homoafetiva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pelo gênero dos seus componentes.</w:t>
      </w:r>
    </w:p>
    <w:p w:rsidR="002B6160" w:rsidRDefault="002B6160" w:rsidP="002B6160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bem observou</w:t>
      </w:r>
      <w:r w:rsidRPr="00372CB0">
        <w:rPr>
          <w:rFonts w:ascii="Times New Roman" w:hAnsi="Times New Roman" w:cs="Times New Roman"/>
          <w:sz w:val="24"/>
          <w:szCs w:val="24"/>
        </w:rPr>
        <w:t xml:space="preserve"> Dias, a </w:t>
      </w:r>
      <w:r>
        <w:rPr>
          <w:rFonts w:ascii="Times New Roman" w:hAnsi="Times New Roman" w:cs="Times New Roman"/>
          <w:sz w:val="24"/>
          <w:szCs w:val="24"/>
        </w:rPr>
        <w:t>sociedade é dinâmica, e dela foram</w:t>
      </w:r>
      <w:r w:rsidRPr="00372CB0">
        <w:rPr>
          <w:rFonts w:ascii="Times New Roman" w:hAnsi="Times New Roman" w:cs="Times New Roman"/>
          <w:sz w:val="24"/>
          <w:szCs w:val="24"/>
        </w:rPr>
        <w:t xml:space="preserve"> surgindo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CB0">
        <w:rPr>
          <w:rFonts w:ascii="Times New Roman" w:hAnsi="Times New Roman" w:cs="Times New Roman"/>
          <w:sz w:val="24"/>
          <w:szCs w:val="24"/>
        </w:rPr>
        <w:t>novos</w:t>
      </w:r>
      <w:r>
        <w:rPr>
          <w:rFonts w:ascii="Times New Roman" w:hAnsi="Times New Roman" w:cs="Times New Roman"/>
          <w:sz w:val="24"/>
          <w:szCs w:val="24"/>
        </w:rPr>
        <w:t xml:space="preserve"> modelos de família que precisavam</w:t>
      </w:r>
      <w:r w:rsidRPr="00372CB0">
        <w:rPr>
          <w:rFonts w:ascii="Times New Roman" w:hAnsi="Times New Roman" w:cs="Times New Roman"/>
          <w:sz w:val="24"/>
          <w:szCs w:val="24"/>
        </w:rPr>
        <w:t xml:space="preserve"> ser protegidos pela legislação. A realidade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CB0">
        <w:rPr>
          <w:rFonts w:ascii="Times New Roman" w:hAnsi="Times New Roman" w:cs="Times New Roman"/>
          <w:sz w:val="24"/>
          <w:szCs w:val="24"/>
        </w:rPr>
        <w:t>social mostra hoje novos modelos de união que, por uma questão de direitos</w:t>
      </w:r>
      <w:r>
        <w:rPr>
          <w:rFonts w:ascii="Times New Roman" w:hAnsi="Times New Roman" w:cs="Times New Roman"/>
          <w:sz w:val="24"/>
          <w:szCs w:val="24"/>
        </w:rPr>
        <w:t xml:space="preserve"> fundamentais, deveriam ser reconhecidos.</w:t>
      </w:r>
    </w:p>
    <w:p w:rsidR="002B6160" w:rsidRDefault="002B6160" w:rsidP="002B6160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Gilmar Ferreira Mendes, Inocêncio Mártires Coelho e Paulo Gustavo </w:t>
      </w:r>
      <w:proofErr w:type="spellStart"/>
      <w:r>
        <w:rPr>
          <w:rFonts w:ascii="Times New Roman" w:hAnsi="Times New Roman" w:cs="Times New Roman"/>
          <w:sz w:val="24"/>
          <w:szCs w:val="24"/>
        </w:rPr>
        <w:t>Gonet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Branco apresentaram diferentes métodos interpretativos aplicáveis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interpretação constitucional e que justificam uma interpretação extensiva, possibilitando deste modo, o reconhecimento da união estável para casais homossexuais. </w:t>
      </w:r>
      <w:proofErr w:type="gramStart"/>
      <w:r>
        <w:rPr>
          <w:rFonts w:ascii="Times New Roman" w:hAnsi="Times New Roman" w:cs="Times New Roman"/>
          <w:sz w:val="24"/>
          <w:szCs w:val="24"/>
        </w:rPr>
        <w:t>Foram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dados como exemplos o método tópico- problemático que é aquela que adapta a constituição a um caso concreto de forma que sua interpretação seja mais convincente para o problema, o científico-espiritual que leva em consideração muito mais o conteúdo axiológico da norma constitucional do que os próprios conceitos do texto. Ainda justificando o último método afirmam eles:</w:t>
      </w:r>
    </w:p>
    <w:p w:rsidR="002B6160" w:rsidRDefault="002B6160" w:rsidP="002B6160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B6160" w:rsidRDefault="002B6160" w:rsidP="002B6160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A0073">
        <w:rPr>
          <w:rFonts w:ascii="Times New Roman" w:hAnsi="Times New Roman" w:cs="Times New Roman"/>
          <w:sz w:val="20"/>
          <w:szCs w:val="20"/>
        </w:rPr>
        <w:t xml:space="preserve">A essa luz, portanto, em que a Constituição parece como instrumento ordenador da totalidade da vida do Estado, do seu processo de integração e, também da própria dinâmica social, esta não apenas permite, como igualmente exige </w:t>
      </w:r>
      <w:proofErr w:type="spellStart"/>
      <w:r w:rsidRPr="00BA0073">
        <w:rPr>
          <w:rFonts w:ascii="Times New Roman" w:hAnsi="Times New Roman" w:cs="Times New Roman"/>
          <w:sz w:val="20"/>
          <w:szCs w:val="20"/>
        </w:rPr>
        <w:t>ma</w:t>
      </w:r>
      <w:proofErr w:type="spellEnd"/>
      <w:r w:rsidRPr="00BA0073">
        <w:rPr>
          <w:rFonts w:ascii="Times New Roman" w:hAnsi="Times New Roman" w:cs="Times New Roman"/>
          <w:sz w:val="20"/>
          <w:szCs w:val="20"/>
        </w:rPr>
        <w:t xml:space="preserve"> interpretação extensiva e flexível [...]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B6160" w:rsidRPr="00BA0073" w:rsidRDefault="002B6160" w:rsidP="002B6160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160" w:rsidRPr="002B6160" w:rsidRDefault="002B6160" w:rsidP="002B6160">
      <w:pPr>
        <w:pStyle w:val="Ttulo2"/>
        <w:shd w:val="clear" w:color="auto" w:fill="FFFFFF"/>
        <w:spacing w:before="120" w:after="120" w:line="360" w:lineRule="auto"/>
        <w:ind w:firstLine="851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2B6160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lastRenderedPageBreak/>
        <w:t xml:space="preserve">Por fim existe ainda o método normativo-estruturante que exige para a concretização normativa, uma conexão com as suas funções, levando-se deste modo em conta dois elementos: primeiro, literal, resultante da interpretação do texto da norma (programa normativo), e, segundo, a investigação do domínio normativo </w:t>
      </w:r>
      <w:proofErr w:type="gramStart"/>
      <w:r w:rsidRPr="002B6160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( </w:t>
      </w:r>
      <w:proofErr w:type="gramEnd"/>
      <w:r w:rsidRPr="002B6160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pedaço da realidade social).(</w:t>
      </w:r>
      <w:r w:rsidRPr="002B616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B6160">
        <w:rPr>
          <w:rFonts w:ascii="Times New Roman" w:hAnsi="Times New Roman" w:cs="Times New Roman"/>
          <w:b w:val="0"/>
          <w:i w:val="0"/>
          <w:sz w:val="24"/>
          <w:szCs w:val="24"/>
        </w:rPr>
        <w:t>KALABAIDE</w:t>
      </w:r>
      <w:r w:rsidRPr="002B6160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, 2005)</w:t>
      </w:r>
    </w:p>
    <w:p w:rsidR="002B6160" w:rsidRDefault="002B6160" w:rsidP="002B6160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D44">
        <w:rPr>
          <w:rFonts w:ascii="Times New Roman" w:eastAsia="Times New Roman" w:hAnsi="Times New Roman" w:cs="Times New Roman"/>
          <w:color w:val="000000"/>
          <w:sz w:val="24"/>
          <w:szCs w:val="24"/>
        </w:rPr>
        <w:t>A interpretação segundo a vontade do legislador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como já foi dito,</w:t>
      </w:r>
      <w:r w:rsidRPr="00236D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se limita só ao texto legal, uma vez que se chega a admitir que, em algumas vezes, o texto não é capaz de traduzir todas as vontades do legislador. Logo, torna-se imperioso, estudar o instante histórico da edição do texto normativo, confrontar os debates parlamentares, apurar as discussões que se travaram à época, observar o processo legislativo, enfim, aclarar o contexto do instante no qual dado texto normativo passou a existir, os motivos que levaram o legislador a editar tal texto e os fins que o legislador perseguia com esta produção.</w:t>
      </w:r>
      <w:r w:rsidRPr="008561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0D0B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SILVA,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2009</w:t>
      </w:r>
      <w:r w:rsidRPr="000D0B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2B6160" w:rsidRPr="008561D6" w:rsidRDefault="002B6160" w:rsidP="002B6160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observado todos os métodos interpretativos apresentados levaram a possibilidade da concessão do referido direito aos homossexuais, de forma que a Constituição pôde abarcar de forma mais igualitária seus cidadãos.</w:t>
      </w:r>
    </w:p>
    <w:p w:rsidR="002B6160" w:rsidRDefault="002B6160" w:rsidP="002B616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160" w:rsidRPr="002B6160" w:rsidRDefault="002B6160" w:rsidP="002B616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D59">
        <w:rPr>
          <w:rFonts w:ascii="Times New Roman" w:hAnsi="Times New Roman" w:cs="Times New Roman"/>
          <w:b/>
          <w:sz w:val="24"/>
          <w:szCs w:val="24"/>
        </w:rPr>
        <w:t>Conclusão:</w:t>
      </w:r>
    </w:p>
    <w:p w:rsidR="002B6160" w:rsidRPr="00621D59" w:rsidRDefault="002B6160" w:rsidP="002B6160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rpretação nada mais é que</w:t>
      </w: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 xml:space="preserve"> um instrumento, uma ferramenta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a exploração de uma nova construção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jurídica, </w:t>
      </w: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>que deve ser vista a partir da tex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tura aberta do direito e que deve ser feita para se alcançar o melhor uso do Direito.</w:t>
      </w:r>
    </w:p>
    <w:p w:rsidR="002B6160" w:rsidRPr="00621D59" w:rsidRDefault="002B6160" w:rsidP="002B6160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>Quem interpreta é sempre um sujeito histórico, concreto, que está co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locado no mundo sobre o qual </w:t>
      </w: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 xml:space="preserve">está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apto </w:t>
      </w: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 xml:space="preserve">a interpretar. O intérprete é um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integrante do mundo. </w:t>
      </w: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>Se interpretar é compreender e somente pela compreensão é possível se interpretar, não se pode buscar uma compreensão de um texto legal a partir de palavras isoladas, senão pelo seu conjunto, aí sim a lei ganha sentido.</w:t>
      </w:r>
    </w:p>
    <w:p w:rsidR="002B6160" w:rsidRDefault="002B6160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É </w:t>
      </w: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>no momento em que se utiliza o direito com sua textura aberta,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que se encontra sua razão de ser,</w:t>
      </w:r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 xml:space="preserve"> porque somente dessa maneira que se poder dar abrigo </w:t>
      </w:r>
      <w:proofErr w:type="gramStart"/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>à</w:t>
      </w:r>
      <w:proofErr w:type="gramEnd"/>
      <w:r w:rsidRPr="00621D59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interpretações que venham a atender os interesses sociais, pois somente se inserindo no mundo em que se vai interpretar é que é possível fazer a utilização dos princípios gerais do direito e dos costumes e da tradição.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Desta forma, a vitória alcançada pelos homossexuais nos dias de hoje, prova que o interprete utilizou das ideologias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compartilhadas pelos sujeitos de direitos da sociedade atual, e permitiu que uma norma a</w:t>
      </w:r>
      <w:r w:rsidR="001A3EAD">
        <w:rPr>
          <w:rFonts w:ascii="Times New Roman" w:eastAsia="Times New Roman" w:hAnsi="Times New Roman" w:cs="Times New Roman"/>
          <w:bCs/>
          <w:sz w:val="24"/>
          <w:szCs w:val="24"/>
        </w:rPr>
        <w:t xml:space="preserve">lcançasse seu âmbito jurídico. </w:t>
      </w: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215" w:rsidRPr="001A3EAD" w:rsidRDefault="00B21215" w:rsidP="001A3EAD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B6160" w:rsidRDefault="002B6160" w:rsidP="002B616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F80">
        <w:rPr>
          <w:rFonts w:ascii="Times New Roman" w:hAnsi="Times New Roman" w:cs="Times New Roman"/>
          <w:b/>
          <w:sz w:val="24"/>
          <w:szCs w:val="24"/>
        </w:rPr>
        <w:lastRenderedPageBreak/>
        <w:t>REFERÊNCIAS:</w:t>
      </w:r>
    </w:p>
    <w:p w:rsidR="002B6160" w:rsidRDefault="002B6160" w:rsidP="002B616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160" w:rsidRPr="0073081E" w:rsidRDefault="002B6160" w:rsidP="001A3EA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6CF">
        <w:rPr>
          <w:rFonts w:ascii="Times New Roman" w:hAnsi="Times New Roman" w:cs="Times New Roman"/>
          <w:b/>
          <w:sz w:val="24"/>
          <w:szCs w:val="24"/>
        </w:rPr>
        <w:t xml:space="preserve">A união </w:t>
      </w:r>
      <w:proofErr w:type="spellStart"/>
      <w:r w:rsidRPr="006C26CF">
        <w:rPr>
          <w:rFonts w:ascii="Times New Roman" w:hAnsi="Times New Roman" w:cs="Times New Roman"/>
          <w:b/>
          <w:sz w:val="24"/>
          <w:szCs w:val="24"/>
        </w:rPr>
        <w:t>homoafetiva</w:t>
      </w:r>
      <w:proofErr w:type="spellEnd"/>
      <w:r w:rsidRPr="006C26CF">
        <w:rPr>
          <w:rFonts w:ascii="Times New Roman" w:hAnsi="Times New Roman" w:cs="Times New Roman"/>
          <w:b/>
          <w:sz w:val="24"/>
          <w:szCs w:val="24"/>
        </w:rPr>
        <w:t xml:space="preserve"> sob a perspectiva constitucional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81E">
        <w:rPr>
          <w:rFonts w:ascii="Times New Roman" w:hAnsi="Times New Roman" w:cs="Times New Roman"/>
          <w:sz w:val="24"/>
          <w:szCs w:val="24"/>
        </w:rPr>
        <w:t>Disponével</w:t>
      </w:r>
      <w:proofErr w:type="spellEnd"/>
      <w:r w:rsidRPr="0073081E">
        <w:rPr>
          <w:rFonts w:ascii="Times New Roman" w:hAnsi="Times New Roman" w:cs="Times New Roman"/>
          <w:sz w:val="24"/>
          <w:szCs w:val="24"/>
        </w:rPr>
        <w:t xml:space="preserve"> em:</w:t>
      </w:r>
      <w:r w:rsidRPr="007308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hyperlink r:id="rId8" w:history="1">
        <w:r w:rsidRPr="002B616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http://www.anima-opet.com.br/pdf/anima5-NIC/Tomas.pdf</w:t>
        </w:r>
      </w:hyperlink>
      <w:r w:rsidRPr="002B6160">
        <w:rPr>
          <w:rFonts w:ascii="Times New Roman" w:hAnsi="Times New Roman" w:cs="Times New Roman"/>
          <w:color w:val="000000" w:themeColor="text1"/>
          <w:sz w:val="24"/>
          <w:szCs w:val="24"/>
        </w:rPr>
        <w:t>&gt; Acesso</w:t>
      </w:r>
      <w:r w:rsidRPr="007308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em: 04.11.11</w:t>
      </w: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1E">
        <w:rPr>
          <w:rFonts w:ascii="Times New Roman" w:hAnsi="Times New Roman" w:cs="Times New Roman"/>
          <w:sz w:val="24"/>
          <w:szCs w:val="24"/>
        </w:rPr>
        <w:t>BARROSO, Luís Roberto.</w:t>
      </w:r>
      <w:r w:rsidRPr="0073081E">
        <w:rPr>
          <w:rFonts w:ascii="Times New Roman" w:hAnsi="Times New Roman" w:cs="Times New Roman"/>
          <w:b/>
          <w:sz w:val="24"/>
          <w:szCs w:val="24"/>
        </w:rPr>
        <w:t xml:space="preserve"> Interpretação e aplicação da constituição: </w:t>
      </w:r>
      <w:r w:rsidRPr="0073081E">
        <w:rPr>
          <w:rFonts w:ascii="Times New Roman" w:hAnsi="Times New Roman" w:cs="Times New Roman"/>
          <w:sz w:val="24"/>
          <w:szCs w:val="24"/>
        </w:rPr>
        <w:t xml:space="preserve">fundamentos de uma dogmática constitucional transformadora. </w:t>
      </w:r>
      <w:proofErr w:type="gramStart"/>
      <w:r w:rsidRPr="0073081E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73081E">
        <w:rPr>
          <w:rFonts w:ascii="Times New Roman" w:hAnsi="Times New Roman" w:cs="Times New Roman"/>
          <w:sz w:val="24"/>
          <w:szCs w:val="24"/>
        </w:rPr>
        <w:t>ed. :Saraiva, São Paulo, 1998.</w:t>
      </w: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1E">
        <w:rPr>
          <w:rFonts w:ascii="Times New Roman" w:hAnsi="Times New Roman" w:cs="Times New Roman"/>
          <w:sz w:val="24"/>
          <w:szCs w:val="24"/>
        </w:rPr>
        <w:t xml:space="preserve">CAMARGO, Margarida Maria Lacombe. </w:t>
      </w:r>
      <w:r w:rsidRPr="0073081E">
        <w:rPr>
          <w:rFonts w:ascii="Times New Roman" w:hAnsi="Times New Roman" w:cs="Times New Roman"/>
          <w:b/>
          <w:sz w:val="24"/>
          <w:szCs w:val="24"/>
        </w:rPr>
        <w:t xml:space="preserve">Hermenêutica e argumentação: </w:t>
      </w:r>
      <w:r w:rsidRPr="0073081E">
        <w:rPr>
          <w:rFonts w:ascii="Times New Roman" w:hAnsi="Times New Roman" w:cs="Times New Roman"/>
          <w:sz w:val="24"/>
          <w:szCs w:val="24"/>
        </w:rPr>
        <w:t xml:space="preserve">uma contribuição ao estudo do direito. </w:t>
      </w:r>
      <w:proofErr w:type="gramStart"/>
      <w:r w:rsidRPr="0073081E"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Pr="0073081E">
        <w:rPr>
          <w:rFonts w:ascii="Times New Roman" w:hAnsi="Times New Roman" w:cs="Times New Roman"/>
          <w:sz w:val="24"/>
          <w:szCs w:val="24"/>
        </w:rPr>
        <w:t>ed. Rio de Janeiro: Renovar, 2003.</w:t>
      </w:r>
    </w:p>
    <w:p w:rsidR="002B6160" w:rsidRDefault="002B6160" w:rsidP="001A3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1A3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Pr="0073081E" w:rsidRDefault="002B6160" w:rsidP="001A3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1E">
        <w:rPr>
          <w:rFonts w:ascii="Times New Roman" w:hAnsi="Times New Roman" w:cs="Times New Roman"/>
          <w:sz w:val="24"/>
          <w:szCs w:val="24"/>
        </w:rPr>
        <w:t xml:space="preserve">DIAS, Maria Berenice. A </w:t>
      </w:r>
      <w:r w:rsidRPr="0073081E">
        <w:rPr>
          <w:rFonts w:ascii="Times New Roman" w:hAnsi="Times New Roman" w:cs="Times New Roman"/>
          <w:b/>
          <w:sz w:val="24"/>
          <w:szCs w:val="24"/>
        </w:rPr>
        <w:t xml:space="preserve">evolução da família e seus direitos. In: </w:t>
      </w:r>
      <w:r w:rsidRPr="0073081E">
        <w:rPr>
          <w:rFonts w:ascii="Times New Roman" w:hAnsi="Times New Roman" w:cs="Times New Roman"/>
          <w:b/>
          <w:iCs/>
          <w:sz w:val="24"/>
          <w:szCs w:val="24"/>
        </w:rPr>
        <w:t>Universo Jurídico</w:t>
      </w:r>
      <w:r w:rsidRPr="0073081E">
        <w:rPr>
          <w:rFonts w:ascii="Times New Roman" w:hAnsi="Times New Roman" w:cs="Times New Roman"/>
          <w:sz w:val="24"/>
          <w:szCs w:val="24"/>
        </w:rPr>
        <w:t>. Disponível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81E">
        <w:rPr>
          <w:rFonts w:ascii="Times New Roman" w:hAnsi="Times New Roman" w:cs="Times New Roman"/>
          <w:sz w:val="24"/>
          <w:szCs w:val="24"/>
        </w:rPr>
        <w:t>&lt;http://www.uj.com.br/publicacoes/doutrinas/3229/A_EVOLUCAO_DA_FAMILIA_E_SEUS_DIREITOS&gt;</w:t>
      </w:r>
      <w:proofErr w:type="gramStart"/>
      <w:r w:rsidRPr="007308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081E">
        <w:rPr>
          <w:rFonts w:ascii="Times New Roman" w:hAnsi="Times New Roman" w:cs="Times New Roman"/>
          <w:sz w:val="24"/>
          <w:szCs w:val="24"/>
        </w:rPr>
        <w:t xml:space="preserve">Acesso em:04. </w:t>
      </w:r>
      <w:proofErr w:type="gramStart"/>
      <w:r w:rsidRPr="0073081E">
        <w:rPr>
          <w:rFonts w:ascii="Times New Roman" w:hAnsi="Times New Roman" w:cs="Times New Roman"/>
          <w:sz w:val="24"/>
          <w:szCs w:val="24"/>
        </w:rPr>
        <w:t>nov.</w:t>
      </w:r>
      <w:proofErr w:type="gramEnd"/>
      <w:r w:rsidRPr="0073081E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Pr="0073081E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1E">
        <w:rPr>
          <w:rFonts w:ascii="Times New Roman" w:hAnsi="Times New Roman" w:cs="Times New Roman"/>
          <w:sz w:val="24"/>
          <w:szCs w:val="24"/>
        </w:rPr>
        <w:t xml:space="preserve">FALCÃO, Raimundo Bezerra. </w:t>
      </w:r>
      <w:r w:rsidRPr="0073081E">
        <w:rPr>
          <w:rFonts w:ascii="Times New Roman" w:hAnsi="Times New Roman" w:cs="Times New Roman"/>
          <w:b/>
          <w:sz w:val="24"/>
          <w:szCs w:val="24"/>
        </w:rPr>
        <w:t>Hermenêutica</w:t>
      </w:r>
      <w:r w:rsidRPr="0073081E">
        <w:rPr>
          <w:rFonts w:ascii="Times New Roman" w:hAnsi="Times New Roman" w:cs="Times New Roman"/>
          <w:sz w:val="24"/>
          <w:szCs w:val="24"/>
        </w:rPr>
        <w:t xml:space="preserve">. 1. </w:t>
      </w:r>
      <w:proofErr w:type="gramStart"/>
      <w:r w:rsidRPr="0073081E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73081E">
        <w:rPr>
          <w:rFonts w:ascii="Times New Roman" w:hAnsi="Times New Roman" w:cs="Times New Roman"/>
          <w:sz w:val="24"/>
          <w:szCs w:val="24"/>
        </w:rPr>
        <w:t xml:space="preserve"> São Paulo: Malheiros, 2000.</w:t>
      </w: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Pr="0073081E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1E">
        <w:rPr>
          <w:rFonts w:ascii="Times New Roman" w:hAnsi="Times New Roman" w:cs="Times New Roman"/>
          <w:sz w:val="24"/>
          <w:szCs w:val="24"/>
        </w:rPr>
        <w:t xml:space="preserve">GRAU, Eros Roberto. </w:t>
      </w:r>
      <w:r w:rsidRPr="0073081E">
        <w:rPr>
          <w:rFonts w:ascii="Times New Roman" w:hAnsi="Times New Roman" w:cs="Times New Roman"/>
          <w:b/>
          <w:sz w:val="24"/>
          <w:szCs w:val="24"/>
        </w:rPr>
        <w:t xml:space="preserve">Ensaio e discurso sobre a interpretação / aplicação do direito. </w:t>
      </w:r>
      <w:r w:rsidRPr="0073081E">
        <w:rPr>
          <w:rFonts w:ascii="Times New Roman" w:hAnsi="Times New Roman" w:cs="Times New Roman"/>
          <w:sz w:val="24"/>
          <w:szCs w:val="24"/>
        </w:rPr>
        <w:t>São Paulo: Malheiros, 2002.</w:t>
      </w:r>
    </w:p>
    <w:p w:rsidR="002B6160" w:rsidRDefault="002B6160" w:rsidP="001A3EA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1A3EA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Pr="0073081E" w:rsidRDefault="002B6160" w:rsidP="001A3EA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1E">
        <w:rPr>
          <w:rFonts w:ascii="Times New Roman" w:hAnsi="Times New Roman" w:cs="Times New Roman"/>
          <w:sz w:val="24"/>
          <w:szCs w:val="24"/>
        </w:rPr>
        <w:t xml:space="preserve">KALABAIDE, Miguel. </w:t>
      </w:r>
      <w:r w:rsidRPr="0073081E">
        <w:rPr>
          <w:rFonts w:ascii="Times New Roman" w:hAnsi="Times New Roman" w:cs="Times New Roman"/>
          <w:b/>
          <w:sz w:val="24"/>
          <w:szCs w:val="24"/>
        </w:rPr>
        <w:t xml:space="preserve">Métodos e princípios de interpretação constitucional. </w:t>
      </w:r>
      <w:r w:rsidRPr="0073081E">
        <w:rPr>
          <w:rFonts w:ascii="Times New Roman" w:hAnsi="Times New Roman" w:cs="Times New Roman"/>
          <w:sz w:val="24"/>
          <w:szCs w:val="24"/>
        </w:rPr>
        <w:t>Disponível em:</w:t>
      </w:r>
      <w:r w:rsidRPr="0073081E">
        <w:rPr>
          <w:rFonts w:ascii="Times New Roman" w:hAnsi="Times New Roman" w:cs="Times New Roman"/>
          <w:b/>
          <w:sz w:val="24"/>
          <w:szCs w:val="24"/>
        </w:rPr>
        <w:t xml:space="preserve">&lt; </w:t>
      </w:r>
      <w:proofErr w:type="gramStart"/>
      <w:r w:rsidRPr="0073081E">
        <w:rPr>
          <w:rFonts w:ascii="Times New Roman" w:hAnsi="Times New Roman" w:cs="Times New Roman"/>
          <w:sz w:val="24"/>
          <w:szCs w:val="24"/>
        </w:rPr>
        <w:t>http://www.cursoaprovacao.com.br/cms/artigo.</w:t>
      </w:r>
      <w:proofErr w:type="gramEnd"/>
      <w:r w:rsidRPr="0073081E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73081E">
        <w:rPr>
          <w:rFonts w:ascii="Times New Roman" w:hAnsi="Times New Roman" w:cs="Times New Roman"/>
          <w:sz w:val="24"/>
          <w:szCs w:val="24"/>
        </w:rPr>
        <w:t>cod</w:t>
      </w:r>
      <w:proofErr w:type="gramEnd"/>
      <w:r w:rsidRPr="0073081E">
        <w:rPr>
          <w:rFonts w:ascii="Times New Roman" w:hAnsi="Times New Roman" w:cs="Times New Roman"/>
          <w:sz w:val="24"/>
          <w:szCs w:val="24"/>
        </w:rPr>
        <w:t>=659&gt; Acesso em: 04.11.11</w:t>
      </w: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Pr="0073081E" w:rsidRDefault="002B6160" w:rsidP="001A3E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1E">
        <w:rPr>
          <w:rFonts w:ascii="Times New Roman" w:hAnsi="Times New Roman" w:cs="Times New Roman"/>
          <w:sz w:val="24"/>
          <w:szCs w:val="24"/>
        </w:rPr>
        <w:t xml:space="preserve">MAXIMILIANO, Carlos. </w:t>
      </w:r>
      <w:proofErr w:type="spellStart"/>
      <w:r w:rsidRPr="0073081E">
        <w:rPr>
          <w:rFonts w:ascii="Times New Roman" w:hAnsi="Times New Roman" w:cs="Times New Roman"/>
          <w:b/>
          <w:sz w:val="24"/>
          <w:szCs w:val="24"/>
        </w:rPr>
        <w:t>Hermêneutica</w:t>
      </w:r>
      <w:proofErr w:type="spellEnd"/>
      <w:r w:rsidRPr="0073081E">
        <w:rPr>
          <w:rFonts w:ascii="Times New Roman" w:hAnsi="Times New Roman" w:cs="Times New Roman"/>
          <w:b/>
          <w:sz w:val="24"/>
          <w:szCs w:val="24"/>
        </w:rPr>
        <w:t xml:space="preserve"> e aplicação do direito. </w:t>
      </w:r>
      <w:proofErr w:type="gramStart"/>
      <w:r w:rsidRPr="0073081E">
        <w:rPr>
          <w:rFonts w:ascii="Times New Roman" w:hAnsi="Times New Roman" w:cs="Times New Roman"/>
          <w:sz w:val="24"/>
          <w:szCs w:val="24"/>
        </w:rPr>
        <w:t>19 .</w:t>
      </w:r>
      <w:proofErr w:type="gramEnd"/>
      <w:r w:rsidRPr="0073081E">
        <w:rPr>
          <w:rFonts w:ascii="Times New Roman" w:hAnsi="Times New Roman" w:cs="Times New Roman"/>
          <w:sz w:val="24"/>
          <w:szCs w:val="24"/>
        </w:rPr>
        <w:t>ed. Rio de Janeiro: Forense, 2002</w:t>
      </w:r>
    </w:p>
    <w:p w:rsidR="002B6160" w:rsidRDefault="002B6160" w:rsidP="001A3EA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60" w:rsidRDefault="002B6160" w:rsidP="001A3EA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547" w:rsidRPr="001A3EAD" w:rsidRDefault="002B6160" w:rsidP="001A3EA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160">
        <w:rPr>
          <w:rFonts w:ascii="Times New Roman" w:hAnsi="Times New Roman" w:cs="Times New Roman"/>
          <w:sz w:val="24"/>
          <w:szCs w:val="24"/>
        </w:rPr>
        <w:t xml:space="preserve">SILVA, João Fernando Vieira. </w:t>
      </w:r>
      <w:r w:rsidRPr="002B6160">
        <w:rPr>
          <w:rFonts w:ascii="Times New Roman" w:hAnsi="Times New Roman" w:cs="Times New Roman"/>
          <w:b/>
          <w:sz w:val="24"/>
          <w:szCs w:val="24"/>
        </w:rPr>
        <w:t>A interpretação segundo a vontade do legislador</w:t>
      </w:r>
      <w:r w:rsidRPr="002B6160">
        <w:rPr>
          <w:rFonts w:ascii="Times New Roman" w:hAnsi="Times New Roman" w:cs="Times New Roman"/>
          <w:sz w:val="24"/>
          <w:szCs w:val="24"/>
        </w:rPr>
        <w:t>. Disponível em: &lt;</w:t>
      </w:r>
      <w:hyperlink r:id="rId9" w:history="1">
        <w:r w:rsidRPr="002B616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http://www.investidura.com.br/biblioteca-juridica/artigos/hermeneutica/3830-a-interpretacao-segundo-a-vontade-do-legislador</w:t>
        </w:r>
      </w:hyperlink>
      <w:r w:rsidRPr="002B6160">
        <w:rPr>
          <w:rFonts w:ascii="Times New Roman" w:hAnsi="Times New Roman" w:cs="Times New Roman"/>
          <w:sz w:val="24"/>
          <w:szCs w:val="24"/>
        </w:rPr>
        <w:t>&gt;. Acesso em: 04.11.11.</w:t>
      </w:r>
      <w:bookmarkEnd w:id="0"/>
    </w:p>
    <w:sectPr w:rsidR="00325547" w:rsidRPr="001A3EAD" w:rsidSect="00325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2D" w:rsidRDefault="0082442D" w:rsidP="002B6160">
      <w:pPr>
        <w:spacing w:after="0" w:line="240" w:lineRule="auto"/>
      </w:pPr>
      <w:r>
        <w:separator/>
      </w:r>
    </w:p>
  </w:endnote>
  <w:endnote w:type="continuationSeparator" w:id="0">
    <w:p w:rsidR="0082442D" w:rsidRDefault="0082442D" w:rsidP="002B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2D" w:rsidRDefault="0082442D" w:rsidP="002B6160">
      <w:pPr>
        <w:spacing w:after="0" w:line="240" w:lineRule="auto"/>
      </w:pPr>
      <w:r>
        <w:separator/>
      </w:r>
    </w:p>
  </w:footnote>
  <w:footnote w:type="continuationSeparator" w:id="0">
    <w:p w:rsidR="0082442D" w:rsidRDefault="0082442D" w:rsidP="002B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71F"/>
    <w:multiLevelType w:val="multilevel"/>
    <w:tmpl w:val="D09478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60"/>
    <w:rsid w:val="000604D2"/>
    <w:rsid w:val="001A3EAD"/>
    <w:rsid w:val="002B6160"/>
    <w:rsid w:val="00325547"/>
    <w:rsid w:val="008021A8"/>
    <w:rsid w:val="0082442D"/>
    <w:rsid w:val="00B21215"/>
    <w:rsid w:val="00C64B05"/>
    <w:rsid w:val="00CC2434"/>
    <w:rsid w:val="00ED4831"/>
    <w:rsid w:val="00F0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24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4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24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4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4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434"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2434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243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243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24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C24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24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C2434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2434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2434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2434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2434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2434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CC24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CC24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4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CC2434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CC2434"/>
    <w:rPr>
      <w:b/>
      <w:bCs/>
    </w:rPr>
  </w:style>
  <w:style w:type="character" w:styleId="nfase">
    <w:name w:val="Emphasis"/>
    <w:basedOn w:val="Fontepargpadro"/>
    <w:uiPriority w:val="20"/>
    <w:qFormat/>
    <w:rsid w:val="00CC2434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CC2434"/>
    <w:rPr>
      <w:szCs w:val="32"/>
    </w:rPr>
  </w:style>
  <w:style w:type="paragraph" w:styleId="PargrafodaLista">
    <w:name w:val="List Paragraph"/>
    <w:basedOn w:val="Normal"/>
    <w:uiPriority w:val="34"/>
    <w:qFormat/>
    <w:rsid w:val="00CC243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C2434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CC2434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2434"/>
    <w:pPr>
      <w:ind w:left="720" w:right="720"/>
    </w:pPr>
    <w:rPr>
      <w:b/>
      <w:i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2434"/>
    <w:rPr>
      <w:b/>
      <w:i/>
      <w:sz w:val="24"/>
    </w:rPr>
  </w:style>
  <w:style w:type="character" w:styleId="nfaseSutil">
    <w:name w:val="Subtle Emphasis"/>
    <w:uiPriority w:val="19"/>
    <w:qFormat/>
    <w:rsid w:val="00CC2434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CC2434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CC2434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CC2434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CC2434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2434"/>
    <w:pPr>
      <w:outlineLvl w:val="9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61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6160"/>
    <w:rPr>
      <w:rFonts w:cstheme="minorBidi"/>
      <w:sz w:val="20"/>
      <w:szCs w:val="20"/>
      <w:lang w:val="pt-BR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2B616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B616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B61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24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4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24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4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4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434"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2434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243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243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24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C24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24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C2434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2434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2434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2434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2434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2434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CC24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CC24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4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CC2434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CC2434"/>
    <w:rPr>
      <w:b/>
      <w:bCs/>
    </w:rPr>
  </w:style>
  <w:style w:type="character" w:styleId="nfase">
    <w:name w:val="Emphasis"/>
    <w:basedOn w:val="Fontepargpadro"/>
    <w:uiPriority w:val="20"/>
    <w:qFormat/>
    <w:rsid w:val="00CC2434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CC2434"/>
    <w:rPr>
      <w:szCs w:val="32"/>
    </w:rPr>
  </w:style>
  <w:style w:type="paragraph" w:styleId="PargrafodaLista">
    <w:name w:val="List Paragraph"/>
    <w:basedOn w:val="Normal"/>
    <w:uiPriority w:val="34"/>
    <w:qFormat/>
    <w:rsid w:val="00CC243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C2434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CC2434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2434"/>
    <w:pPr>
      <w:ind w:left="720" w:right="720"/>
    </w:pPr>
    <w:rPr>
      <w:b/>
      <w:i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2434"/>
    <w:rPr>
      <w:b/>
      <w:i/>
      <w:sz w:val="24"/>
    </w:rPr>
  </w:style>
  <w:style w:type="character" w:styleId="nfaseSutil">
    <w:name w:val="Subtle Emphasis"/>
    <w:uiPriority w:val="19"/>
    <w:qFormat/>
    <w:rsid w:val="00CC2434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CC2434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CC2434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CC2434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CC2434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2434"/>
    <w:pPr>
      <w:outlineLvl w:val="9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61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6160"/>
    <w:rPr>
      <w:rFonts w:cstheme="minorBidi"/>
      <w:sz w:val="20"/>
      <w:szCs w:val="20"/>
      <w:lang w:val="pt-BR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2B616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B616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B6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ma-opet.com.br/pdf/anima5-NIC/Tomas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vestidura.com.br/biblioteca-juridica/artigos/hermeneutica/3830-a-interpretacao-segundo-a-vontade-do-legisla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2732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Renata da Silva Costa</cp:lastModifiedBy>
  <cp:revision>5</cp:revision>
  <dcterms:created xsi:type="dcterms:W3CDTF">2013-10-30T11:29:00Z</dcterms:created>
  <dcterms:modified xsi:type="dcterms:W3CDTF">2013-10-30T11:32:00Z</dcterms:modified>
</cp:coreProperties>
</file>