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26" w:rsidRDefault="000A5226" w:rsidP="000A5226">
      <w:pPr>
        <w:jc w:val="center"/>
        <w:rPr>
          <w:rFonts w:ascii="Arial" w:hAnsi="Arial" w:cs="Arial"/>
          <w:sz w:val="32"/>
          <w:szCs w:val="32"/>
        </w:rPr>
      </w:pPr>
    </w:p>
    <w:p w:rsidR="000A5226" w:rsidRPr="00B8775E" w:rsidRDefault="000A5226" w:rsidP="000A5226">
      <w:pPr>
        <w:jc w:val="center"/>
        <w:rPr>
          <w:rFonts w:ascii="Arial" w:hAnsi="Arial" w:cs="Arial"/>
          <w:color w:val="FF0000"/>
          <w:sz w:val="32"/>
          <w:szCs w:val="32"/>
        </w:rPr>
      </w:pPr>
      <w:r w:rsidRPr="00AA207D">
        <w:rPr>
          <w:rFonts w:ascii="Arial" w:hAnsi="Arial" w:cs="Arial"/>
          <w:sz w:val="36"/>
          <w:szCs w:val="36"/>
        </w:rPr>
        <w:t>DOENÇA CELÍACA (DC)</w:t>
      </w:r>
      <w:r w:rsidRPr="00DD17CA">
        <w:rPr>
          <w:rFonts w:ascii="Arial" w:hAnsi="Arial" w:cs="Arial"/>
          <w:b/>
          <w:sz w:val="36"/>
          <w:szCs w:val="36"/>
        </w:rPr>
        <w:t xml:space="preserve"> </w:t>
      </w:r>
      <w:r>
        <w:rPr>
          <w:rFonts w:ascii="Arial" w:hAnsi="Arial" w:cs="Arial"/>
          <w:b/>
          <w:sz w:val="36"/>
          <w:szCs w:val="36"/>
        </w:rPr>
        <w:t>–</w:t>
      </w:r>
      <w:r w:rsidRPr="00DD17CA">
        <w:rPr>
          <w:rFonts w:ascii="Arial" w:hAnsi="Arial" w:cs="Arial"/>
          <w:b/>
          <w:sz w:val="36"/>
          <w:szCs w:val="36"/>
        </w:rPr>
        <w:t xml:space="preserve"> </w:t>
      </w:r>
      <w:r w:rsidRPr="00C91A40">
        <w:rPr>
          <w:rFonts w:ascii="Arial" w:hAnsi="Arial" w:cs="Arial"/>
          <w:sz w:val="36"/>
          <w:szCs w:val="36"/>
        </w:rPr>
        <w:t>Diagnóstico, tratamento, hábitos e práticas alimentares</w:t>
      </w:r>
      <w:r w:rsidRPr="00C91A40">
        <w:rPr>
          <w:rFonts w:ascii="Arial" w:hAnsi="Arial" w:cs="Arial"/>
          <w:b/>
          <w:sz w:val="36"/>
          <w:szCs w:val="36"/>
        </w:rPr>
        <w:t>.</w:t>
      </w:r>
    </w:p>
    <w:p w:rsidR="000A5226" w:rsidRDefault="000A5226" w:rsidP="000A5226">
      <w:pPr>
        <w:jc w:val="center"/>
        <w:rPr>
          <w:rFonts w:ascii="Arial" w:hAnsi="Arial" w:cs="Arial"/>
          <w:sz w:val="32"/>
          <w:szCs w:val="32"/>
        </w:rPr>
      </w:pPr>
    </w:p>
    <w:p w:rsidR="000A5226" w:rsidRDefault="000A5226" w:rsidP="000A5226">
      <w:pPr>
        <w:jc w:val="center"/>
        <w:rPr>
          <w:rFonts w:ascii="Arial" w:hAnsi="Arial" w:cs="Arial"/>
          <w:sz w:val="32"/>
          <w:szCs w:val="32"/>
        </w:rPr>
      </w:pPr>
    </w:p>
    <w:p w:rsidR="000A5226" w:rsidRDefault="000A5226" w:rsidP="000A5226">
      <w:pPr>
        <w:jc w:val="center"/>
        <w:rPr>
          <w:rFonts w:ascii="Arial" w:hAnsi="Arial" w:cs="Arial"/>
          <w:sz w:val="32"/>
          <w:szCs w:val="32"/>
        </w:rPr>
      </w:pPr>
    </w:p>
    <w:p w:rsidR="000A5226" w:rsidRPr="00AA207D" w:rsidRDefault="000A5226" w:rsidP="000A5226">
      <w:pPr>
        <w:spacing w:line="240" w:lineRule="auto"/>
        <w:ind w:left="2694"/>
        <w:jc w:val="both"/>
        <w:rPr>
          <w:rFonts w:ascii="Arial" w:hAnsi="Arial" w:cs="Arial"/>
          <w:sz w:val="24"/>
          <w:szCs w:val="24"/>
        </w:rPr>
      </w:pPr>
    </w:p>
    <w:p w:rsidR="00573776" w:rsidRDefault="00573776" w:rsidP="00573776">
      <w:pPr>
        <w:jc w:val="center"/>
        <w:rPr>
          <w:rFonts w:ascii="Arial" w:hAnsi="Arial" w:cs="Arial"/>
          <w:sz w:val="32"/>
          <w:szCs w:val="32"/>
        </w:rPr>
      </w:pPr>
      <w:r>
        <w:rPr>
          <w:rFonts w:ascii="Arial" w:hAnsi="Arial" w:cs="Arial"/>
          <w:sz w:val="32"/>
          <w:szCs w:val="32"/>
        </w:rPr>
        <w:t>ELIELSON SILVA GOMES DE DEUS</w:t>
      </w:r>
    </w:p>
    <w:p w:rsidR="000A5226" w:rsidRPr="00FB2EF3" w:rsidRDefault="000439E7" w:rsidP="000439E7">
      <w:pPr>
        <w:spacing w:line="240" w:lineRule="auto"/>
        <w:jc w:val="center"/>
        <w:rPr>
          <w:rFonts w:ascii="Arial" w:hAnsi="Arial" w:cs="Arial"/>
          <w:sz w:val="32"/>
          <w:szCs w:val="32"/>
        </w:rPr>
      </w:pPr>
      <w:r>
        <w:rPr>
          <w:rFonts w:ascii="Arial" w:hAnsi="Arial" w:cs="Arial"/>
          <w:sz w:val="24"/>
          <w:szCs w:val="24"/>
        </w:rPr>
        <w:t>elielsonsgomes@uol.com.br</w:t>
      </w:r>
    </w:p>
    <w:p w:rsidR="000A5226" w:rsidRPr="00892FB4" w:rsidRDefault="000A5226" w:rsidP="000A5226">
      <w:pPr>
        <w:rPr>
          <w:rFonts w:ascii="Arial" w:hAnsi="Arial" w:cs="Arial"/>
          <w:sz w:val="24"/>
          <w:szCs w:val="24"/>
        </w:rPr>
      </w:pPr>
    </w:p>
    <w:p w:rsidR="000A5226" w:rsidRDefault="000A5226" w:rsidP="000A5226">
      <w:pPr>
        <w:rPr>
          <w:rFonts w:ascii="Arial" w:hAnsi="Arial" w:cs="Arial"/>
          <w:sz w:val="32"/>
          <w:szCs w:val="32"/>
        </w:rPr>
      </w:pPr>
    </w:p>
    <w:p w:rsidR="00CA7CA0" w:rsidRDefault="00CA7CA0" w:rsidP="000A5226">
      <w:pPr>
        <w:rPr>
          <w:rFonts w:ascii="Arial" w:hAnsi="Arial" w:cs="Arial"/>
          <w:sz w:val="32"/>
          <w:szCs w:val="32"/>
        </w:rPr>
      </w:pPr>
    </w:p>
    <w:p w:rsidR="000439E7" w:rsidRDefault="000439E7" w:rsidP="000A5226">
      <w:pPr>
        <w:rPr>
          <w:rFonts w:ascii="Arial" w:hAnsi="Arial" w:cs="Arial"/>
          <w:sz w:val="32"/>
          <w:szCs w:val="32"/>
        </w:rPr>
      </w:pPr>
    </w:p>
    <w:p w:rsidR="000439E7" w:rsidRDefault="000439E7" w:rsidP="000A5226">
      <w:pPr>
        <w:rPr>
          <w:rFonts w:ascii="Arial" w:hAnsi="Arial" w:cs="Arial"/>
          <w:sz w:val="32"/>
          <w:szCs w:val="32"/>
        </w:rPr>
      </w:pPr>
    </w:p>
    <w:p w:rsidR="000439E7" w:rsidRDefault="000439E7" w:rsidP="000A5226">
      <w:pPr>
        <w:rPr>
          <w:rFonts w:ascii="Arial" w:hAnsi="Arial" w:cs="Arial"/>
          <w:sz w:val="32"/>
          <w:szCs w:val="32"/>
        </w:rPr>
      </w:pPr>
    </w:p>
    <w:p w:rsidR="000439E7" w:rsidRDefault="000439E7" w:rsidP="000A5226">
      <w:pPr>
        <w:rPr>
          <w:rFonts w:ascii="Arial" w:hAnsi="Arial" w:cs="Arial"/>
          <w:sz w:val="32"/>
          <w:szCs w:val="32"/>
        </w:rPr>
      </w:pPr>
    </w:p>
    <w:p w:rsidR="000439E7" w:rsidRDefault="000439E7" w:rsidP="000A5226">
      <w:pPr>
        <w:rPr>
          <w:rFonts w:ascii="Arial" w:hAnsi="Arial" w:cs="Arial"/>
          <w:sz w:val="32"/>
          <w:szCs w:val="32"/>
        </w:rPr>
      </w:pPr>
    </w:p>
    <w:p w:rsidR="000439E7" w:rsidRDefault="000439E7" w:rsidP="000A5226">
      <w:pPr>
        <w:rPr>
          <w:rFonts w:ascii="Arial" w:hAnsi="Arial" w:cs="Arial"/>
          <w:sz w:val="32"/>
          <w:szCs w:val="32"/>
        </w:rPr>
      </w:pPr>
    </w:p>
    <w:p w:rsidR="000439E7" w:rsidRDefault="000439E7" w:rsidP="000A5226">
      <w:pPr>
        <w:rPr>
          <w:rFonts w:ascii="Arial" w:hAnsi="Arial" w:cs="Arial"/>
          <w:sz w:val="32"/>
          <w:szCs w:val="32"/>
        </w:rPr>
      </w:pPr>
    </w:p>
    <w:p w:rsidR="00CA7CA0" w:rsidRDefault="00CA7CA0" w:rsidP="000A5226">
      <w:pPr>
        <w:rPr>
          <w:rFonts w:ascii="Arial" w:hAnsi="Arial" w:cs="Arial"/>
          <w:sz w:val="32"/>
          <w:szCs w:val="32"/>
        </w:rPr>
      </w:pPr>
    </w:p>
    <w:p w:rsidR="00CA7CA0" w:rsidRDefault="00CA7CA0" w:rsidP="000A5226">
      <w:pPr>
        <w:jc w:val="center"/>
        <w:rPr>
          <w:rFonts w:ascii="Arial" w:hAnsi="Arial" w:cs="Arial"/>
          <w:b/>
          <w:sz w:val="24"/>
          <w:szCs w:val="24"/>
        </w:rPr>
      </w:pPr>
    </w:p>
    <w:p w:rsidR="00CA7CA0" w:rsidRDefault="00CA7CA0" w:rsidP="000A5226">
      <w:pPr>
        <w:jc w:val="center"/>
        <w:rPr>
          <w:rFonts w:ascii="Arial" w:hAnsi="Arial" w:cs="Arial"/>
          <w:b/>
          <w:sz w:val="24"/>
          <w:szCs w:val="24"/>
        </w:rPr>
      </w:pPr>
    </w:p>
    <w:p w:rsidR="000439E7" w:rsidRDefault="000439E7" w:rsidP="000A5226">
      <w:pPr>
        <w:spacing w:line="360" w:lineRule="auto"/>
        <w:ind w:left="360"/>
        <w:jc w:val="center"/>
        <w:rPr>
          <w:rFonts w:ascii="Arial" w:hAnsi="Arial" w:cs="Arial"/>
          <w:b/>
          <w:sz w:val="36"/>
          <w:szCs w:val="36"/>
        </w:rPr>
      </w:pPr>
    </w:p>
    <w:p w:rsidR="000A5226" w:rsidRDefault="000A5226" w:rsidP="000A5226">
      <w:pPr>
        <w:spacing w:line="360" w:lineRule="auto"/>
        <w:ind w:left="360"/>
        <w:jc w:val="center"/>
        <w:rPr>
          <w:rFonts w:ascii="Arial" w:hAnsi="Arial" w:cs="Arial"/>
          <w:b/>
          <w:sz w:val="36"/>
          <w:szCs w:val="36"/>
        </w:rPr>
      </w:pPr>
      <w:r>
        <w:rPr>
          <w:rFonts w:ascii="Arial" w:hAnsi="Arial" w:cs="Arial"/>
          <w:b/>
          <w:sz w:val="36"/>
          <w:szCs w:val="36"/>
        </w:rPr>
        <w:lastRenderedPageBreak/>
        <w:t>RESUMO</w:t>
      </w:r>
    </w:p>
    <w:p w:rsidR="000A5226" w:rsidRPr="008F557C" w:rsidRDefault="00CA7CA0" w:rsidP="000A5226">
      <w:pPr>
        <w:spacing w:line="240" w:lineRule="auto"/>
        <w:jc w:val="both"/>
        <w:rPr>
          <w:rFonts w:ascii="Arial" w:hAnsi="Arial" w:cs="Arial"/>
          <w:sz w:val="24"/>
          <w:szCs w:val="24"/>
        </w:rPr>
      </w:pPr>
      <w:r>
        <w:rPr>
          <w:rFonts w:ascii="Arial" w:hAnsi="Arial" w:cs="Arial"/>
          <w:sz w:val="24"/>
          <w:szCs w:val="24"/>
        </w:rPr>
        <w:t>DE DEUS</w:t>
      </w:r>
      <w:r w:rsidR="000A5226" w:rsidRPr="008F557C">
        <w:rPr>
          <w:rFonts w:ascii="Arial" w:hAnsi="Arial" w:cs="Arial"/>
          <w:sz w:val="24"/>
          <w:szCs w:val="24"/>
        </w:rPr>
        <w:t>,</w:t>
      </w:r>
      <w:r w:rsidR="00AB471A">
        <w:rPr>
          <w:rFonts w:ascii="Arial" w:hAnsi="Arial" w:cs="Arial"/>
          <w:sz w:val="24"/>
          <w:szCs w:val="24"/>
        </w:rPr>
        <w:t xml:space="preserve"> Elielson S. Gomes,</w:t>
      </w:r>
      <w:r>
        <w:rPr>
          <w:rFonts w:ascii="Arial" w:hAnsi="Arial" w:cs="Arial"/>
          <w:sz w:val="24"/>
          <w:szCs w:val="24"/>
        </w:rPr>
        <w:t xml:space="preserve"> </w:t>
      </w:r>
      <w:r w:rsidR="000A5226">
        <w:rPr>
          <w:rFonts w:ascii="Arial" w:hAnsi="Arial" w:cs="Arial"/>
          <w:sz w:val="24"/>
          <w:szCs w:val="24"/>
        </w:rPr>
        <w:t>(DC): diagnóstico, tratamento, hábitos e práticas alimentares. (2011). São Paulo, 2011.</w:t>
      </w:r>
    </w:p>
    <w:p w:rsidR="000A5226" w:rsidRDefault="000A5226" w:rsidP="000A5226">
      <w:pPr>
        <w:spacing w:line="240" w:lineRule="auto"/>
        <w:ind w:firstLine="346"/>
        <w:jc w:val="both"/>
        <w:rPr>
          <w:rFonts w:ascii="Arial" w:hAnsi="Arial" w:cs="Arial"/>
          <w:sz w:val="24"/>
          <w:szCs w:val="24"/>
        </w:rPr>
      </w:pPr>
      <w:r>
        <w:rPr>
          <w:rFonts w:ascii="Arial" w:hAnsi="Arial" w:cs="Arial"/>
          <w:sz w:val="24"/>
          <w:szCs w:val="24"/>
        </w:rPr>
        <w:t xml:space="preserve"> </w:t>
      </w:r>
    </w:p>
    <w:p w:rsidR="000A5226" w:rsidRDefault="000A5226" w:rsidP="00573776">
      <w:pPr>
        <w:spacing w:after="0" w:line="360" w:lineRule="auto"/>
        <w:jc w:val="both"/>
        <w:rPr>
          <w:rFonts w:ascii="Arial" w:hAnsi="Arial" w:cs="Arial"/>
          <w:sz w:val="24"/>
          <w:szCs w:val="24"/>
        </w:rPr>
      </w:pPr>
      <w:r>
        <w:rPr>
          <w:rFonts w:ascii="Arial" w:hAnsi="Arial" w:cs="Arial"/>
          <w:sz w:val="24"/>
          <w:szCs w:val="24"/>
        </w:rPr>
        <w:t xml:space="preserve">Nos dias atuais muito se discute em relação a doenças autoimunes, devido ao grande índice de pacientes afetados por essas patologias e seu descobrimento tardio. A doença celíaca trata-se de uma hipersensibilidade do organismo ao glúten, ou seja, uma proteína presente em cereais como trigo, aveia, cevada, centeio e malte, ingredientes presentes em praticamente toda dieta humana. É muito comum paciente tomar ciência da doença após anos consumindo alimentos ricos em cereais sem manifestações dos sintomas que indicam a patologia. Geralmente se manifesta entre 24 meses e 06 anos de vida, apresentando sintomas como diarreias, distensão abdominal, anorexia, atraso no crescimento, atrofia muscular e em alguns casos hipotonia e irritabilidade. A continuidade no consumo de glúten leva o paciente a enfermidades graves, como linfoma, carcinomas do esôfago, </w:t>
      </w:r>
      <w:proofErr w:type="spellStart"/>
      <w:r>
        <w:rPr>
          <w:rFonts w:ascii="Arial" w:hAnsi="Arial" w:cs="Arial"/>
          <w:sz w:val="24"/>
          <w:szCs w:val="24"/>
        </w:rPr>
        <w:t>adenocarcinoma</w:t>
      </w:r>
      <w:proofErr w:type="spellEnd"/>
      <w:r>
        <w:rPr>
          <w:rFonts w:ascii="Arial" w:hAnsi="Arial" w:cs="Arial"/>
          <w:sz w:val="24"/>
          <w:szCs w:val="24"/>
        </w:rPr>
        <w:t xml:space="preserve"> do intestino delgado, lesões hepáticas e pancreáticas. Por se tratar de uma patologia extremamente complexa com relação às manifestações ocasionadas pelo organismo, tornar-se muito importante uma analise minuciosa ao suspeito da DC para que uma vez que o diagnóstico seja positivo, a mesma tenha uma vida normal depois de conscientizada sobre a gravidade da enfermidade e iniciado para toda vida uma nova dieta alimentar.</w:t>
      </w:r>
    </w:p>
    <w:p w:rsidR="000A5226" w:rsidRDefault="000A5226" w:rsidP="000A5226">
      <w:pPr>
        <w:spacing w:line="240" w:lineRule="auto"/>
        <w:jc w:val="both"/>
        <w:rPr>
          <w:rFonts w:ascii="Arial" w:hAnsi="Arial" w:cs="Arial"/>
          <w:sz w:val="24"/>
          <w:szCs w:val="24"/>
        </w:rPr>
      </w:pPr>
      <w:bookmarkStart w:id="0" w:name="_GoBack"/>
      <w:bookmarkEnd w:id="0"/>
    </w:p>
    <w:p w:rsidR="000A5226" w:rsidRDefault="000A5226" w:rsidP="000A5226">
      <w:pPr>
        <w:spacing w:line="240" w:lineRule="auto"/>
        <w:jc w:val="both"/>
        <w:rPr>
          <w:rFonts w:ascii="Arial" w:hAnsi="Arial" w:cs="Arial"/>
          <w:sz w:val="24"/>
          <w:szCs w:val="24"/>
        </w:rPr>
      </w:pPr>
    </w:p>
    <w:p w:rsidR="000A5226" w:rsidRDefault="000A5226" w:rsidP="000A5226">
      <w:pPr>
        <w:spacing w:line="240" w:lineRule="auto"/>
        <w:jc w:val="both"/>
        <w:rPr>
          <w:rFonts w:ascii="Arial" w:hAnsi="Arial" w:cs="Arial"/>
          <w:sz w:val="24"/>
          <w:szCs w:val="24"/>
        </w:rPr>
      </w:pPr>
    </w:p>
    <w:p w:rsidR="000A5226" w:rsidRDefault="000A5226" w:rsidP="000A5226">
      <w:pPr>
        <w:spacing w:line="240" w:lineRule="auto"/>
        <w:jc w:val="both"/>
        <w:rPr>
          <w:rFonts w:ascii="Arial" w:hAnsi="Arial" w:cs="Arial"/>
          <w:sz w:val="24"/>
          <w:szCs w:val="24"/>
        </w:rPr>
      </w:pPr>
      <w:r>
        <w:rPr>
          <w:rFonts w:ascii="Arial" w:hAnsi="Arial" w:cs="Arial"/>
          <w:sz w:val="24"/>
          <w:szCs w:val="24"/>
        </w:rPr>
        <w:t>Palavras – Chaves: Doença Celíaca, Celíaco, Intolerância ao Glúten.</w:t>
      </w:r>
    </w:p>
    <w:p w:rsidR="000A5226" w:rsidRDefault="000A5226" w:rsidP="000A5226">
      <w:pPr>
        <w:spacing w:line="240" w:lineRule="auto"/>
        <w:jc w:val="both"/>
        <w:rPr>
          <w:rFonts w:ascii="Arial" w:hAnsi="Arial" w:cs="Arial"/>
          <w:sz w:val="24"/>
          <w:szCs w:val="24"/>
        </w:rPr>
      </w:pPr>
    </w:p>
    <w:p w:rsidR="000A5226" w:rsidRPr="00E95844" w:rsidRDefault="000A5226" w:rsidP="000A5226">
      <w:pPr>
        <w:spacing w:line="360" w:lineRule="auto"/>
        <w:ind w:left="360" w:firstLine="348"/>
        <w:jc w:val="both"/>
        <w:rPr>
          <w:rFonts w:ascii="Arial" w:hAnsi="Arial" w:cs="Arial"/>
          <w:sz w:val="24"/>
          <w:szCs w:val="24"/>
        </w:rPr>
      </w:pPr>
    </w:p>
    <w:p w:rsidR="000A5226" w:rsidRDefault="000A5226" w:rsidP="000A5226">
      <w:pPr>
        <w:spacing w:line="360" w:lineRule="auto"/>
        <w:ind w:left="360"/>
        <w:jc w:val="center"/>
        <w:rPr>
          <w:rFonts w:ascii="Arial" w:hAnsi="Arial" w:cs="Arial"/>
          <w:b/>
          <w:sz w:val="36"/>
          <w:szCs w:val="36"/>
        </w:rPr>
      </w:pPr>
    </w:p>
    <w:p w:rsidR="000A5226" w:rsidRDefault="000A5226" w:rsidP="000A5226">
      <w:pPr>
        <w:spacing w:line="360" w:lineRule="auto"/>
        <w:ind w:left="360"/>
        <w:jc w:val="center"/>
        <w:rPr>
          <w:rFonts w:ascii="Arial" w:hAnsi="Arial" w:cs="Arial"/>
          <w:b/>
          <w:sz w:val="36"/>
          <w:szCs w:val="36"/>
        </w:rPr>
      </w:pPr>
    </w:p>
    <w:p w:rsidR="000A5226" w:rsidRDefault="000A5226" w:rsidP="000A5226">
      <w:pPr>
        <w:spacing w:line="360" w:lineRule="auto"/>
        <w:ind w:left="360"/>
        <w:jc w:val="center"/>
        <w:rPr>
          <w:rFonts w:ascii="Arial" w:hAnsi="Arial" w:cs="Arial"/>
          <w:b/>
          <w:sz w:val="36"/>
          <w:szCs w:val="36"/>
        </w:rPr>
      </w:pPr>
    </w:p>
    <w:p w:rsidR="000A5226" w:rsidRDefault="000A5226" w:rsidP="000A5226">
      <w:pPr>
        <w:spacing w:line="360" w:lineRule="auto"/>
        <w:ind w:left="360"/>
        <w:jc w:val="center"/>
        <w:rPr>
          <w:rFonts w:ascii="Arial" w:hAnsi="Arial" w:cs="Arial"/>
          <w:b/>
          <w:sz w:val="36"/>
          <w:szCs w:val="36"/>
        </w:rPr>
      </w:pPr>
    </w:p>
    <w:p w:rsidR="00CA7CA0" w:rsidRDefault="00CA7CA0" w:rsidP="000A5226">
      <w:pPr>
        <w:spacing w:line="360" w:lineRule="auto"/>
        <w:ind w:left="360"/>
        <w:jc w:val="center"/>
        <w:rPr>
          <w:rFonts w:ascii="Arial" w:hAnsi="Arial" w:cs="Arial"/>
          <w:b/>
          <w:sz w:val="36"/>
          <w:szCs w:val="36"/>
        </w:rPr>
      </w:pPr>
    </w:p>
    <w:p w:rsidR="000A5226" w:rsidRPr="002A496D" w:rsidRDefault="000A5226" w:rsidP="000A5226">
      <w:pPr>
        <w:spacing w:line="360" w:lineRule="auto"/>
        <w:ind w:left="360"/>
        <w:jc w:val="center"/>
        <w:rPr>
          <w:rFonts w:ascii="Arial" w:hAnsi="Arial" w:cs="Arial"/>
          <w:b/>
          <w:sz w:val="36"/>
          <w:szCs w:val="36"/>
        </w:rPr>
      </w:pPr>
      <w:r>
        <w:rPr>
          <w:rFonts w:ascii="Arial" w:hAnsi="Arial" w:cs="Arial"/>
          <w:b/>
          <w:sz w:val="36"/>
          <w:szCs w:val="36"/>
        </w:rPr>
        <w:t>LISTA</w:t>
      </w:r>
      <w:r w:rsidRPr="002A496D">
        <w:rPr>
          <w:rFonts w:ascii="Arial" w:hAnsi="Arial" w:cs="Arial"/>
          <w:b/>
          <w:sz w:val="36"/>
          <w:szCs w:val="36"/>
        </w:rPr>
        <w:t xml:space="preserve"> DE ABREVIATURAS E SIGLAS</w:t>
      </w:r>
    </w:p>
    <w:p w:rsidR="000A5226" w:rsidRDefault="000A5226" w:rsidP="000A5226">
      <w:pPr>
        <w:spacing w:line="360" w:lineRule="auto"/>
        <w:ind w:left="360"/>
        <w:rPr>
          <w:rFonts w:ascii="Arial" w:hAnsi="Arial" w:cs="Arial"/>
          <w:sz w:val="24"/>
          <w:szCs w:val="24"/>
        </w:rPr>
      </w:pPr>
    </w:p>
    <w:p w:rsidR="000A5226" w:rsidRPr="00D42711" w:rsidRDefault="000A5226" w:rsidP="000A5226">
      <w:pPr>
        <w:spacing w:line="360" w:lineRule="auto"/>
        <w:ind w:left="360"/>
        <w:rPr>
          <w:rFonts w:ascii="Arial" w:hAnsi="Arial" w:cs="Arial"/>
          <w:i/>
          <w:sz w:val="24"/>
          <w:szCs w:val="24"/>
        </w:rPr>
      </w:pPr>
      <w:r>
        <w:rPr>
          <w:rFonts w:ascii="Arial" w:hAnsi="Arial" w:cs="Arial"/>
          <w:sz w:val="24"/>
          <w:szCs w:val="24"/>
        </w:rPr>
        <w:t xml:space="preserve">ACELBRA- </w:t>
      </w:r>
      <w:r w:rsidRPr="00D42711">
        <w:rPr>
          <w:rFonts w:ascii="Arial" w:hAnsi="Arial" w:cs="Arial"/>
          <w:i/>
          <w:sz w:val="24"/>
          <w:szCs w:val="24"/>
        </w:rPr>
        <w:t>Associação dos Celíacos do Brasil</w:t>
      </w:r>
    </w:p>
    <w:p w:rsidR="000A5226" w:rsidRDefault="000A5226" w:rsidP="000A5226">
      <w:pPr>
        <w:spacing w:line="360" w:lineRule="auto"/>
        <w:ind w:left="360"/>
        <w:rPr>
          <w:rFonts w:ascii="Arial" w:hAnsi="Arial" w:cs="Arial"/>
          <w:sz w:val="24"/>
          <w:szCs w:val="24"/>
        </w:rPr>
      </w:pPr>
      <w:r>
        <w:rPr>
          <w:rFonts w:ascii="Arial" w:hAnsi="Arial" w:cs="Arial"/>
          <w:sz w:val="24"/>
          <w:szCs w:val="24"/>
        </w:rPr>
        <w:t xml:space="preserve">ANVISA- </w:t>
      </w:r>
      <w:r w:rsidRPr="00D42711">
        <w:rPr>
          <w:rFonts w:ascii="Arial" w:hAnsi="Arial" w:cs="Arial"/>
          <w:i/>
          <w:sz w:val="24"/>
          <w:szCs w:val="24"/>
        </w:rPr>
        <w:t>Agência Nacional de Vigilância Sanitária</w:t>
      </w:r>
    </w:p>
    <w:p w:rsidR="000A5226" w:rsidRPr="00D42711" w:rsidRDefault="000A5226" w:rsidP="000A5226">
      <w:pPr>
        <w:spacing w:line="360" w:lineRule="auto"/>
        <w:ind w:left="360"/>
        <w:rPr>
          <w:rFonts w:ascii="Arial" w:hAnsi="Arial" w:cs="Arial"/>
          <w:i/>
          <w:sz w:val="24"/>
          <w:szCs w:val="24"/>
        </w:rPr>
      </w:pPr>
      <w:r>
        <w:rPr>
          <w:rFonts w:ascii="Arial" w:hAnsi="Arial" w:cs="Arial"/>
          <w:sz w:val="24"/>
          <w:szCs w:val="24"/>
        </w:rPr>
        <w:t xml:space="preserve">DC- </w:t>
      </w:r>
      <w:r w:rsidRPr="00D42711">
        <w:rPr>
          <w:rFonts w:ascii="Arial" w:hAnsi="Arial" w:cs="Arial"/>
          <w:i/>
          <w:sz w:val="24"/>
          <w:szCs w:val="24"/>
        </w:rPr>
        <w:t>Doença Celíaca</w:t>
      </w:r>
    </w:p>
    <w:p w:rsidR="000A5226" w:rsidRDefault="000A5226" w:rsidP="000A5226">
      <w:pPr>
        <w:spacing w:line="360" w:lineRule="auto"/>
        <w:ind w:left="360"/>
        <w:rPr>
          <w:rFonts w:ascii="Arial" w:hAnsi="Arial" w:cs="Arial"/>
          <w:sz w:val="24"/>
          <w:szCs w:val="24"/>
        </w:rPr>
      </w:pPr>
      <w:r>
        <w:rPr>
          <w:rFonts w:ascii="Arial" w:hAnsi="Arial" w:cs="Arial"/>
          <w:sz w:val="24"/>
          <w:szCs w:val="24"/>
        </w:rPr>
        <w:t xml:space="preserve">DMI- </w:t>
      </w:r>
      <w:r w:rsidRPr="00D42711">
        <w:rPr>
          <w:rFonts w:ascii="Arial" w:hAnsi="Arial" w:cs="Arial"/>
          <w:i/>
          <w:sz w:val="24"/>
          <w:szCs w:val="24"/>
        </w:rPr>
        <w:t xml:space="preserve">Diabetes </w:t>
      </w:r>
      <w:proofErr w:type="spellStart"/>
      <w:r w:rsidRPr="00D42711">
        <w:rPr>
          <w:rFonts w:ascii="Arial" w:hAnsi="Arial" w:cs="Arial"/>
          <w:i/>
          <w:sz w:val="24"/>
          <w:szCs w:val="24"/>
        </w:rPr>
        <w:t>Melito</w:t>
      </w:r>
      <w:proofErr w:type="spellEnd"/>
    </w:p>
    <w:p w:rsidR="000A5226" w:rsidRDefault="000A5226" w:rsidP="000A5226">
      <w:pPr>
        <w:spacing w:line="360" w:lineRule="auto"/>
        <w:ind w:left="360"/>
        <w:rPr>
          <w:rFonts w:ascii="Arial" w:hAnsi="Arial" w:cs="Arial"/>
          <w:sz w:val="24"/>
          <w:szCs w:val="24"/>
        </w:rPr>
      </w:pPr>
      <w:r>
        <w:rPr>
          <w:rFonts w:ascii="Arial" w:hAnsi="Arial" w:cs="Arial"/>
          <w:sz w:val="24"/>
          <w:szCs w:val="24"/>
        </w:rPr>
        <w:t xml:space="preserve">DMO- </w:t>
      </w:r>
      <w:r w:rsidRPr="00D42711">
        <w:rPr>
          <w:rFonts w:ascii="Arial" w:hAnsi="Arial" w:cs="Arial"/>
          <w:i/>
          <w:sz w:val="24"/>
          <w:szCs w:val="24"/>
        </w:rPr>
        <w:t>Densidade Mineral Óssea</w:t>
      </w:r>
    </w:p>
    <w:p w:rsidR="000A5226" w:rsidRPr="00D42711" w:rsidRDefault="000A5226" w:rsidP="000A5226">
      <w:pPr>
        <w:spacing w:line="360" w:lineRule="auto"/>
        <w:ind w:left="360"/>
        <w:rPr>
          <w:rFonts w:ascii="Arial" w:hAnsi="Arial" w:cs="Arial"/>
          <w:i/>
          <w:sz w:val="24"/>
          <w:szCs w:val="24"/>
        </w:rPr>
      </w:pPr>
      <w:r>
        <w:rPr>
          <w:rFonts w:ascii="Arial" w:hAnsi="Arial" w:cs="Arial"/>
          <w:sz w:val="24"/>
          <w:szCs w:val="24"/>
        </w:rPr>
        <w:t xml:space="preserve">SD- </w:t>
      </w:r>
      <w:r w:rsidRPr="00D42711">
        <w:rPr>
          <w:rFonts w:ascii="Arial" w:hAnsi="Arial" w:cs="Arial"/>
          <w:i/>
          <w:sz w:val="24"/>
          <w:szCs w:val="24"/>
        </w:rPr>
        <w:t xml:space="preserve">Síndrome de Down </w:t>
      </w:r>
    </w:p>
    <w:p w:rsidR="000A5226" w:rsidRDefault="000A5226" w:rsidP="000A5226">
      <w:pPr>
        <w:spacing w:line="360" w:lineRule="auto"/>
        <w:ind w:left="360"/>
        <w:rPr>
          <w:rFonts w:ascii="Arial" w:hAnsi="Arial" w:cs="Arial"/>
          <w:sz w:val="24"/>
          <w:szCs w:val="24"/>
        </w:rPr>
      </w:pPr>
    </w:p>
    <w:p w:rsidR="000A5226" w:rsidRDefault="000A5226" w:rsidP="000A5226">
      <w:pPr>
        <w:spacing w:line="360" w:lineRule="auto"/>
        <w:ind w:left="360"/>
        <w:rPr>
          <w:rFonts w:ascii="Arial" w:hAnsi="Arial" w:cs="Arial"/>
          <w:sz w:val="24"/>
          <w:szCs w:val="24"/>
        </w:rPr>
      </w:pPr>
      <w:r>
        <w:rPr>
          <w:rFonts w:ascii="Arial" w:hAnsi="Arial" w:cs="Arial"/>
          <w:sz w:val="24"/>
          <w:szCs w:val="24"/>
        </w:rPr>
        <w:t xml:space="preserve"> </w:t>
      </w:r>
    </w:p>
    <w:p w:rsidR="000A5226" w:rsidRDefault="000A5226" w:rsidP="000A5226">
      <w:pPr>
        <w:spacing w:line="360" w:lineRule="auto"/>
        <w:ind w:left="360"/>
        <w:rPr>
          <w:rFonts w:ascii="Arial" w:hAnsi="Arial" w:cs="Arial"/>
          <w:sz w:val="24"/>
          <w:szCs w:val="24"/>
        </w:rPr>
      </w:pPr>
    </w:p>
    <w:p w:rsidR="000A5226" w:rsidRDefault="000A5226" w:rsidP="000A5226">
      <w:pPr>
        <w:spacing w:line="360" w:lineRule="auto"/>
        <w:ind w:left="360"/>
        <w:rPr>
          <w:rFonts w:ascii="Arial" w:hAnsi="Arial" w:cs="Arial"/>
          <w:sz w:val="24"/>
          <w:szCs w:val="24"/>
        </w:rPr>
      </w:pPr>
    </w:p>
    <w:p w:rsidR="000A5226" w:rsidRDefault="000A5226" w:rsidP="000A5226">
      <w:pPr>
        <w:spacing w:line="360" w:lineRule="auto"/>
        <w:ind w:left="360"/>
        <w:rPr>
          <w:rFonts w:ascii="Arial" w:hAnsi="Arial" w:cs="Arial"/>
          <w:sz w:val="24"/>
          <w:szCs w:val="24"/>
        </w:rPr>
      </w:pPr>
    </w:p>
    <w:p w:rsidR="000A5226" w:rsidRDefault="000A5226" w:rsidP="000A5226">
      <w:pPr>
        <w:spacing w:line="360" w:lineRule="auto"/>
        <w:ind w:left="360"/>
        <w:rPr>
          <w:rFonts w:ascii="Arial" w:hAnsi="Arial" w:cs="Arial"/>
          <w:sz w:val="24"/>
          <w:szCs w:val="24"/>
        </w:rPr>
      </w:pPr>
    </w:p>
    <w:p w:rsidR="000A5226" w:rsidRPr="00D42711" w:rsidRDefault="000A5226" w:rsidP="000A5226">
      <w:pPr>
        <w:spacing w:line="360" w:lineRule="auto"/>
        <w:ind w:left="360"/>
        <w:rPr>
          <w:rFonts w:ascii="Arial" w:hAnsi="Arial" w:cs="Arial"/>
          <w:sz w:val="24"/>
          <w:szCs w:val="24"/>
        </w:rPr>
      </w:pPr>
    </w:p>
    <w:p w:rsidR="000A5226" w:rsidRDefault="000A5226" w:rsidP="000A5226">
      <w:pPr>
        <w:spacing w:line="360" w:lineRule="auto"/>
        <w:ind w:left="360"/>
        <w:jc w:val="center"/>
        <w:rPr>
          <w:rFonts w:ascii="Arial" w:hAnsi="Arial" w:cs="Arial"/>
          <w:b/>
          <w:sz w:val="36"/>
          <w:szCs w:val="36"/>
        </w:rPr>
      </w:pPr>
    </w:p>
    <w:p w:rsidR="000A5226" w:rsidRDefault="000A5226" w:rsidP="000A5226">
      <w:pPr>
        <w:spacing w:line="360" w:lineRule="auto"/>
        <w:ind w:left="360"/>
        <w:jc w:val="center"/>
        <w:rPr>
          <w:rFonts w:ascii="Arial" w:hAnsi="Arial" w:cs="Arial"/>
          <w:b/>
          <w:sz w:val="36"/>
          <w:szCs w:val="36"/>
        </w:rPr>
      </w:pPr>
    </w:p>
    <w:p w:rsidR="000A5226" w:rsidRDefault="000A5226" w:rsidP="000A5226">
      <w:pPr>
        <w:spacing w:line="360" w:lineRule="auto"/>
        <w:ind w:left="360"/>
        <w:jc w:val="center"/>
        <w:rPr>
          <w:rFonts w:ascii="Arial" w:hAnsi="Arial" w:cs="Arial"/>
          <w:b/>
          <w:sz w:val="36"/>
          <w:szCs w:val="36"/>
        </w:rPr>
      </w:pPr>
    </w:p>
    <w:p w:rsidR="000A5226" w:rsidRDefault="000A5226" w:rsidP="000A5226">
      <w:pPr>
        <w:spacing w:line="360" w:lineRule="auto"/>
        <w:ind w:left="360"/>
        <w:jc w:val="center"/>
        <w:rPr>
          <w:rFonts w:ascii="Arial" w:hAnsi="Arial" w:cs="Arial"/>
          <w:b/>
          <w:sz w:val="36"/>
          <w:szCs w:val="36"/>
        </w:rPr>
      </w:pPr>
    </w:p>
    <w:p w:rsidR="000A5226" w:rsidRPr="00B14F97" w:rsidRDefault="000A5226" w:rsidP="000A5226">
      <w:pPr>
        <w:spacing w:line="360" w:lineRule="auto"/>
        <w:ind w:left="360"/>
        <w:jc w:val="center"/>
        <w:rPr>
          <w:rFonts w:ascii="Arial" w:hAnsi="Arial" w:cs="Arial"/>
          <w:b/>
          <w:sz w:val="36"/>
          <w:szCs w:val="36"/>
        </w:rPr>
      </w:pPr>
      <w:r w:rsidRPr="00B14F97">
        <w:rPr>
          <w:rFonts w:ascii="Arial" w:hAnsi="Arial" w:cs="Arial"/>
          <w:b/>
          <w:sz w:val="36"/>
          <w:szCs w:val="36"/>
        </w:rPr>
        <w:t>SUMÁRIO</w:t>
      </w:r>
    </w:p>
    <w:p w:rsidR="000A5226" w:rsidRDefault="000A5226" w:rsidP="000A5226">
      <w:pPr>
        <w:pStyle w:val="PargrafodaLista"/>
        <w:spacing w:line="360" w:lineRule="auto"/>
        <w:jc w:val="both"/>
        <w:rPr>
          <w:rFonts w:ascii="Arial" w:hAnsi="Arial" w:cs="Arial"/>
        </w:rPr>
      </w:pPr>
    </w:p>
    <w:p w:rsidR="000A5226" w:rsidRPr="00FF5272" w:rsidRDefault="000A5226" w:rsidP="000A5226">
      <w:pPr>
        <w:pStyle w:val="PargrafodaLista"/>
        <w:numPr>
          <w:ilvl w:val="0"/>
          <w:numId w:val="1"/>
        </w:numPr>
        <w:spacing w:line="360" w:lineRule="auto"/>
        <w:jc w:val="both"/>
        <w:rPr>
          <w:rFonts w:ascii="Arial" w:hAnsi="Arial" w:cs="Arial"/>
        </w:rPr>
      </w:pPr>
      <w:r w:rsidRPr="00FF5272">
        <w:rPr>
          <w:rFonts w:ascii="Arial" w:hAnsi="Arial" w:cs="Arial"/>
        </w:rPr>
        <w:t>INTRODUÇÃO</w:t>
      </w:r>
      <w:r>
        <w:rPr>
          <w:rFonts w:ascii="Arial" w:hAnsi="Arial" w:cs="Arial"/>
        </w:rPr>
        <w:t>......................................................................................................5</w:t>
      </w:r>
    </w:p>
    <w:p w:rsidR="000A5226" w:rsidRPr="00FF5272" w:rsidRDefault="000A5226" w:rsidP="000A5226">
      <w:pPr>
        <w:spacing w:line="360" w:lineRule="auto"/>
        <w:jc w:val="both"/>
        <w:rPr>
          <w:rFonts w:ascii="Arial" w:hAnsi="Arial" w:cs="Arial"/>
        </w:rPr>
      </w:pPr>
      <w:r w:rsidRPr="00FF5272">
        <w:rPr>
          <w:rFonts w:ascii="Arial" w:hAnsi="Arial" w:cs="Arial"/>
        </w:rPr>
        <w:t xml:space="preserve">     </w:t>
      </w:r>
      <w:r>
        <w:rPr>
          <w:rFonts w:ascii="Arial" w:hAnsi="Arial" w:cs="Arial"/>
        </w:rPr>
        <w:t xml:space="preserve"> </w:t>
      </w:r>
      <w:r w:rsidRPr="00FF5272">
        <w:rPr>
          <w:rFonts w:ascii="Arial" w:hAnsi="Arial" w:cs="Arial"/>
        </w:rPr>
        <w:t>2- OBJETIVO</w:t>
      </w:r>
      <w:r>
        <w:rPr>
          <w:rFonts w:ascii="Arial" w:hAnsi="Arial" w:cs="Arial"/>
        </w:rPr>
        <w:t>..............................................................................................................7</w:t>
      </w:r>
    </w:p>
    <w:p w:rsidR="000A5226" w:rsidRPr="00FF5272" w:rsidRDefault="000A5226" w:rsidP="000A5226">
      <w:pPr>
        <w:pStyle w:val="PargrafodaLista"/>
        <w:spacing w:line="360" w:lineRule="auto"/>
        <w:ind w:left="0"/>
        <w:jc w:val="both"/>
        <w:rPr>
          <w:rFonts w:ascii="Arial" w:hAnsi="Arial" w:cs="Arial"/>
        </w:rPr>
      </w:pPr>
      <w:r>
        <w:rPr>
          <w:rFonts w:ascii="Arial" w:hAnsi="Arial" w:cs="Arial"/>
        </w:rPr>
        <w:t xml:space="preserve">      3</w:t>
      </w:r>
      <w:r w:rsidRPr="00FF5272">
        <w:rPr>
          <w:rFonts w:ascii="Arial" w:hAnsi="Arial" w:cs="Arial"/>
        </w:rPr>
        <w:t>- R</w:t>
      </w:r>
      <w:r>
        <w:rPr>
          <w:rFonts w:ascii="Arial" w:hAnsi="Arial" w:cs="Arial"/>
        </w:rPr>
        <w:t>EVISÕES DA LITERATURA...............................................................................8</w:t>
      </w:r>
    </w:p>
    <w:p w:rsidR="000A5226" w:rsidRPr="00FF5272" w:rsidRDefault="000A5226" w:rsidP="000A5226">
      <w:pPr>
        <w:spacing w:line="360" w:lineRule="auto"/>
        <w:jc w:val="both"/>
        <w:rPr>
          <w:rFonts w:ascii="Arial" w:hAnsi="Arial" w:cs="Arial"/>
        </w:rPr>
      </w:pPr>
      <w:r w:rsidRPr="00FF5272">
        <w:rPr>
          <w:rFonts w:ascii="Arial" w:hAnsi="Arial" w:cs="Arial"/>
        </w:rPr>
        <w:t xml:space="preserve">   </w:t>
      </w:r>
      <w:r>
        <w:rPr>
          <w:rFonts w:ascii="Arial" w:hAnsi="Arial" w:cs="Arial"/>
        </w:rPr>
        <w:t xml:space="preserve">            3.1</w:t>
      </w:r>
      <w:r w:rsidRPr="00FF5272">
        <w:rPr>
          <w:rFonts w:ascii="Arial" w:hAnsi="Arial" w:cs="Arial"/>
        </w:rPr>
        <w:t>- H</w:t>
      </w:r>
      <w:r>
        <w:rPr>
          <w:rFonts w:ascii="Arial" w:hAnsi="Arial" w:cs="Arial"/>
        </w:rPr>
        <w:t>istórico da doença....................................................................................8</w:t>
      </w:r>
    </w:p>
    <w:p w:rsidR="000A5226" w:rsidRDefault="000A5226" w:rsidP="000A5226">
      <w:pPr>
        <w:spacing w:line="360" w:lineRule="auto"/>
        <w:jc w:val="both"/>
        <w:rPr>
          <w:rFonts w:ascii="Arial" w:hAnsi="Arial" w:cs="Arial"/>
          <w:sz w:val="24"/>
          <w:szCs w:val="24"/>
        </w:rPr>
      </w:pPr>
      <w:r w:rsidRPr="00FF5272">
        <w:rPr>
          <w:rFonts w:ascii="Arial" w:hAnsi="Arial" w:cs="Arial"/>
        </w:rPr>
        <w:t xml:space="preserve">   </w:t>
      </w:r>
      <w:r>
        <w:rPr>
          <w:rFonts w:ascii="Arial" w:hAnsi="Arial" w:cs="Arial"/>
        </w:rPr>
        <w:t xml:space="preserve">            3</w:t>
      </w:r>
      <w:r w:rsidRPr="00FF5272">
        <w:rPr>
          <w:rFonts w:ascii="Arial" w:hAnsi="Arial" w:cs="Arial"/>
        </w:rPr>
        <w:t>.</w:t>
      </w:r>
      <w:r>
        <w:rPr>
          <w:rFonts w:ascii="Arial" w:hAnsi="Arial" w:cs="Arial"/>
        </w:rPr>
        <w:t>2</w:t>
      </w:r>
      <w:r w:rsidRPr="00FF5272">
        <w:rPr>
          <w:rFonts w:ascii="Arial" w:hAnsi="Arial" w:cs="Arial"/>
        </w:rPr>
        <w:t>-</w:t>
      </w:r>
      <w:r>
        <w:rPr>
          <w:rFonts w:ascii="Arial" w:hAnsi="Arial" w:cs="Arial"/>
        </w:rPr>
        <w:t xml:space="preserve"> </w:t>
      </w:r>
      <w:r w:rsidRPr="00B14F97">
        <w:rPr>
          <w:rFonts w:ascii="Arial" w:hAnsi="Arial" w:cs="Arial"/>
          <w:sz w:val="24"/>
          <w:szCs w:val="24"/>
        </w:rPr>
        <w:t>Diagnóstico</w:t>
      </w:r>
      <w:r>
        <w:rPr>
          <w:rFonts w:ascii="Arial" w:hAnsi="Arial" w:cs="Arial"/>
          <w:sz w:val="24"/>
          <w:szCs w:val="24"/>
        </w:rPr>
        <w:t>......................................................................................11</w:t>
      </w:r>
    </w:p>
    <w:p w:rsidR="000A5226" w:rsidRPr="00FF5272" w:rsidRDefault="000A5226" w:rsidP="000A5226">
      <w:pPr>
        <w:spacing w:line="360" w:lineRule="auto"/>
        <w:jc w:val="both"/>
        <w:rPr>
          <w:rFonts w:ascii="Arial" w:hAnsi="Arial" w:cs="Arial"/>
        </w:rPr>
      </w:pPr>
      <w:r>
        <w:rPr>
          <w:rFonts w:ascii="Arial" w:hAnsi="Arial" w:cs="Arial"/>
        </w:rPr>
        <w:t xml:space="preserve">               3</w:t>
      </w:r>
      <w:r w:rsidRPr="00FF5272">
        <w:rPr>
          <w:rFonts w:ascii="Arial" w:hAnsi="Arial" w:cs="Arial"/>
        </w:rPr>
        <w:t>.</w:t>
      </w:r>
      <w:r>
        <w:rPr>
          <w:rFonts w:ascii="Arial" w:hAnsi="Arial" w:cs="Arial"/>
        </w:rPr>
        <w:t>3</w:t>
      </w:r>
      <w:r w:rsidRPr="00FF5272">
        <w:rPr>
          <w:rFonts w:ascii="Arial" w:hAnsi="Arial" w:cs="Arial"/>
        </w:rPr>
        <w:t xml:space="preserve">- </w:t>
      </w:r>
      <w:r w:rsidRPr="00B14F97">
        <w:rPr>
          <w:rFonts w:ascii="Arial" w:hAnsi="Arial" w:cs="Arial"/>
          <w:sz w:val="24"/>
          <w:szCs w:val="24"/>
        </w:rPr>
        <w:t>Relação da doença celíaca com outras patologias</w:t>
      </w:r>
      <w:r>
        <w:rPr>
          <w:rFonts w:ascii="Arial" w:hAnsi="Arial" w:cs="Arial"/>
          <w:sz w:val="24"/>
          <w:szCs w:val="24"/>
        </w:rPr>
        <w:t>.........................12</w:t>
      </w:r>
    </w:p>
    <w:p w:rsidR="000A5226" w:rsidRPr="00FF5272" w:rsidRDefault="000A5226" w:rsidP="000A5226">
      <w:pPr>
        <w:spacing w:line="360" w:lineRule="auto"/>
        <w:jc w:val="both"/>
        <w:rPr>
          <w:rFonts w:ascii="Arial" w:hAnsi="Arial" w:cs="Arial"/>
        </w:rPr>
      </w:pPr>
      <w:r w:rsidRPr="00FF5272">
        <w:rPr>
          <w:rFonts w:ascii="Arial" w:hAnsi="Arial" w:cs="Arial"/>
        </w:rPr>
        <w:t xml:space="preserve">   </w:t>
      </w:r>
      <w:r>
        <w:rPr>
          <w:rFonts w:ascii="Arial" w:hAnsi="Arial" w:cs="Arial"/>
        </w:rPr>
        <w:t xml:space="preserve">            3</w:t>
      </w:r>
      <w:r w:rsidRPr="00FF5272">
        <w:rPr>
          <w:rFonts w:ascii="Arial" w:hAnsi="Arial" w:cs="Arial"/>
        </w:rPr>
        <w:t>.</w:t>
      </w:r>
      <w:r>
        <w:rPr>
          <w:rFonts w:ascii="Arial" w:hAnsi="Arial" w:cs="Arial"/>
        </w:rPr>
        <w:t>4</w:t>
      </w:r>
      <w:r w:rsidRPr="00FF5272">
        <w:rPr>
          <w:rFonts w:ascii="Arial" w:hAnsi="Arial" w:cs="Arial"/>
        </w:rPr>
        <w:t xml:space="preserve">- </w:t>
      </w:r>
      <w:r w:rsidRPr="00B14F97">
        <w:rPr>
          <w:rFonts w:ascii="Arial" w:hAnsi="Arial" w:cs="Arial"/>
          <w:sz w:val="24"/>
          <w:szCs w:val="24"/>
        </w:rPr>
        <w:t>Tratamento</w:t>
      </w:r>
      <w:r>
        <w:rPr>
          <w:rFonts w:ascii="Arial" w:hAnsi="Arial" w:cs="Arial"/>
          <w:sz w:val="24"/>
          <w:szCs w:val="24"/>
        </w:rPr>
        <w:t>......................................................................................15</w:t>
      </w:r>
    </w:p>
    <w:p w:rsidR="000A5226" w:rsidRPr="00FF5272" w:rsidRDefault="000A5226" w:rsidP="000A5226">
      <w:pPr>
        <w:spacing w:line="360" w:lineRule="auto"/>
        <w:jc w:val="both"/>
        <w:rPr>
          <w:rFonts w:ascii="Arial" w:hAnsi="Arial" w:cs="Arial"/>
        </w:rPr>
      </w:pPr>
      <w:r w:rsidRPr="00FF5272">
        <w:rPr>
          <w:rFonts w:ascii="Arial" w:hAnsi="Arial" w:cs="Arial"/>
        </w:rPr>
        <w:t xml:space="preserve">   </w:t>
      </w:r>
      <w:r>
        <w:rPr>
          <w:rFonts w:ascii="Arial" w:hAnsi="Arial" w:cs="Arial"/>
        </w:rPr>
        <w:t xml:space="preserve">  </w:t>
      </w:r>
      <w:r w:rsidRPr="00FF5272">
        <w:rPr>
          <w:rFonts w:ascii="Arial" w:hAnsi="Arial" w:cs="Arial"/>
        </w:rPr>
        <w:t xml:space="preserve"> </w:t>
      </w:r>
      <w:r>
        <w:rPr>
          <w:rFonts w:ascii="Arial" w:hAnsi="Arial" w:cs="Arial"/>
        </w:rPr>
        <w:t>4</w:t>
      </w:r>
      <w:r w:rsidRPr="00FF5272">
        <w:rPr>
          <w:rFonts w:ascii="Arial" w:hAnsi="Arial" w:cs="Arial"/>
        </w:rPr>
        <w:t xml:space="preserve">- </w:t>
      </w:r>
      <w:r>
        <w:rPr>
          <w:rFonts w:ascii="Arial" w:hAnsi="Arial" w:cs="Arial"/>
        </w:rPr>
        <w:t>METODLOGIA......................................................................................................18</w:t>
      </w:r>
    </w:p>
    <w:p w:rsidR="000A5226" w:rsidRDefault="000A5226" w:rsidP="000A5226">
      <w:pPr>
        <w:spacing w:line="360" w:lineRule="auto"/>
        <w:jc w:val="both"/>
        <w:rPr>
          <w:rFonts w:ascii="Arial" w:hAnsi="Arial" w:cs="Arial"/>
        </w:rPr>
      </w:pPr>
      <w:r w:rsidRPr="00FF5272">
        <w:rPr>
          <w:rFonts w:ascii="Arial" w:hAnsi="Arial" w:cs="Arial"/>
        </w:rPr>
        <w:t xml:space="preserve">  </w:t>
      </w:r>
      <w:r>
        <w:rPr>
          <w:rFonts w:ascii="Arial" w:hAnsi="Arial" w:cs="Arial"/>
        </w:rPr>
        <w:t xml:space="preserve">   </w:t>
      </w:r>
      <w:r w:rsidRPr="00FF5272">
        <w:rPr>
          <w:rFonts w:ascii="Arial" w:hAnsi="Arial" w:cs="Arial"/>
        </w:rPr>
        <w:t xml:space="preserve"> </w:t>
      </w:r>
      <w:r>
        <w:rPr>
          <w:rFonts w:ascii="Arial" w:hAnsi="Arial" w:cs="Arial"/>
        </w:rPr>
        <w:t>5</w:t>
      </w:r>
      <w:r w:rsidRPr="00FF5272">
        <w:rPr>
          <w:rFonts w:ascii="Arial" w:hAnsi="Arial" w:cs="Arial"/>
        </w:rPr>
        <w:t xml:space="preserve">- </w:t>
      </w:r>
      <w:r>
        <w:rPr>
          <w:rFonts w:ascii="Arial" w:hAnsi="Arial" w:cs="Arial"/>
        </w:rPr>
        <w:t>CONCLUSÃO.......................................................................................................19</w:t>
      </w:r>
    </w:p>
    <w:p w:rsidR="000A5226" w:rsidRPr="00FF5272" w:rsidRDefault="000A5226" w:rsidP="000A5226">
      <w:pPr>
        <w:spacing w:line="360" w:lineRule="auto"/>
        <w:jc w:val="both"/>
        <w:rPr>
          <w:rFonts w:ascii="Arial" w:hAnsi="Arial" w:cs="Arial"/>
        </w:rPr>
      </w:pPr>
      <w:r>
        <w:rPr>
          <w:rFonts w:ascii="Arial" w:hAnsi="Arial" w:cs="Arial"/>
        </w:rPr>
        <w:t xml:space="preserve">      6- REFERÊNCIAS....................................................................................................20</w:t>
      </w:r>
    </w:p>
    <w:p w:rsidR="000A5226" w:rsidRPr="00FF5272" w:rsidRDefault="000A5226" w:rsidP="000A5226">
      <w:pPr>
        <w:spacing w:line="360" w:lineRule="auto"/>
        <w:jc w:val="both"/>
        <w:rPr>
          <w:rFonts w:ascii="Arial" w:hAnsi="Arial" w:cs="Arial"/>
        </w:rPr>
      </w:pPr>
    </w:p>
    <w:p w:rsidR="000A5226" w:rsidRDefault="000A5226" w:rsidP="000A5226">
      <w:pPr>
        <w:rPr>
          <w:rFonts w:ascii="Arial" w:hAnsi="Arial" w:cs="Arial"/>
          <w:sz w:val="28"/>
          <w:szCs w:val="28"/>
        </w:rPr>
      </w:pPr>
    </w:p>
    <w:p w:rsidR="000A5226" w:rsidRDefault="000A5226" w:rsidP="000A5226">
      <w:pPr>
        <w:rPr>
          <w:rFonts w:ascii="Arial" w:hAnsi="Arial" w:cs="Arial"/>
          <w:sz w:val="28"/>
          <w:szCs w:val="28"/>
        </w:rPr>
      </w:pPr>
    </w:p>
    <w:p w:rsidR="000A5226" w:rsidRDefault="000A5226" w:rsidP="000A5226">
      <w:pPr>
        <w:rPr>
          <w:rFonts w:ascii="Arial" w:hAnsi="Arial" w:cs="Arial"/>
          <w:sz w:val="28"/>
          <w:szCs w:val="28"/>
        </w:rPr>
      </w:pPr>
    </w:p>
    <w:p w:rsidR="000A5226" w:rsidRDefault="000A5226" w:rsidP="000A5226">
      <w:pPr>
        <w:rPr>
          <w:rFonts w:ascii="Arial" w:hAnsi="Arial" w:cs="Arial"/>
          <w:sz w:val="28"/>
          <w:szCs w:val="28"/>
        </w:rPr>
      </w:pPr>
    </w:p>
    <w:p w:rsidR="000A5226" w:rsidRDefault="000A5226" w:rsidP="000A5226">
      <w:pPr>
        <w:rPr>
          <w:rFonts w:ascii="Arial" w:hAnsi="Arial" w:cs="Arial"/>
          <w:sz w:val="28"/>
          <w:szCs w:val="28"/>
        </w:rPr>
      </w:pPr>
    </w:p>
    <w:p w:rsidR="000A5226" w:rsidRDefault="000A5226" w:rsidP="000A5226">
      <w:pPr>
        <w:rPr>
          <w:rFonts w:ascii="Arial" w:hAnsi="Arial" w:cs="Arial"/>
          <w:sz w:val="28"/>
          <w:szCs w:val="28"/>
        </w:rPr>
      </w:pPr>
    </w:p>
    <w:p w:rsidR="000A5226" w:rsidRDefault="000A5226" w:rsidP="000A5226">
      <w:pPr>
        <w:rPr>
          <w:rFonts w:ascii="Arial" w:hAnsi="Arial" w:cs="Arial"/>
          <w:sz w:val="28"/>
          <w:szCs w:val="28"/>
        </w:rPr>
      </w:pPr>
    </w:p>
    <w:p w:rsidR="000A5226" w:rsidRDefault="000A5226" w:rsidP="000A5226">
      <w:pPr>
        <w:rPr>
          <w:rFonts w:ascii="Arial" w:hAnsi="Arial" w:cs="Arial"/>
          <w:sz w:val="28"/>
          <w:szCs w:val="28"/>
        </w:rPr>
      </w:pPr>
    </w:p>
    <w:p w:rsidR="000A5226" w:rsidRDefault="000A5226" w:rsidP="000A5226">
      <w:pPr>
        <w:rPr>
          <w:rFonts w:ascii="Arial" w:hAnsi="Arial" w:cs="Arial"/>
          <w:sz w:val="28"/>
          <w:szCs w:val="28"/>
        </w:rPr>
      </w:pPr>
    </w:p>
    <w:p w:rsidR="000A5226" w:rsidRDefault="000A5226" w:rsidP="000A5226">
      <w:pPr>
        <w:rPr>
          <w:rFonts w:ascii="Arial" w:hAnsi="Arial" w:cs="Arial"/>
          <w:sz w:val="28"/>
          <w:szCs w:val="28"/>
        </w:rPr>
      </w:pPr>
    </w:p>
    <w:p w:rsidR="003F448F" w:rsidRDefault="003F448F"/>
    <w:p w:rsidR="00CA7CA0" w:rsidRDefault="00CA7CA0" w:rsidP="00CA7CA0">
      <w:pPr>
        <w:pStyle w:val="PargrafodaLista"/>
        <w:numPr>
          <w:ilvl w:val="0"/>
          <w:numId w:val="2"/>
        </w:numPr>
        <w:spacing w:line="360" w:lineRule="auto"/>
        <w:jc w:val="both"/>
        <w:rPr>
          <w:rFonts w:ascii="Arial" w:hAnsi="Arial" w:cs="Arial"/>
          <w:sz w:val="28"/>
          <w:szCs w:val="28"/>
        </w:rPr>
      </w:pPr>
      <w:r w:rsidRPr="009D6892">
        <w:rPr>
          <w:rFonts w:ascii="Arial" w:hAnsi="Arial" w:cs="Arial"/>
          <w:sz w:val="28"/>
          <w:szCs w:val="28"/>
        </w:rPr>
        <w:t>INTRODUÇÃO</w:t>
      </w:r>
    </w:p>
    <w:p w:rsidR="00CA7CA0" w:rsidRPr="00C91A40" w:rsidRDefault="00CA7CA0" w:rsidP="00CA7CA0">
      <w:pPr>
        <w:spacing w:line="360" w:lineRule="auto"/>
        <w:ind w:firstLine="360"/>
        <w:jc w:val="both"/>
        <w:rPr>
          <w:rFonts w:ascii="Arial" w:hAnsi="Arial" w:cs="Arial"/>
          <w:sz w:val="24"/>
          <w:szCs w:val="24"/>
        </w:rPr>
      </w:pPr>
      <w:r>
        <w:rPr>
          <w:rFonts w:ascii="Arial" w:hAnsi="Arial" w:cs="Arial"/>
          <w:sz w:val="24"/>
          <w:szCs w:val="24"/>
        </w:rPr>
        <w:t xml:space="preserve">  </w:t>
      </w:r>
      <w:r w:rsidRPr="00C91A40">
        <w:rPr>
          <w:rFonts w:ascii="Arial" w:hAnsi="Arial" w:cs="Arial"/>
          <w:sz w:val="24"/>
          <w:szCs w:val="24"/>
        </w:rPr>
        <w:t xml:space="preserve">Muito se discute hoje sobre doenças autoimunes. Nos últimos anos, houve uma grande incidência dessas patologias na população brasileira. Nota-se com </w:t>
      </w:r>
      <w:proofErr w:type="gramStart"/>
      <w:r w:rsidRPr="00C91A40">
        <w:rPr>
          <w:rFonts w:ascii="Arial" w:hAnsi="Arial" w:cs="Arial"/>
          <w:sz w:val="24"/>
          <w:szCs w:val="24"/>
        </w:rPr>
        <w:t>frequência resultados de vários diagnósticos em pacientes que descobriram tardiamente serem portadores</w:t>
      </w:r>
      <w:proofErr w:type="gramEnd"/>
      <w:r w:rsidRPr="00C91A40">
        <w:rPr>
          <w:rFonts w:ascii="Arial" w:hAnsi="Arial" w:cs="Arial"/>
          <w:sz w:val="24"/>
          <w:szCs w:val="24"/>
        </w:rPr>
        <w:t xml:space="preserve"> de algumas dessas doenças. De certa forma, ainda é grande a quantidade de indivíduos portadores que desconhecem sua existência, é o caso da doença celíaca (DC), uma moléstia causada pela hipersensibilidade do organismo ao glúten, em pessoas geneticamente predispostas. Essa proteína é encontra-se nos cereais como trigo, </w:t>
      </w:r>
      <w:proofErr w:type="gramStart"/>
      <w:r w:rsidRPr="00C91A40">
        <w:rPr>
          <w:rFonts w:ascii="Arial" w:hAnsi="Arial" w:cs="Arial"/>
          <w:sz w:val="24"/>
          <w:szCs w:val="24"/>
        </w:rPr>
        <w:t>aveia, cevada, centeio</w:t>
      </w:r>
      <w:proofErr w:type="gramEnd"/>
      <w:r w:rsidRPr="00C91A40">
        <w:rPr>
          <w:rFonts w:ascii="Arial" w:hAnsi="Arial" w:cs="Arial"/>
          <w:sz w:val="24"/>
          <w:szCs w:val="24"/>
        </w:rPr>
        <w:t xml:space="preserve"> e malte.</w:t>
      </w:r>
    </w:p>
    <w:p w:rsidR="00CA7CA0" w:rsidRPr="00C91A40" w:rsidRDefault="00CA7CA0" w:rsidP="00CA7CA0">
      <w:pPr>
        <w:spacing w:line="360" w:lineRule="auto"/>
        <w:ind w:firstLine="360"/>
        <w:jc w:val="both"/>
        <w:rPr>
          <w:rFonts w:ascii="Arial" w:hAnsi="Arial" w:cs="Arial"/>
          <w:sz w:val="24"/>
          <w:szCs w:val="24"/>
        </w:rPr>
      </w:pPr>
      <w:r w:rsidRPr="00C91A40">
        <w:rPr>
          <w:rFonts w:ascii="Arial" w:hAnsi="Arial" w:cs="Arial"/>
          <w:sz w:val="24"/>
          <w:szCs w:val="24"/>
        </w:rPr>
        <w:t xml:space="preserve">  As proteínas desses cereais são na maioria das vezes, encontradas em vários ou até mesmo em praticamente toda dieta humana, talvez seja esse o motivo da grande dificuldade por parte do paciente em controlar sua alimentação, uma vez que, a vida dessa pessoa ao tornar-se consciente sobre sua moléstia passa por mudanças radicais. “A primeira alusão à doença celíaca remota ao ano de 200 da era cristã, mas foi só em 1888 que Samuel Gee, a descreveu nos termos atuais.” (NOBRE</w:t>
      </w:r>
      <w:r>
        <w:rPr>
          <w:rFonts w:ascii="Arial" w:hAnsi="Arial" w:cs="Arial"/>
          <w:sz w:val="24"/>
          <w:szCs w:val="24"/>
        </w:rPr>
        <w:t>;</w:t>
      </w:r>
      <w:r w:rsidRPr="00C91A40">
        <w:rPr>
          <w:rFonts w:ascii="Arial" w:hAnsi="Arial" w:cs="Arial"/>
          <w:sz w:val="24"/>
          <w:szCs w:val="24"/>
        </w:rPr>
        <w:t xml:space="preserve"> SILVA</w:t>
      </w:r>
      <w:r>
        <w:rPr>
          <w:rFonts w:ascii="Arial" w:hAnsi="Arial" w:cs="Arial"/>
          <w:sz w:val="24"/>
          <w:szCs w:val="24"/>
        </w:rPr>
        <w:t>;</w:t>
      </w:r>
      <w:r w:rsidRPr="00C91A40">
        <w:rPr>
          <w:rFonts w:ascii="Arial" w:hAnsi="Arial" w:cs="Arial"/>
          <w:sz w:val="24"/>
          <w:szCs w:val="24"/>
        </w:rPr>
        <w:t xml:space="preserve"> CABRAL, 2007). </w:t>
      </w:r>
    </w:p>
    <w:p w:rsidR="00CA7CA0" w:rsidRDefault="00CA7CA0" w:rsidP="00CA7CA0">
      <w:pPr>
        <w:spacing w:line="360" w:lineRule="auto"/>
        <w:ind w:firstLine="360"/>
        <w:jc w:val="both"/>
        <w:rPr>
          <w:rFonts w:ascii="Arial" w:hAnsi="Arial" w:cs="Arial"/>
          <w:sz w:val="24"/>
          <w:szCs w:val="24"/>
        </w:rPr>
      </w:pPr>
      <w:r w:rsidRPr="00C91A40">
        <w:rPr>
          <w:rFonts w:ascii="Arial" w:hAnsi="Arial" w:cs="Arial"/>
          <w:sz w:val="24"/>
          <w:szCs w:val="24"/>
        </w:rPr>
        <w:t xml:space="preserve">  A grande preocupação nos dias atuais se dá pelo grande número de pessoas que descobrem a intolerância ao glúten depois de ter consumido alimentos ricos do mesmo por toda a vida, sem ter havido sintomas da doença. Ainda não se sabe como ocorre essa rejeição tardia do organismo. O que se sabe é que a fisiopatologia da DC é complexa, resultado muitas vezes, da interação entre fatores ambientais, genéticos e imunológicos</w:t>
      </w:r>
      <w:r>
        <w:rPr>
          <w:rFonts w:ascii="Arial" w:hAnsi="Arial" w:cs="Arial"/>
          <w:sz w:val="24"/>
          <w:szCs w:val="24"/>
        </w:rPr>
        <w:t>.</w:t>
      </w:r>
    </w:p>
    <w:p w:rsidR="00CA7CA0" w:rsidRPr="00C91A40" w:rsidRDefault="00CA7CA0" w:rsidP="00CA7CA0">
      <w:pPr>
        <w:spacing w:line="360" w:lineRule="auto"/>
        <w:ind w:firstLine="360"/>
        <w:jc w:val="both"/>
        <w:rPr>
          <w:rFonts w:ascii="Arial" w:hAnsi="Arial" w:cs="Arial"/>
          <w:sz w:val="24"/>
          <w:szCs w:val="24"/>
        </w:rPr>
      </w:pPr>
      <w:r w:rsidRPr="00C91A40">
        <w:rPr>
          <w:rFonts w:ascii="Arial" w:hAnsi="Arial" w:cs="Arial"/>
          <w:sz w:val="24"/>
          <w:szCs w:val="24"/>
        </w:rPr>
        <w:t xml:space="preserve">  Quando a doença aparece na infância, geralmente apresenta-se tipicamente por volta dos 24 meses aos 06 anos de idade, percebe-se que durante a ingestão desses cereais na alimentação do lactente, os primeiros sintomas são instalação gradual de diarreias, distensão abdominal, anorexia, bem como atraso no crescimento, atrofia muscular, e em muitos casos hipotonia e irritabilidade. </w:t>
      </w:r>
    </w:p>
    <w:p w:rsidR="00CA7CA0" w:rsidRPr="00C91A40" w:rsidRDefault="00CA7CA0" w:rsidP="00CA7CA0">
      <w:pPr>
        <w:spacing w:line="360" w:lineRule="auto"/>
        <w:ind w:firstLine="360"/>
        <w:jc w:val="both"/>
        <w:rPr>
          <w:rFonts w:ascii="Arial" w:hAnsi="Arial" w:cs="Arial"/>
          <w:sz w:val="24"/>
          <w:szCs w:val="24"/>
        </w:rPr>
      </w:pPr>
      <w:r w:rsidRPr="00C91A40">
        <w:rPr>
          <w:rFonts w:ascii="Arial" w:hAnsi="Arial" w:cs="Arial"/>
          <w:sz w:val="24"/>
          <w:szCs w:val="24"/>
        </w:rPr>
        <w:t xml:space="preserve">   Na criança mais velha ou até mesmo adolescente a DC pode ser diagnosticada quando se observa</w:t>
      </w:r>
      <w:r>
        <w:rPr>
          <w:rFonts w:ascii="Arial" w:hAnsi="Arial" w:cs="Arial"/>
          <w:color w:val="FF0000"/>
          <w:sz w:val="24"/>
          <w:szCs w:val="24"/>
        </w:rPr>
        <w:t xml:space="preserve"> </w:t>
      </w:r>
      <w:r>
        <w:rPr>
          <w:rFonts w:ascii="Arial" w:hAnsi="Arial" w:cs="Arial"/>
          <w:sz w:val="24"/>
          <w:szCs w:val="24"/>
        </w:rPr>
        <w:t xml:space="preserve">atraso no desenvolvimento da puberdade, </w:t>
      </w:r>
      <w:r w:rsidRPr="00C91A40">
        <w:rPr>
          <w:rFonts w:ascii="Arial" w:hAnsi="Arial" w:cs="Arial"/>
          <w:sz w:val="24"/>
          <w:szCs w:val="24"/>
        </w:rPr>
        <w:t xml:space="preserve">entre outros casos como raquitismo, anemia, diarreia com frequência e até mesmo </w:t>
      </w:r>
      <w:r w:rsidRPr="00C91A40">
        <w:rPr>
          <w:rFonts w:ascii="Arial" w:hAnsi="Arial" w:cs="Arial"/>
          <w:sz w:val="24"/>
          <w:szCs w:val="24"/>
        </w:rPr>
        <w:lastRenderedPageBreak/>
        <w:t xml:space="preserve">desempenho escolar inadequado. Nos adultos existe um vasto leque de manifestações clínicas, muitas vezes assintomáticas, um perigo, uma vez que após a ingestão desses cereais o metabolismo do indivíduo inicia-se uma “guerra” para combater essa proteína, fazendo com que as células de defesa do corpo criem anticorpos para destruí-las. No entanto, esses anticorpos podem identificar células do próprio organismo como estranhas iniciado um ataque, destruindo-as. </w:t>
      </w:r>
    </w:p>
    <w:p w:rsidR="00CA7CA0" w:rsidRPr="004F1CD8" w:rsidRDefault="00CA7CA0" w:rsidP="00CA7CA0">
      <w:pPr>
        <w:spacing w:line="360" w:lineRule="auto"/>
        <w:ind w:firstLine="360"/>
        <w:jc w:val="both"/>
        <w:rPr>
          <w:rFonts w:ascii="Arial" w:hAnsi="Arial" w:cs="Arial"/>
          <w:color w:val="000000"/>
          <w:sz w:val="24"/>
          <w:szCs w:val="24"/>
        </w:rPr>
      </w:pPr>
      <w:r w:rsidRPr="00C91A40">
        <w:rPr>
          <w:rFonts w:ascii="Arial" w:hAnsi="Arial" w:cs="Arial"/>
          <w:sz w:val="24"/>
          <w:szCs w:val="24"/>
        </w:rPr>
        <w:t xml:space="preserve"> </w:t>
      </w:r>
      <w:r>
        <w:rPr>
          <w:rFonts w:ascii="Arial" w:hAnsi="Arial" w:cs="Arial"/>
          <w:sz w:val="24"/>
          <w:szCs w:val="24"/>
        </w:rPr>
        <w:t xml:space="preserve"> </w:t>
      </w:r>
      <w:r w:rsidRPr="00C91A40">
        <w:rPr>
          <w:rFonts w:ascii="Arial" w:hAnsi="Arial" w:cs="Arial"/>
          <w:sz w:val="24"/>
          <w:szCs w:val="24"/>
        </w:rPr>
        <w:t>A insistência, ao consumo do glúten por paciente celíaco em sua dieta diária, pode causar outras enfermidades graves, como linfoma, carcinomas do esôfago, assim como adenocarcinoma do intestino delgado bem como outras doenças do trato gastrointestinal, lesões hepáticas e pancreáticas entre out</w:t>
      </w:r>
      <w:r>
        <w:rPr>
          <w:rFonts w:ascii="Arial" w:hAnsi="Arial" w:cs="Arial"/>
          <w:sz w:val="24"/>
          <w:szCs w:val="24"/>
        </w:rPr>
        <w:t>r</w:t>
      </w:r>
      <w:r w:rsidRPr="00C91A40">
        <w:rPr>
          <w:rFonts w:ascii="Arial" w:hAnsi="Arial" w:cs="Arial"/>
          <w:sz w:val="24"/>
          <w:szCs w:val="24"/>
        </w:rPr>
        <w:t xml:space="preserve">as. Segundo, Mont-Serrat </w:t>
      </w:r>
      <w:r w:rsidRPr="00436F9E">
        <w:rPr>
          <w:rFonts w:ascii="Arial" w:hAnsi="Arial" w:cs="Arial"/>
          <w:i/>
          <w:sz w:val="24"/>
          <w:szCs w:val="24"/>
        </w:rPr>
        <w:t>et al</w:t>
      </w:r>
      <w:r w:rsidRPr="00C91A40">
        <w:rPr>
          <w:rFonts w:ascii="Arial" w:hAnsi="Arial" w:cs="Arial"/>
          <w:sz w:val="24"/>
          <w:szCs w:val="24"/>
        </w:rPr>
        <w:t>, (2008), existe uma predisposição da DC em pessoas portadoras da diabetes melitos tipo I, após análises de testes em pacientes, foi detectado em alguns deles prevalência de 2,5% para esta doença no grupo.</w:t>
      </w:r>
      <w:r>
        <w:rPr>
          <w:rFonts w:ascii="Arial" w:hAnsi="Arial" w:cs="Arial"/>
          <w:sz w:val="24"/>
          <w:szCs w:val="24"/>
        </w:rPr>
        <w:t xml:space="preserve"> </w:t>
      </w:r>
      <w:r w:rsidRPr="004F1CD8">
        <w:rPr>
          <w:rFonts w:ascii="Arial" w:hAnsi="Arial" w:cs="Arial"/>
          <w:color w:val="000000"/>
          <w:sz w:val="24"/>
          <w:szCs w:val="24"/>
        </w:rPr>
        <w:t>A elevada população de celíacos em meio à prevalência da doença celíaca no Brasil, com a estimativa de 300 mil brasileiros portadores da patologia, sendo mais frequente em mulheres que em homens, em uma estimativa de 2:1.</w:t>
      </w:r>
    </w:p>
    <w:p w:rsidR="00CA7CA0" w:rsidRDefault="00CA7CA0" w:rsidP="00CA7CA0">
      <w:pPr>
        <w:spacing w:line="360" w:lineRule="auto"/>
        <w:ind w:firstLine="360"/>
        <w:jc w:val="both"/>
        <w:rPr>
          <w:rFonts w:ascii="Arial" w:hAnsi="Arial" w:cs="Arial"/>
          <w:sz w:val="24"/>
          <w:szCs w:val="24"/>
        </w:rPr>
      </w:pPr>
      <w:r>
        <w:rPr>
          <w:rFonts w:ascii="Arial" w:hAnsi="Arial" w:cs="Arial"/>
          <w:color w:val="000000"/>
          <w:sz w:val="24"/>
          <w:szCs w:val="24"/>
        </w:rPr>
        <w:t xml:space="preserve"> Mesmo com aumento no número de celíacos no país e a </w:t>
      </w:r>
      <w:r w:rsidRPr="004F1CD8">
        <w:rPr>
          <w:rFonts w:ascii="Arial" w:hAnsi="Arial" w:cs="Arial"/>
          <w:color w:val="000000"/>
          <w:sz w:val="24"/>
          <w:szCs w:val="24"/>
        </w:rPr>
        <w:t>pouca atenção por parte das indústrias de alimentos que em meio à quantidade de pacientes celíacos que possuem extensa restrição alimentar inseridas em sua dieta, encontra dificuldade ao se deparar com uma pequena gam</w:t>
      </w:r>
      <w:r>
        <w:rPr>
          <w:rFonts w:ascii="Arial" w:hAnsi="Arial" w:cs="Arial"/>
          <w:color w:val="000000"/>
          <w:sz w:val="24"/>
          <w:szCs w:val="24"/>
        </w:rPr>
        <w:t>a de produtos livres do glúten de</w:t>
      </w:r>
      <w:r w:rsidRPr="004F1CD8">
        <w:rPr>
          <w:rFonts w:ascii="Arial" w:hAnsi="Arial" w:cs="Arial"/>
          <w:color w:val="000000"/>
          <w:sz w:val="24"/>
          <w:szCs w:val="24"/>
        </w:rPr>
        <w:t xml:space="preserve"> fácil acesso.</w:t>
      </w:r>
      <w:r>
        <w:rPr>
          <w:rFonts w:ascii="Arial" w:hAnsi="Arial" w:cs="Arial"/>
          <w:color w:val="000000"/>
          <w:sz w:val="24"/>
          <w:szCs w:val="24"/>
        </w:rPr>
        <w:t xml:space="preserve"> </w:t>
      </w:r>
      <w:r w:rsidRPr="004F1CD8">
        <w:rPr>
          <w:rFonts w:ascii="Arial" w:hAnsi="Arial" w:cs="Arial"/>
          <w:color w:val="000000"/>
          <w:sz w:val="24"/>
          <w:szCs w:val="24"/>
        </w:rPr>
        <w:t xml:space="preserve"> A transgressão da dieta de pacientes por falta de orientação familiar, dificuldade financeira, descrença, habito do uso de farinha de trigo, falta de habilidade culinária ou a fortes pressões de propagandas de produtos industrializados na mídia.</w:t>
      </w:r>
      <w:r>
        <w:rPr>
          <w:rFonts w:ascii="Arial" w:hAnsi="Arial" w:cs="Arial"/>
          <w:color w:val="000000"/>
          <w:sz w:val="24"/>
          <w:szCs w:val="24"/>
        </w:rPr>
        <w:t xml:space="preserve"> </w:t>
      </w:r>
      <w:r>
        <w:rPr>
          <w:rFonts w:ascii="Arial" w:hAnsi="Arial" w:cs="Arial"/>
          <w:sz w:val="24"/>
          <w:szCs w:val="24"/>
        </w:rPr>
        <w:t xml:space="preserve">É importante salientar, que a intolerância ao glúten é uma das </w:t>
      </w:r>
      <w:r w:rsidRPr="00C91A40">
        <w:rPr>
          <w:rFonts w:ascii="Arial" w:hAnsi="Arial" w:cs="Arial"/>
          <w:sz w:val="24"/>
          <w:szCs w:val="24"/>
        </w:rPr>
        <w:t>manifestações do organismo de extrema complexidade, sendo que em todos os casos suspeitos devem ser analisados com extrema singularidade a fim de proporcionar ao paciente uma vida saudável mesmo com a ausência destas proteínas.</w:t>
      </w:r>
    </w:p>
    <w:p w:rsidR="00CA7CA0" w:rsidRDefault="00CA7CA0" w:rsidP="00CA7CA0">
      <w:pPr>
        <w:spacing w:line="360" w:lineRule="auto"/>
        <w:ind w:firstLine="360"/>
        <w:jc w:val="both"/>
        <w:rPr>
          <w:rFonts w:ascii="Arial" w:hAnsi="Arial" w:cs="Arial"/>
          <w:sz w:val="24"/>
          <w:szCs w:val="24"/>
        </w:rPr>
      </w:pPr>
    </w:p>
    <w:p w:rsidR="00CA7CA0" w:rsidRDefault="00CA7CA0" w:rsidP="00CA7CA0">
      <w:pPr>
        <w:spacing w:line="360" w:lineRule="auto"/>
        <w:ind w:firstLine="360"/>
        <w:jc w:val="both"/>
        <w:rPr>
          <w:rFonts w:ascii="Arial" w:hAnsi="Arial" w:cs="Arial"/>
          <w:sz w:val="24"/>
          <w:szCs w:val="24"/>
        </w:rPr>
      </w:pPr>
    </w:p>
    <w:p w:rsidR="00CA7CA0" w:rsidRDefault="00CA7CA0" w:rsidP="00CA7CA0">
      <w:pPr>
        <w:spacing w:line="360" w:lineRule="auto"/>
        <w:ind w:firstLine="360"/>
        <w:jc w:val="both"/>
        <w:rPr>
          <w:rFonts w:ascii="Arial" w:hAnsi="Arial" w:cs="Arial"/>
          <w:sz w:val="24"/>
          <w:szCs w:val="24"/>
        </w:rPr>
      </w:pPr>
    </w:p>
    <w:p w:rsidR="00CA7CA0" w:rsidRDefault="00CA7CA0" w:rsidP="00CA7CA0">
      <w:pPr>
        <w:spacing w:line="360" w:lineRule="auto"/>
        <w:ind w:firstLine="360"/>
        <w:jc w:val="both"/>
        <w:rPr>
          <w:rFonts w:ascii="Arial" w:hAnsi="Arial" w:cs="Arial"/>
          <w:sz w:val="24"/>
          <w:szCs w:val="24"/>
        </w:rPr>
      </w:pPr>
    </w:p>
    <w:p w:rsidR="00CA7CA0" w:rsidRDefault="00CA7CA0" w:rsidP="00CA7CA0">
      <w:pPr>
        <w:pStyle w:val="PargrafodaLista"/>
        <w:numPr>
          <w:ilvl w:val="0"/>
          <w:numId w:val="2"/>
        </w:numPr>
        <w:spacing w:line="360" w:lineRule="auto"/>
        <w:jc w:val="both"/>
        <w:rPr>
          <w:rFonts w:ascii="Arial" w:hAnsi="Arial" w:cs="Arial"/>
          <w:color w:val="000000"/>
          <w:sz w:val="28"/>
          <w:szCs w:val="28"/>
        </w:rPr>
      </w:pPr>
      <w:r w:rsidRPr="00436F9E">
        <w:rPr>
          <w:rFonts w:ascii="Arial" w:hAnsi="Arial" w:cs="Arial"/>
          <w:color w:val="000000"/>
          <w:sz w:val="28"/>
          <w:szCs w:val="28"/>
        </w:rPr>
        <w:t>OBJETIVO</w:t>
      </w:r>
    </w:p>
    <w:p w:rsidR="00CA7CA0" w:rsidRDefault="00CA7CA0" w:rsidP="00CA7CA0">
      <w:pPr>
        <w:spacing w:line="360" w:lineRule="auto"/>
        <w:ind w:firstLine="360"/>
        <w:jc w:val="both"/>
        <w:rPr>
          <w:rFonts w:ascii="Arial" w:hAnsi="Arial" w:cs="Arial"/>
          <w:color w:val="000000"/>
          <w:sz w:val="24"/>
          <w:szCs w:val="24"/>
        </w:rPr>
      </w:pPr>
    </w:p>
    <w:p w:rsidR="00CA7CA0" w:rsidRPr="004F1CD8" w:rsidRDefault="00CA7CA0" w:rsidP="00CA7CA0">
      <w:pPr>
        <w:spacing w:line="360" w:lineRule="auto"/>
        <w:ind w:firstLine="360"/>
        <w:jc w:val="both"/>
        <w:rPr>
          <w:rFonts w:ascii="Arial" w:hAnsi="Arial" w:cs="Arial"/>
          <w:color w:val="000000"/>
          <w:sz w:val="24"/>
          <w:szCs w:val="24"/>
        </w:rPr>
      </w:pPr>
      <w:r>
        <w:rPr>
          <w:rFonts w:ascii="Arial" w:hAnsi="Arial" w:cs="Arial"/>
          <w:color w:val="000000"/>
          <w:sz w:val="24"/>
          <w:szCs w:val="24"/>
        </w:rPr>
        <w:t xml:space="preserve"> Chamar atenção da população quanto à gravidade da doença, de maneira que se posicionem perante a indústria pleiteando mais atenção a esses pacientes, na busca de novos e diversos produtos alimentícios livres de glúten e com preços acessíveis, proporcionando ainda mais qualidade de vida.</w:t>
      </w:r>
    </w:p>
    <w:p w:rsidR="00CA7CA0" w:rsidRDefault="00CA7CA0" w:rsidP="00CA7CA0">
      <w:pPr>
        <w:spacing w:line="360" w:lineRule="auto"/>
        <w:ind w:firstLine="360"/>
        <w:jc w:val="both"/>
        <w:rPr>
          <w:rFonts w:ascii="Arial" w:hAnsi="Arial" w:cs="Arial"/>
          <w:color w:val="000000"/>
          <w:sz w:val="24"/>
          <w:szCs w:val="24"/>
        </w:rPr>
      </w:pPr>
    </w:p>
    <w:p w:rsidR="00CA7CA0" w:rsidRDefault="00CA7CA0" w:rsidP="00CA7CA0">
      <w:pPr>
        <w:spacing w:line="360" w:lineRule="auto"/>
        <w:ind w:firstLine="360"/>
        <w:jc w:val="both"/>
        <w:rPr>
          <w:rFonts w:ascii="Arial" w:hAnsi="Arial" w:cs="Arial"/>
          <w:color w:val="000000"/>
          <w:sz w:val="24"/>
          <w:szCs w:val="24"/>
        </w:rPr>
      </w:pPr>
    </w:p>
    <w:p w:rsidR="00CA7CA0" w:rsidRPr="00D13336" w:rsidRDefault="00CA7CA0" w:rsidP="00CA7CA0">
      <w:pPr>
        <w:rPr>
          <w:rFonts w:ascii="Arial" w:hAnsi="Arial" w:cs="Arial"/>
          <w:color w:val="000000"/>
          <w:sz w:val="28"/>
          <w:szCs w:val="28"/>
        </w:rPr>
      </w:pPr>
      <w:r>
        <w:rPr>
          <w:rFonts w:ascii="Arial" w:hAnsi="Arial" w:cs="Arial"/>
          <w:color w:val="000000"/>
          <w:sz w:val="24"/>
          <w:szCs w:val="24"/>
        </w:rPr>
        <w:br w:type="page"/>
      </w:r>
      <w:r w:rsidRPr="00D13336">
        <w:rPr>
          <w:rFonts w:ascii="Arial" w:hAnsi="Arial" w:cs="Arial"/>
          <w:color w:val="000000"/>
          <w:sz w:val="28"/>
          <w:szCs w:val="28"/>
        </w:rPr>
        <w:lastRenderedPageBreak/>
        <w:t>3- REVISÕES DA LITERATURA</w:t>
      </w:r>
    </w:p>
    <w:p w:rsidR="00CA7CA0" w:rsidRDefault="00CA7CA0" w:rsidP="00CA7CA0">
      <w:pPr>
        <w:spacing w:line="360" w:lineRule="auto"/>
        <w:jc w:val="both"/>
        <w:rPr>
          <w:rFonts w:ascii="Arial" w:hAnsi="Arial" w:cs="Arial"/>
          <w:sz w:val="24"/>
          <w:szCs w:val="24"/>
        </w:rPr>
      </w:pPr>
      <w:r>
        <w:rPr>
          <w:rFonts w:ascii="Arial" w:hAnsi="Arial" w:cs="Arial"/>
          <w:sz w:val="24"/>
          <w:szCs w:val="24"/>
        </w:rPr>
        <w:t>3.1- Histórico da doença</w:t>
      </w:r>
    </w:p>
    <w:p w:rsidR="00CA7CA0" w:rsidRDefault="00CA7CA0" w:rsidP="00CA7CA0">
      <w:pPr>
        <w:spacing w:line="360" w:lineRule="auto"/>
        <w:jc w:val="both"/>
        <w:rPr>
          <w:rFonts w:ascii="Arial" w:hAnsi="Arial" w:cs="Arial"/>
          <w:sz w:val="24"/>
          <w:szCs w:val="24"/>
        </w:rPr>
      </w:pPr>
    </w:p>
    <w:p w:rsidR="00CA7CA0" w:rsidRDefault="00CA7CA0" w:rsidP="00CA7CA0">
      <w:pPr>
        <w:spacing w:line="360" w:lineRule="auto"/>
        <w:jc w:val="both"/>
        <w:rPr>
          <w:rFonts w:ascii="Arial" w:hAnsi="Arial" w:cs="Arial"/>
          <w:sz w:val="24"/>
          <w:szCs w:val="24"/>
        </w:rPr>
      </w:pPr>
      <w:r>
        <w:rPr>
          <w:rFonts w:ascii="Arial" w:hAnsi="Arial" w:cs="Arial"/>
          <w:sz w:val="24"/>
          <w:szCs w:val="24"/>
        </w:rPr>
        <w:t xml:space="preserve">     </w:t>
      </w:r>
      <w:r w:rsidR="00573776">
        <w:rPr>
          <w:rFonts w:ascii="Arial" w:hAnsi="Arial" w:cs="Arial"/>
          <w:sz w:val="24"/>
          <w:szCs w:val="24"/>
        </w:rPr>
        <w:t>A doença celíaca é uma patologia autoimune que desde a era cristã tem histórico de sua existência, muito embora sua origem ainda seja uma incógnita para os estudiosos da área da saúde.</w:t>
      </w:r>
      <w:r>
        <w:rPr>
          <w:rFonts w:ascii="Arial" w:hAnsi="Arial" w:cs="Arial"/>
          <w:sz w:val="24"/>
          <w:szCs w:val="24"/>
        </w:rPr>
        <w:t xml:space="preserve"> O que se sabe, é que esta doença é uma enteropatia de resistência ao consumo do glúten. Conforme Nobre </w:t>
      </w:r>
      <w:r w:rsidRPr="00B237C8">
        <w:rPr>
          <w:rFonts w:ascii="Arial" w:hAnsi="Arial" w:cs="Arial"/>
          <w:i/>
          <w:sz w:val="24"/>
          <w:szCs w:val="24"/>
        </w:rPr>
        <w:t>et al</w:t>
      </w:r>
      <w:r>
        <w:rPr>
          <w:rFonts w:ascii="Arial" w:hAnsi="Arial" w:cs="Arial"/>
          <w:i/>
          <w:sz w:val="24"/>
          <w:szCs w:val="24"/>
        </w:rPr>
        <w:t xml:space="preserve">, (2007), </w:t>
      </w:r>
      <w:r>
        <w:rPr>
          <w:rFonts w:ascii="Arial" w:hAnsi="Arial" w:cs="Arial"/>
          <w:sz w:val="24"/>
          <w:szCs w:val="24"/>
        </w:rPr>
        <w:t>existe muita discussão com relação ao contexto epidemiológico da doença, que se expandiu e, atualmente é considerada a intolerância alimentar mais comum em todo mundo.</w:t>
      </w:r>
    </w:p>
    <w:p w:rsidR="00CA7CA0" w:rsidRDefault="00CA7CA0" w:rsidP="00CA7CA0">
      <w:pPr>
        <w:spacing w:line="360" w:lineRule="auto"/>
        <w:jc w:val="both"/>
        <w:rPr>
          <w:rFonts w:ascii="Arial" w:hAnsi="Arial" w:cs="Arial"/>
          <w:sz w:val="24"/>
          <w:szCs w:val="24"/>
        </w:rPr>
      </w:pPr>
      <w:r>
        <w:rPr>
          <w:rFonts w:ascii="Arial" w:hAnsi="Arial" w:cs="Arial"/>
          <w:sz w:val="24"/>
          <w:szCs w:val="24"/>
        </w:rPr>
        <w:t xml:space="preserve">      Acreditava-se que a doença era exclusivamente uma moléstia da infância, mas agora, sabe-se que ela pode aparecer em qualquer idade, seja adulto ou ate mesmo uma criança recém-nascida coincidindo com a introdução dos cereais na alimentação. De acordo com Cardoso </w:t>
      </w:r>
      <w:r w:rsidRPr="00035A5D">
        <w:rPr>
          <w:rFonts w:ascii="Arial" w:hAnsi="Arial" w:cs="Arial"/>
          <w:i/>
          <w:sz w:val="24"/>
          <w:szCs w:val="24"/>
        </w:rPr>
        <w:t>et al</w:t>
      </w:r>
      <w:r>
        <w:rPr>
          <w:rFonts w:ascii="Arial" w:hAnsi="Arial" w:cs="Arial"/>
          <w:i/>
          <w:sz w:val="24"/>
          <w:szCs w:val="24"/>
        </w:rPr>
        <w:t>,</w:t>
      </w:r>
      <w:r>
        <w:rPr>
          <w:rFonts w:ascii="Arial" w:hAnsi="Arial" w:cs="Arial"/>
          <w:sz w:val="24"/>
          <w:szCs w:val="24"/>
        </w:rPr>
        <w:t xml:space="preserve"> (2006), essa patologia de exclusiva intolerância às proteínas do trigo entre outros cereais, passou a ser considerada nos dias atuais, uma doença comum, que pode ser diagnosticada independentemente da idade do indivíduo. Segundo Bahia </w:t>
      </w:r>
      <w:r w:rsidRPr="002D6492">
        <w:rPr>
          <w:rFonts w:ascii="Arial" w:hAnsi="Arial" w:cs="Arial"/>
          <w:i/>
          <w:sz w:val="24"/>
          <w:szCs w:val="24"/>
        </w:rPr>
        <w:t>et al</w:t>
      </w:r>
      <w:r>
        <w:rPr>
          <w:rFonts w:ascii="Arial" w:hAnsi="Arial" w:cs="Arial"/>
          <w:i/>
          <w:sz w:val="24"/>
          <w:szCs w:val="24"/>
        </w:rPr>
        <w:t>,</w:t>
      </w:r>
      <w:r>
        <w:rPr>
          <w:rFonts w:ascii="Arial" w:hAnsi="Arial" w:cs="Arial"/>
          <w:sz w:val="24"/>
          <w:szCs w:val="24"/>
        </w:rPr>
        <w:t xml:space="preserve"> (2010), dentre outros fatores, ainda são destacados como um fator histórico da doença, como a predisposição genética de algumas pessoas. Esse fator genético é conhecido desde 1970.</w:t>
      </w:r>
    </w:p>
    <w:p w:rsidR="00CA7CA0" w:rsidRDefault="00CA7CA0" w:rsidP="00CA7CA0">
      <w:pPr>
        <w:spacing w:line="360" w:lineRule="auto"/>
        <w:jc w:val="both"/>
        <w:rPr>
          <w:rFonts w:ascii="Arial" w:hAnsi="Arial" w:cs="Arial"/>
          <w:sz w:val="24"/>
          <w:szCs w:val="24"/>
        </w:rPr>
      </w:pPr>
      <w:r>
        <w:rPr>
          <w:rFonts w:ascii="Arial" w:hAnsi="Arial" w:cs="Arial"/>
          <w:sz w:val="24"/>
          <w:szCs w:val="24"/>
        </w:rPr>
        <w:t xml:space="preserve">     Ainda em Bahia </w:t>
      </w:r>
      <w:r w:rsidRPr="002D6492">
        <w:rPr>
          <w:rFonts w:ascii="Arial" w:hAnsi="Arial" w:cs="Arial"/>
          <w:i/>
          <w:sz w:val="24"/>
          <w:szCs w:val="24"/>
        </w:rPr>
        <w:t>et al</w:t>
      </w:r>
      <w:r>
        <w:rPr>
          <w:rFonts w:ascii="Arial" w:hAnsi="Arial" w:cs="Arial"/>
          <w:i/>
          <w:sz w:val="24"/>
          <w:szCs w:val="24"/>
        </w:rPr>
        <w:t xml:space="preserve">, </w:t>
      </w:r>
      <w:r w:rsidRPr="002D6492">
        <w:rPr>
          <w:rFonts w:ascii="Arial" w:hAnsi="Arial" w:cs="Arial"/>
          <w:sz w:val="24"/>
          <w:szCs w:val="24"/>
        </w:rPr>
        <w:t>(2010)</w:t>
      </w:r>
      <w:r>
        <w:rPr>
          <w:rFonts w:ascii="Arial" w:hAnsi="Arial" w:cs="Arial"/>
          <w:sz w:val="24"/>
          <w:szCs w:val="24"/>
        </w:rPr>
        <w:t>, estudos recentes demostraram que a patogênese</w:t>
      </w:r>
      <w:r w:rsidR="00573776">
        <w:rPr>
          <w:rFonts w:ascii="Arial" w:hAnsi="Arial" w:cs="Arial"/>
          <w:sz w:val="24"/>
          <w:szCs w:val="24"/>
        </w:rPr>
        <w:t xml:space="preserve"> </w:t>
      </w:r>
      <w:r>
        <w:rPr>
          <w:rFonts w:ascii="Arial" w:hAnsi="Arial" w:cs="Arial"/>
          <w:sz w:val="24"/>
          <w:szCs w:val="24"/>
        </w:rPr>
        <w:t>da DC pode estar diretamente relacionada aos fatores genéticos. Todavia, não se pode generalizar, uma vez que, essa predisposição pode não prevalecer em determinadas etnias. Estudos dos últimos anos indicam que a relação da DC com o fator genético são característicos, entretanto, existem outros fatores que podem desencadear a doença, que pode ser da origem</w:t>
      </w:r>
      <w:r w:rsidR="00573776">
        <w:rPr>
          <w:rFonts w:ascii="Arial" w:hAnsi="Arial" w:cs="Arial"/>
          <w:sz w:val="24"/>
          <w:szCs w:val="24"/>
        </w:rPr>
        <w:t xml:space="preserve"> </w:t>
      </w:r>
      <w:r>
        <w:rPr>
          <w:rFonts w:ascii="Arial" w:hAnsi="Arial" w:cs="Arial"/>
          <w:sz w:val="24"/>
          <w:szCs w:val="24"/>
        </w:rPr>
        <w:t>da pessoa à sua raça.</w:t>
      </w:r>
    </w:p>
    <w:p w:rsidR="00CA7CA0" w:rsidRDefault="00CA7CA0" w:rsidP="00CA7CA0">
      <w:pPr>
        <w:spacing w:before="240" w:line="360" w:lineRule="auto"/>
        <w:jc w:val="both"/>
        <w:rPr>
          <w:rFonts w:ascii="Arial" w:hAnsi="Arial" w:cs="Arial"/>
          <w:sz w:val="24"/>
          <w:szCs w:val="24"/>
        </w:rPr>
      </w:pPr>
      <w:r>
        <w:rPr>
          <w:rFonts w:ascii="Arial" w:hAnsi="Arial" w:cs="Arial"/>
          <w:sz w:val="24"/>
          <w:szCs w:val="24"/>
        </w:rPr>
        <w:t xml:space="preserve">     Segundo Rauen; Back; Moreira, (2005), a prevalência da DC é bastante diferente de um país em relação a outro, no Brasil até o momento, não existem dados estatísticos oficiais. Sabe-se que a patologia atinge em sua maioria indivíduos de cor branca, mas se tratando de Brasil, que é uma nação de muita </w:t>
      </w:r>
      <w:r>
        <w:rPr>
          <w:rFonts w:ascii="Arial" w:hAnsi="Arial" w:cs="Arial"/>
          <w:sz w:val="24"/>
          <w:szCs w:val="24"/>
        </w:rPr>
        <w:lastRenderedPageBreak/>
        <w:t>miscigenação racial, já foi descrito em pessoas mulatas. Além disso, ainda existem inúmeras pessoas que desenvolveram a doença, mas não sabem.</w:t>
      </w:r>
    </w:p>
    <w:p w:rsidR="00CA7CA0" w:rsidRPr="005555CF" w:rsidRDefault="00CA7CA0" w:rsidP="00CA7CA0">
      <w:pPr>
        <w:spacing w:line="360" w:lineRule="auto"/>
        <w:jc w:val="both"/>
        <w:rPr>
          <w:rFonts w:ascii="Arial" w:hAnsi="Arial" w:cs="Arial"/>
          <w:sz w:val="24"/>
          <w:szCs w:val="24"/>
        </w:rPr>
      </w:pPr>
      <w:r>
        <w:rPr>
          <w:rFonts w:ascii="Arial" w:hAnsi="Arial" w:cs="Arial"/>
          <w:sz w:val="24"/>
          <w:szCs w:val="24"/>
        </w:rPr>
        <w:t xml:space="preserve">      </w:t>
      </w:r>
      <w:r w:rsidR="00573776">
        <w:rPr>
          <w:rFonts w:ascii="Arial" w:hAnsi="Arial" w:cs="Arial"/>
          <w:sz w:val="24"/>
          <w:szCs w:val="24"/>
        </w:rPr>
        <w:t xml:space="preserve">Em Araújo </w:t>
      </w:r>
      <w:r w:rsidR="00573776" w:rsidRPr="005555CF">
        <w:rPr>
          <w:rFonts w:ascii="Arial" w:hAnsi="Arial" w:cs="Arial"/>
          <w:i/>
          <w:sz w:val="24"/>
          <w:szCs w:val="24"/>
        </w:rPr>
        <w:t>et al</w:t>
      </w:r>
      <w:r w:rsidR="00573776">
        <w:rPr>
          <w:rFonts w:ascii="Arial" w:hAnsi="Arial" w:cs="Arial"/>
          <w:i/>
          <w:sz w:val="24"/>
          <w:szCs w:val="24"/>
        </w:rPr>
        <w:t xml:space="preserve">, </w:t>
      </w:r>
      <w:r w:rsidR="00573776">
        <w:rPr>
          <w:rFonts w:ascii="Arial" w:hAnsi="Arial" w:cs="Arial"/>
          <w:sz w:val="24"/>
          <w:szCs w:val="24"/>
        </w:rPr>
        <w:t xml:space="preserve">(2010), devido a essa prevalência e aumento excessivo de pessoas portadoras, a patologia hoje, é considerada no mundo todo, como um problema de saúde publica, em decorrência da probabilidade de aparecimento de complicações mais graves. </w:t>
      </w:r>
    </w:p>
    <w:p w:rsidR="00CA7CA0" w:rsidRDefault="00CA7CA0" w:rsidP="00CA7CA0">
      <w:pPr>
        <w:spacing w:line="360" w:lineRule="auto"/>
        <w:jc w:val="both"/>
        <w:rPr>
          <w:rFonts w:ascii="Arial" w:hAnsi="Arial" w:cs="Arial"/>
          <w:sz w:val="24"/>
          <w:szCs w:val="24"/>
        </w:rPr>
      </w:pPr>
      <w:r>
        <w:rPr>
          <w:rFonts w:ascii="Arial" w:hAnsi="Arial" w:cs="Arial"/>
          <w:sz w:val="24"/>
          <w:szCs w:val="24"/>
        </w:rPr>
        <w:t xml:space="preserve">     É muito provável que ao se manifestar num indivíduo, a doença celíaca já havia acometido outros membros da família, pois esse traz em seu gene condições hereditárias para a doença.</w:t>
      </w:r>
      <w:r w:rsidRPr="0099482F">
        <w:rPr>
          <w:rFonts w:ascii="Arial" w:hAnsi="Arial" w:cs="Arial"/>
          <w:sz w:val="24"/>
          <w:szCs w:val="24"/>
        </w:rPr>
        <w:t xml:space="preserve"> </w:t>
      </w:r>
      <w:r>
        <w:rPr>
          <w:rFonts w:ascii="Arial" w:hAnsi="Arial" w:cs="Arial"/>
          <w:sz w:val="24"/>
          <w:szCs w:val="24"/>
        </w:rPr>
        <w:t>Utiyama; Reason; Kotze, (2004), a doença celíaca (DC) representa uma forte condição hereditária, constituindo-se numa enfermidade multifatorial, que envolve tanto componentes genéticos, como ambientais na sua etiopatogenia. Em Nobre; Silva; Cabral, (2007), a DC em seu aspecto principal, a fisiopatologia é complexa, dessa forma, resultando da interação de vários fatores, ambientais, genéticos e imunológicos. Alguns eventos na patogênese da DC são apresentados na Figura 1.</w:t>
      </w:r>
    </w:p>
    <w:p w:rsidR="00CA7CA0" w:rsidRDefault="00CA7CA0" w:rsidP="00CA7CA0">
      <w:pPr>
        <w:autoSpaceDE w:val="0"/>
        <w:autoSpaceDN w:val="0"/>
        <w:adjustRightInd w:val="0"/>
        <w:spacing w:after="0" w:line="240" w:lineRule="auto"/>
        <w:rPr>
          <w:rFonts w:ascii="TimesNewRomanPSMT" w:hAnsi="TimesNewRomanPSMT" w:cs="TimesNewRomanPSMT"/>
          <w:color w:val="231F20"/>
          <w:sz w:val="12"/>
          <w:szCs w:val="12"/>
          <w:lang w:eastAsia="pt-BR"/>
        </w:rPr>
      </w:pPr>
    </w:p>
    <w:p w:rsidR="00CA7CA0" w:rsidRDefault="00CA7CA0" w:rsidP="00CA7CA0">
      <w:pPr>
        <w:autoSpaceDE w:val="0"/>
        <w:autoSpaceDN w:val="0"/>
        <w:adjustRightInd w:val="0"/>
        <w:spacing w:after="0" w:line="240" w:lineRule="auto"/>
        <w:rPr>
          <w:rFonts w:ascii="TimesNewRomanPSMT" w:hAnsi="TimesNewRomanPSMT" w:cs="TimesNewRomanPSMT"/>
          <w:color w:val="231F20"/>
          <w:sz w:val="12"/>
          <w:szCs w:val="12"/>
          <w:lang w:eastAsia="pt-BR"/>
        </w:rPr>
      </w:pPr>
    </w:p>
    <w:p w:rsidR="00CA7CA0" w:rsidRDefault="00CA7CA0" w:rsidP="00CA7CA0">
      <w:pPr>
        <w:autoSpaceDE w:val="0"/>
        <w:autoSpaceDN w:val="0"/>
        <w:adjustRightInd w:val="0"/>
        <w:spacing w:after="0" w:line="240" w:lineRule="auto"/>
        <w:rPr>
          <w:rFonts w:ascii="TimesNewRomanPSMT" w:hAnsi="TimesNewRomanPSMT" w:cs="TimesNewRomanPSMT"/>
          <w:color w:val="231F20"/>
          <w:sz w:val="12"/>
          <w:szCs w:val="12"/>
          <w:lang w:eastAsia="pt-BR"/>
        </w:rPr>
      </w:pPr>
      <w:r>
        <w:rPr>
          <w:rFonts w:ascii="Arial" w:hAnsi="Arial" w:cs="Arial"/>
          <w:noProof/>
          <w:sz w:val="24"/>
          <w:szCs w:val="24"/>
          <w:lang w:eastAsia="pt-BR"/>
        </w:rPr>
        <w:drawing>
          <wp:inline distT="0" distB="0" distL="0" distR="0" wp14:anchorId="35D91E0C" wp14:editId="65628AB3">
            <wp:extent cx="3761067" cy="2486286"/>
            <wp:effectExtent l="133350" t="114300" r="144780" b="161925"/>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3760470" cy="24860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NewRomanPSMT" w:hAnsi="TimesNewRomanPSMT" w:cs="TimesNewRomanPSMT"/>
          <w:color w:val="231F20"/>
          <w:sz w:val="12"/>
          <w:szCs w:val="12"/>
          <w:lang w:eastAsia="pt-BR"/>
        </w:rPr>
        <w:t xml:space="preserve"> </w:t>
      </w:r>
    </w:p>
    <w:p w:rsidR="00CA7CA0" w:rsidRPr="00D737DD" w:rsidRDefault="00CA7CA0" w:rsidP="00CA7CA0">
      <w:pPr>
        <w:tabs>
          <w:tab w:val="left" w:pos="7699"/>
        </w:tabs>
        <w:spacing w:line="240" w:lineRule="auto"/>
        <w:jc w:val="both"/>
        <w:rPr>
          <w:b/>
          <w:sz w:val="12"/>
          <w:szCs w:val="12"/>
        </w:rPr>
      </w:pPr>
      <w:r>
        <w:rPr>
          <w:rFonts w:ascii="TimesNewRomanPSMT" w:hAnsi="TimesNewRomanPSMT" w:cs="TimesNewRomanPSMT"/>
          <w:color w:val="231F20"/>
          <w:sz w:val="12"/>
          <w:szCs w:val="12"/>
          <w:lang w:eastAsia="pt-BR"/>
        </w:rPr>
        <w:t xml:space="preserve">                   </w:t>
      </w:r>
      <w:r w:rsidRPr="00D737DD">
        <w:rPr>
          <w:b/>
          <w:sz w:val="12"/>
          <w:szCs w:val="12"/>
        </w:rPr>
        <w:t>Legenda: G= Glutamina; E= Epítopos de derivados do glúten (péptidos desaminados).</w:t>
      </w:r>
    </w:p>
    <w:p w:rsidR="00CA7CA0" w:rsidRPr="00D737DD" w:rsidRDefault="00CA7CA0" w:rsidP="00CA7CA0">
      <w:pPr>
        <w:tabs>
          <w:tab w:val="left" w:pos="-426"/>
        </w:tabs>
        <w:autoSpaceDE w:val="0"/>
        <w:autoSpaceDN w:val="0"/>
        <w:adjustRightInd w:val="0"/>
        <w:spacing w:after="0" w:line="240" w:lineRule="auto"/>
        <w:ind w:left="-284"/>
        <w:rPr>
          <w:rFonts w:ascii="Arial" w:hAnsi="Arial" w:cs="Arial"/>
          <w:color w:val="231F20"/>
          <w:sz w:val="12"/>
          <w:szCs w:val="12"/>
          <w:lang w:eastAsia="pt-BR"/>
        </w:rPr>
      </w:pPr>
      <w:r>
        <w:rPr>
          <w:rFonts w:ascii="TimesNewRomanPSMT" w:hAnsi="TimesNewRomanPSMT" w:cs="TimesNewRomanPSMT"/>
          <w:color w:val="231F20"/>
          <w:sz w:val="12"/>
          <w:szCs w:val="12"/>
          <w:lang w:eastAsia="pt-BR"/>
        </w:rPr>
        <w:tab/>
      </w:r>
      <w:r w:rsidRPr="00210FF9">
        <w:rPr>
          <w:rFonts w:ascii="Arial" w:hAnsi="Arial" w:cs="Arial"/>
          <w:b/>
          <w:color w:val="231F20"/>
          <w:sz w:val="20"/>
          <w:szCs w:val="20"/>
          <w:lang w:eastAsia="pt-BR"/>
        </w:rPr>
        <w:t xml:space="preserve"> Figura 1</w:t>
      </w:r>
      <w:r>
        <w:rPr>
          <w:rFonts w:ascii="TimesNewRomanPSMT" w:hAnsi="TimesNewRomanPSMT" w:cs="TimesNewRomanPSMT"/>
          <w:color w:val="231F20"/>
          <w:sz w:val="12"/>
          <w:szCs w:val="12"/>
          <w:lang w:eastAsia="pt-BR"/>
        </w:rPr>
        <w:t>-</w:t>
      </w:r>
      <w:r w:rsidRPr="00B91156">
        <w:rPr>
          <w:rFonts w:ascii="TimesNewRomanPSMT" w:hAnsi="TimesNewRomanPSMT" w:cs="TimesNewRomanPSMT"/>
          <w:color w:val="231F20"/>
          <w:sz w:val="20"/>
          <w:szCs w:val="20"/>
          <w:lang w:eastAsia="pt-BR"/>
        </w:rPr>
        <w:t xml:space="preserve"> “</w:t>
      </w:r>
      <w:r w:rsidRPr="00B91156">
        <w:rPr>
          <w:rFonts w:ascii="Times New Roman" w:hAnsi="Times New Roman"/>
          <w:color w:val="231F20"/>
          <w:sz w:val="20"/>
          <w:szCs w:val="20"/>
          <w:lang w:eastAsia="pt-BR"/>
        </w:rPr>
        <w:t>Representação esquemática da patogênese da doença celíaca”</w:t>
      </w:r>
      <w:r>
        <w:rPr>
          <w:rFonts w:ascii="Times New Roman" w:hAnsi="Times New Roman"/>
          <w:b/>
          <w:color w:val="231F20"/>
          <w:sz w:val="20"/>
          <w:szCs w:val="20"/>
          <w:lang w:eastAsia="pt-BR"/>
        </w:rPr>
        <w:t xml:space="preserve"> </w:t>
      </w:r>
      <w:r w:rsidRPr="00D737DD">
        <w:rPr>
          <w:rFonts w:ascii="Arial" w:hAnsi="Arial" w:cs="Arial"/>
          <w:color w:val="231F20"/>
          <w:sz w:val="20"/>
          <w:szCs w:val="20"/>
          <w:lang w:eastAsia="pt-BR"/>
        </w:rPr>
        <w:t>(NOBRE</w:t>
      </w:r>
      <w:r>
        <w:rPr>
          <w:rFonts w:ascii="Arial" w:hAnsi="Arial" w:cs="Arial"/>
          <w:color w:val="231F20"/>
          <w:sz w:val="20"/>
          <w:szCs w:val="20"/>
          <w:lang w:eastAsia="pt-BR"/>
        </w:rPr>
        <w:t>;</w:t>
      </w:r>
      <w:r w:rsidRPr="00D737DD">
        <w:rPr>
          <w:rFonts w:ascii="Arial" w:hAnsi="Arial" w:cs="Arial"/>
          <w:color w:val="231F20"/>
          <w:sz w:val="20"/>
          <w:szCs w:val="20"/>
          <w:lang w:eastAsia="pt-BR"/>
        </w:rPr>
        <w:t xml:space="preserve"> SILVA</w:t>
      </w:r>
      <w:r>
        <w:rPr>
          <w:rFonts w:ascii="Arial" w:hAnsi="Arial" w:cs="Arial"/>
          <w:color w:val="231F20"/>
          <w:sz w:val="20"/>
          <w:szCs w:val="20"/>
          <w:lang w:eastAsia="pt-BR"/>
        </w:rPr>
        <w:t>;</w:t>
      </w:r>
      <w:r w:rsidRPr="00D737DD">
        <w:rPr>
          <w:rFonts w:ascii="Arial" w:hAnsi="Arial" w:cs="Arial"/>
          <w:color w:val="231F20"/>
          <w:sz w:val="20"/>
          <w:szCs w:val="20"/>
          <w:lang w:eastAsia="pt-BR"/>
        </w:rPr>
        <w:t xml:space="preserve"> CABRAL, 2007)</w:t>
      </w:r>
      <w:r>
        <w:rPr>
          <w:rFonts w:ascii="Arial" w:hAnsi="Arial" w:cs="Arial"/>
          <w:color w:val="231F20"/>
          <w:sz w:val="20"/>
          <w:szCs w:val="20"/>
          <w:lang w:eastAsia="pt-BR"/>
        </w:rPr>
        <w:t>.</w:t>
      </w:r>
    </w:p>
    <w:p w:rsidR="00CA7CA0" w:rsidRDefault="00CA7CA0" w:rsidP="00CA7CA0">
      <w:pPr>
        <w:autoSpaceDE w:val="0"/>
        <w:autoSpaceDN w:val="0"/>
        <w:adjustRightInd w:val="0"/>
        <w:spacing w:after="0" w:line="240" w:lineRule="auto"/>
        <w:rPr>
          <w:rFonts w:ascii="TimesNewRomanPS-ItalicMT" w:hAnsi="TimesNewRomanPS-ItalicMT" w:cs="TimesNewRomanPS-ItalicMT"/>
          <w:i/>
          <w:iCs/>
          <w:color w:val="231F20"/>
          <w:sz w:val="12"/>
          <w:szCs w:val="12"/>
          <w:lang w:eastAsia="pt-BR"/>
        </w:rPr>
      </w:pPr>
    </w:p>
    <w:p w:rsidR="00CA7CA0" w:rsidRDefault="00CA7CA0" w:rsidP="00CA7CA0">
      <w:pPr>
        <w:autoSpaceDE w:val="0"/>
        <w:autoSpaceDN w:val="0"/>
        <w:adjustRightInd w:val="0"/>
        <w:spacing w:after="0" w:line="240" w:lineRule="auto"/>
        <w:rPr>
          <w:rFonts w:ascii="TimesNewRomanPS-ItalicMT" w:hAnsi="TimesNewRomanPS-ItalicMT" w:cs="TimesNewRomanPS-ItalicMT"/>
          <w:i/>
          <w:iCs/>
          <w:color w:val="231F20"/>
          <w:sz w:val="12"/>
          <w:szCs w:val="12"/>
          <w:lang w:eastAsia="pt-BR"/>
        </w:rPr>
      </w:pPr>
    </w:p>
    <w:p w:rsidR="00CA7CA0" w:rsidRDefault="00CA7CA0" w:rsidP="00CA7CA0">
      <w:pPr>
        <w:autoSpaceDE w:val="0"/>
        <w:autoSpaceDN w:val="0"/>
        <w:adjustRightInd w:val="0"/>
        <w:spacing w:after="0" w:line="240" w:lineRule="auto"/>
        <w:rPr>
          <w:rFonts w:ascii="TimesNewRomanPS-ItalicMT" w:hAnsi="TimesNewRomanPS-ItalicMT" w:cs="TimesNewRomanPS-ItalicMT"/>
          <w:i/>
          <w:iCs/>
          <w:color w:val="231F20"/>
          <w:sz w:val="12"/>
          <w:szCs w:val="12"/>
          <w:lang w:eastAsia="pt-BR"/>
        </w:rPr>
      </w:pPr>
    </w:p>
    <w:p w:rsidR="00CA7CA0" w:rsidRDefault="00CA7CA0" w:rsidP="00CA7CA0">
      <w:pPr>
        <w:spacing w:line="360" w:lineRule="auto"/>
        <w:jc w:val="both"/>
        <w:rPr>
          <w:rFonts w:ascii="Arial" w:hAnsi="Arial" w:cs="Arial"/>
          <w:sz w:val="24"/>
          <w:szCs w:val="24"/>
        </w:rPr>
      </w:pPr>
      <w:r>
        <w:rPr>
          <w:rFonts w:ascii="Arial" w:hAnsi="Arial" w:cs="Arial"/>
          <w:sz w:val="24"/>
          <w:szCs w:val="24"/>
        </w:rPr>
        <w:t xml:space="preserve">     Esses fatores são cruciais para determinar o aparecimento da doença no ser humano, uma vez que, conforme as características imunológicas de cada </w:t>
      </w:r>
      <w:r>
        <w:rPr>
          <w:rFonts w:ascii="Arial" w:hAnsi="Arial" w:cs="Arial"/>
          <w:sz w:val="24"/>
          <w:szCs w:val="24"/>
        </w:rPr>
        <w:lastRenderedPageBreak/>
        <w:t xml:space="preserve">indivíduo, a prevalência da DC pode estar relacionada diretamente com alguns fatores, como ambientais, genéticos e imunológicos.  </w:t>
      </w:r>
    </w:p>
    <w:p w:rsidR="00CA7CA0" w:rsidRPr="006B4230" w:rsidRDefault="00CA7CA0" w:rsidP="00CA7CA0">
      <w:pPr>
        <w:spacing w:line="240" w:lineRule="auto"/>
        <w:ind w:left="1701" w:firstLine="284"/>
        <w:jc w:val="both"/>
        <w:rPr>
          <w:rFonts w:ascii="Arial" w:hAnsi="Arial" w:cs="Arial"/>
        </w:rPr>
      </w:pPr>
      <w:r>
        <w:rPr>
          <w:rFonts w:ascii="Arial" w:hAnsi="Arial" w:cs="Arial"/>
          <w:sz w:val="24"/>
          <w:szCs w:val="24"/>
        </w:rPr>
        <w:t xml:space="preserve"> </w:t>
      </w:r>
      <w:r w:rsidRPr="00E63EB8">
        <w:rPr>
          <w:rFonts w:ascii="Arial" w:hAnsi="Arial" w:cs="Arial"/>
          <w:sz w:val="18"/>
          <w:szCs w:val="18"/>
        </w:rPr>
        <w:t>O glúten é o fator indutor da doença. Trata-se de uma proteína     existente em diversos cereais, constituída por prolaminas e gluteninas. As prolaminas tóxicas encontram-se no trigo (gliadina) cevada (hordeina) e centeio (cecalina). Estes peptídeos são resistentes à digestão pelas enzimas gástricas e pancreáticas e alcançam a lâmina própria do intestino delgado, possivelmente em consequência de aumento da permeabilidade intestinal. O glúten tem um elevado teor dos aminoácidos prolina (15%) e glutamina (35%). Sabe-se que as moléculas DQ2 e DQ8 tem uma elevada afinidade para os peptídeos com polaridade negativa. A glutamina poder ser convertida em ácido glutâmico, numa reação em que a transglutaminase tecidual intervém como catalizador, resultando em aumento da reatividade com as moléculas</w:t>
      </w:r>
      <w:r>
        <w:rPr>
          <w:rFonts w:ascii="Arial" w:hAnsi="Arial" w:cs="Arial"/>
        </w:rPr>
        <w:t xml:space="preserve">. </w:t>
      </w:r>
      <w:r w:rsidRPr="00E63EB8">
        <w:rPr>
          <w:rFonts w:ascii="Arial" w:hAnsi="Arial" w:cs="Arial"/>
          <w:sz w:val="20"/>
          <w:szCs w:val="20"/>
        </w:rPr>
        <w:t>(NOBRE</w:t>
      </w:r>
      <w:r>
        <w:rPr>
          <w:rFonts w:ascii="Arial" w:hAnsi="Arial" w:cs="Arial"/>
          <w:sz w:val="20"/>
          <w:szCs w:val="20"/>
        </w:rPr>
        <w:t>;</w:t>
      </w:r>
      <w:r w:rsidRPr="00E63EB8">
        <w:rPr>
          <w:rFonts w:ascii="Arial" w:hAnsi="Arial" w:cs="Arial"/>
          <w:sz w:val="20"/>
          <w:szCs w:val="20"/>
        </w:rPr>
        <w:t xml:space="preserve"> SILVA</w:t>
      </w:r>
      <w:r>
        <w:rPr>
          <w:rFonts w:ascii="Arial" w:hAnsi="Arial" w:cs="Arial"/>
          <w:sz w:val="20"/>
          <w:szCs w:val="20"/>
        </w:rPr>
        <w:t>;</w:t>
      </w:r>
      <w:r w:rsidRPr="00E63EB8">
        <w:rPr>
          <w:rFonts w:ascii="Arial" w:hAnsi="Arial" w:cs="Arial"/>
          <w:sz w:val="20"/>
          <w:szCs w:val="20"/>
        </w:rPr>
        <w:t xml:space="preserve"> CABRAL, 2007).</w:t>
      </w:r>
    </w:p>
    <w:p w:rsidR="00CA7CA0" w:rsidRDefault="00CA7CA0" w:rsidP="00CA7CA0">
      <w:pPr>
        <w:spacing w:before="240" w:line="360" w:lineRule="auto"/>
        <w:jc w:val="both"/>
        <w:rPr>
          <w:rFonts w:ascii="Arial" w:hAnsi="Arial" w:cs="Arial"/>
          <w:sz w:val="24"/>
          <w:szCs w:val="24"/>
        </w:rPr>
      </w:pPr>
      <w:r>
        <w:rPr>
          <w:rFonts w:ascii="Arial" w:hAnsi="Arial" w:cs="Arial"/>
          <w:sz w:val="24"/>
          <w:szCs w:val="24"/>
        </w:rPr>
        <w:t xml:space="preserve">       Os fatores genéticos são na sua maioria o mais estudado, pois conforme Utiyana; Reason; Kotze, (2004), por se tratar de um aspecto hereditário, deve-se ser investigados, pois estudos de segregação familiar têm sugerido grande prevalência da doença numa margem de 8% a 18% entre parentes de primeiro grau, além da taxa de concordância entre gêmeos monozigóticos variar entre 70% a 100%. É uma margem que pelos resultados, indicam o fator genético como possível meio de conhecer a origem da doença. </w:t>
      </w:r>
    </w:p>
    <w:p w:rsidR="00CA7CA0" w:rsidRPr="000D494E" w:rsidRDefault="00CA7CA0" w:rsidP="00CA7CA0">
      <w:pPr>
        <w:spacing w:line="360" w:lineRule="auto"/>
        <w:jc w:val="both"/>
        <w:rPr>
          <w:rFonts w:ascii="Arial" w:hAnsi="Arial" w:cs="Arial"/>
          <w:sz w:val="24"/>
          <w:szCs w:val="24"/>
        </w:rPr>
      </w:pPr>
      <w:r>
        <w:rPr>
          <w:rFonts w:ascii="Arial" w:hAnsi="Arial" w:cs="Arial"/>
          <w:sz w:val="24"/>
          <w:szCs w:val="24"/>
        </w:rPr>
        <w:t xml:space="preserve">      Para Mont-Serrat, </w:t>
      </w:r>
      <w:r w:rsidRPr="000D494E">
        <w:rPr>
          <w:rFonts w:ascii="Arial" w:hAnsi="Arial" w:cs="Arial"/>
          <w:i/>
          <w:sz w:val="24"/>
          <w:szCs w:val="24"/>
        </w:rPr>
        <w:t>et al</w:t>
      </w:r>
      <w:r>
        <w:rPr>
          <w:rFonts w:ascii="Arial" w:hAnsi="Arial" w:cs="Arial"/>
          <w:i/>
          <w:sz w:val="24"/>
          <w:szCs w:val="24"/>
        </w:rPr>
        <w:t xml:space="preserve">, </w:t>
      </w:r>
      <w:r w:rsidRPr="000D494E">
        <w:rPr>
          <w:rFonts w:ascii="Arial" w:hAnsi="Arial" w:cs="Arial"/>
          <w:sz w:val="24"/>
          <w:szCs w:val="24"/>
        </w:rPr>
        <w:t>(2008),</w:t>
      </w:r>
      <w:r>
        <w:rPr>
          <w:rFonts w:ascii="Arial" w:hAnsi="Arial" w:cs="Arial"/>
          <w:sz w:val="24"/>
          <w:szCs w:val="24"/>
        </w:rPr>
        <w:t xml:space="preserve"> conforme estudo realizado entre pacientes portadores de Diabetes Melito Tipo I, por exemplo, há uma probabilidade relevante quanto à suscetibilidade genética nesses indivíduos. </w:t>
      </w:r>
    </w:p>
    <w:p w:rsidR="00CA7CA0" w:rsidRDefault="00CA7CA0" w:rsidP="00CA7CA0">
      <w:pPr>
        <w:spacing w:before="240" w:line="360" w:lineRule="auto"/>
        <w:jc w:val="both"/>
        <w:rPr>
          <w:rFonts w:ascii="Arial" w:hAnsi="Arial" w:cs="Arial"/>
          <w:sz w:val="24"/>
          <w:szCs w:val="24"/>
        </w:rPr>
      </w:pPr>
      <w:r>
        <w:rPr>
          <w:rFonts w:ascii="Arial" w:hAnsi="Arial" w:cs="Arial"/>
          <w:sz w:val="24"/>
          <w:szCs w:val="24"/>
        </w:rPr>
        <w:t xml:space="preserve">      O organismo do ser humano é constituído de inúmeras células, dentre elas, destacam-se as células de defesa, como os linfócitos, responsáveis pelo reconhecimento de patógenos que possam entrar no organismo. Segundo Nobre; Silva; Cabral, (2007), não se sabe ainda como, mas essas células de defesa, na presença do glúten, liberam toxinas resultando entre outros efeitos, inflamações e estimulando a produção de células T citotóxicas, acarretando em lesões na matriz extracelular e até mesmo a morte das células. Daí a importância de estudos dessa doença autoimune.</w:t>
      </w:r>
    </w:p>
    <w:p w:rsidR="00CA7CA0" w:rsidRDefault="00CA7CA0" w:rsidP="00CA7CA0">
      <w:pPr>
        <w:spacing w:line="360" w:lineRule="auto"/>
        <w:jc w:val="both"/>
        <w:rPr>
          <w:rFonts w:ascii="Arial" w:hAnsi="Arial" w:cs="Arial"/>
          <w:sz w:val="24"/>
          <w:szCs w:val="24"/>
        </w:rPr>
      </w:pPr>
      <w:r>
        <w:rPr>
          <w:rFonts w:ascii="Arial" w:hAnsi="Arial" w:cs="Arial"/>
          <w:sz w:val="24"/>
          <w:szCs w:val="24"/>
        </w:rPr>
        <w:t xml:space="preserve">   </w:t>
      </w:r>
    </w:p>
    <w:p w:rsidR="00CA7CA0" w:rsidRDefault="00CA7CA0" w:rsidP="00CA7CA0">
      <w:pPr>
        <w:spacing w:line="360" w:lineRule="auto"/>
        <w:jc w:val="both"/>
        <w:rPr>
          <w:rFonts w:ascii="Arial" w:hAnsi="Arial" w:cs="Arial"/>
          <w:sz w:val="24"/>
          <w:szCs w:val="24"/>
        </w:rPr>
      </w:pPr>
    </w:p>
    <w:p w:rsidR="00CA7CA0" w:rsidRDefault="00CA7CA0" w:rsidP="00CA7CA0">
      <w:pPr>
        <w:spacing w:line="360" w:lineRule="auto"/>
        <w:jc w:val="both"/>
        <w:rPr>
          <w:rFonts w:ascii="Arial" w:hAnsi="Arial" w:cs="Arial"/>
          <w:sz w:val="24"/>
          <w:szCs w:val="24"/>
        </w:rPr>
      </w:pPr>
    </w:p>
    <w:p w:rsidR="00CA7CA0" w:rsidRDefault="00CA7CA0" w:rsidP="00CA7CA0">
      <w:pPr>
        <w:spacing w:line="360" w:lineRule="auto"/>
        <w:jc w:val="both"/>
        <w:rPr>
          <w:rFonts w:ascii="Arial" w:hAnsi="Arial" w:cs="Arial"/>
          <w:sz w:val="24"/>
          <w:szCs w:val="24"/>
        </w:rPr>
      </w:pPr>
    </w:p>
    <w:p w:rsidR="00CA7CA0" w:rsidRDefault="00CA7CA0" w:rsidP="00CA7CA0">
      <w:pPr>
        <w:pStyle w:val="PargrafodaLista"/>
        <w:spacing w:line="360" w:lineRule="auto"/>
        <w:ind w:hanging="720"/>
        <w:jc w:val="both"/>
        <w:rPr>
          <w:rFonts w:ascii="Arial" w:hAnsi="Arial" w:cs="Arial"/>
          <w:sz w:val="24"/>
          <w:szCs w:val="24"/>
        </w:rPr>
      </w:pPr>
      <w:r>
        <w:rPr>
          <w:rFonts w:ascii="Arial" w:hAnsi="Arial" w:cs="Arial"/>
          <w:sz w:val="24"/>
          <w:szCs w:val="24"/>
        </w:rPr>
        <w:lastRenderedPageBreak/>
        <w:t>3.2- Diagnóstico</w:t>
      </w: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       A princípio, a detecção da doença celíaca é constatada a partir de decorrência de alguma situação do indivíduo. Estas podem ser de uma simples diarreia a uma forma mais agressiva, como fortes dores abdominais. A partir desses entre outros sintomas, é que pode partir para exames laboratoriais etc. Segundo a </w:t>
      </w:r>
      <w:r w:rsidRPr="00513089">
        <w:rPr>
          <w:rFonts w:ascii="Arial" w:hAnsi="Arial" w:cs="Arial"/>
          <w:i/>
          <w:sz w:val="24"/>
          <w:szCs w:val="24"/>
        </w:rPr>
        <w:t>Associação dos Celíacos do</w:t>
      </w:r>
      <w:r>
        <w:rPr>
          <w:rFonts w:ascii="Arial" w:hAnsi="Arial" w:cs="Arial"/>
          <w:sz w:val="24"/>
          <w:szCs w:val="24"/>
        </w:rPr>
        <w:t xml:space="preserve"> </w:t>
      </w:r>
      <w:r w:rsidRPr="00513089">
        <w:rPr>
          <w:rFonts w:ascii="Arial" w:hAnsi="Arial" w:cs="Arial"/>
          <w:i/>
          <w:sz w:val="24"/>
          <w:szCs w:val="24"/>
        </w:rPr>
        <w:t>Brasil</w:t>
      </w:r>
      <w:r>
        <w:rPr>
          <w:rFonts w:ascii="Arial" w:hAnsi="Arial" w:cs="Arial"/>
          <w:sz w:val="24"/>
          <w:szCs w:val="24"/>
        </w:rPr>
        <w:t xml:space="preserve"> (ACELBRA), existem três formas clínicas de apresentação da doença: clássica, não clássica, latente e assintomática.</w:t>
      </w:r>
    </w:p>
    <w:p w:rsidR="00CA7CA0" w:rsidRDefault="00CA7CA0" w:rsidP="00CA7CA0">
      <w:pPr>
        <w:pStyle w:val="PargrafodaLista"/>
        <w:spacing w:before="240" w:line="360" w:lineRule="auto"/>
        <w:ind w:left="0"/>
        <w:jc w:val="both"/>
        <w:rPr>
          <w:rFonts w:ascii="Arial" w:hAnsi="Arial" w:cs="Arial"/>
          <w:sz w:val="24"/>
          <w:szCs w:val="24"/>
        </w:rPr>
      </w:pPr>
      <w:r>
        <w:rPr>
          <w:rFonts w:ascii="Arial" w:hAnsi="Arial" w:cs="Arial"/>
          <w:sz w:val="24"/>
          <w:szCs w:val="24"/>
        </w:rPr>
        <w:t xml:space="preserve">       A forma clássica conforme Araújo </w:t>
      </w:r>
      <w:r w:rsidRPr="00513089">
        <w:rPr>
          <w:rFonts w:ascii="Arial" w:hAnsi="Arial" w:cs="Arial"/>
          <w:i/>
          <w:sz w:val="24"/>
          <w:szCs w:val="24"/>
        </w:rPr>
        <w:t>et al</w:t>
      </w:r>
      <w:r>
        <w:rPr>
          <w:rFonts w:ascii="Arial" w:hAnsi="Arial" w:cs="Arial"/>
          <w:sz w:val="24"/>
          <w:szCs w:val="24"/>
        </w:rPr>
        <w:t xml:space="preserve">, (2010), tem sua manifestação principalmente na infância logo nos primeiros anos de vida, acompanhada de manifestações como diarreia, vômitos, emagrecimento entre outros sintomas. Segundo Brandt; Silva, (2008) é importante pesquisar esses sintomas já nos primeiros eventos, pois pode prevenir outras complicações e até mesmo a morte da criança. A forma clássica é de certa maneira, a mais fácil de detectar a doença, uma vez que a manifestação da criança já caracteriza anormalidades. </w:t>
      </w:r>
    </w:p>
    <w:p w:rsidR="00CA7CA0" w:rsidRDefault="00CA7CA0" w:rsidP="00CA7CA0">
      <w:pPr>
        <w:pStyle w:val="PargrafodaLista"/>
        <w:spacing w:before="240" w:line="360" w:lineRule="auto"/>
        <w:ind w:left="0"/>
        <w:jc w:val="both"/>
        <w:rPr>
          <w:rFonts w:ascii="Arial" w:hAnsi="Arial" w:cs="Arial"/>
          <w:sz w:val="24"/>
          <w:szCs w:val="24"/>
        </w:rPr>
      </w:pPr>
      <w:r>
        <w:rPr>
          <w:rFonts w:ascii="Arial" w:hAnsi="Arial" w:cs="Arial"/>
          <w:sz w:val="24"/>
          <w:szCs w:val="24"/>
        </w:rPr>
        <w:t xml:space="preserve">       As formas não clássicas são caracterizadas pela ausência dos sintomas digestivos ou quando presentes, estes ocupam um segundo plano. Ainda em Araújo </w:t>
      </w:r>
      <w:r w:rsidRPr="00A26C69">
        <w:rPr>
          <w:rFonts w:ascii="Arial" w:hAnsi="Arial" w:cs="Arial"/>
          <w:i/>
          <w:sz w:val="24"/>
          <w:szCs w:val="24"/>
        </w:rPr>
        <w:t>et al</w:t>
      </w:r>
      <w:r>
        <w:rPr>
          <w:rFonts w:ascii="Arial" w:hAnsi="Arial" w:cs="Arial"/>
          <w:sz w:val="24"/>
          <w:szCs w:val="24"/>
        </w:rPr>
        <w:t>, (2010), são sintomas que aparecem mais tardiamente na infância, estes pacientes podem mostrar manifestações isoladas, como baixo crescimento, anemia por deficiência de ferro, artrite, lesões intestinais até problemas mais comumente de pessoas adultas, como a osteoporose.</w:t>
      </w:r>
    </w:p>
    <w:p w:rsidR="00CA7CA0" w:rsidRDefault="00CA7CA0" w:rsidP="00CA7CA0">
      <w:pPr>
        <w:pStyle w:val="PargrafodaLista"/>
        <w:spacing w:before="240" w:line="360" w:lineRule="auto"/>
        <w:ind w:left="0"/>
        <w:jc w:val="both"/>
        <w:rPr>
          <w:rFonts w:ascii="Arial" w:hAnsi="Arial" w:cs="Arial"/>
          <w:sz w:val="24"/>
          <w:szCs w:val="24"/>
        </w:rPr>
      </w:pPr>
      <w:r>
        <w:rPr>
          <w:rFonts w:ascii="Arial" w:hAnsi="Arial" w:cs="Arial"/>
          <w:sz w:val="24"/>
          <w:szCs w:val="24"/>
        </w:rPr>
        <w:t xml:space="preserve">      Utiyama; Reason; Kotze, (2004), a forma latente da enfermidade é diagnosticada através de biopsia jejunal normal, onde o indivíduo consome o glúten, dessa forma diferencia-se das demais, uma vez que, em outros períodos de tempo, tais pacientes podem apresentar atrofiamento das vilosidades intestinais, revertendo à anormalidade com a retirada do glúten da dieta.  </w:t>
      </w:r>
    </w:p>
    <w:p w:rsidR="00CA7CA0" w:rsidRDefault="00CA7CA0" w:rsidP="00CA7CA0">
      <w:pPr>
        <w:pStyle w:val="PargrafodaLista"/>
        <w:spacing w:before="240" w:line="360" w:lineRule="auto"/>
        <w:ind w:left="0"/>
        <w:jc w:val="both"/>
        <w:rPr>
          <w:rFonts w:ascii="Arial" w:hAnsi="Arial" w:cs="Arial"/>
          <w:sz w:val="24"/>
          <w:szCs w:val="24"/>
        </w:rPr>
      </w:pPr>
      <w:r>
        <w:rPr>
          <w:rFonts w:ascii="Arial" w:hAnsi="Arial" w:cs="Arial"/>
          <w:sz w:val="24"/>
          <w:szCs w:val="24"/>
        </w:rPr>
        <w:t xml:space="preserve">       Araújo, </w:t>
      </w:r>
      <w:r w:rsidRPr="00BA390A">
        <w:rPr>
          <w:rFonts w:ascii="Arial" w:hAnsi="Arial" w:cs="Arial"/>
          <w:i/>
          <w:sz w:val="24"/>
          <w:szCs w:val="24"/>
        </w:rPr>
        <w:t>et al</w:t>
      </w:r>
      <w:r>
        <w:rPr>
          <w:rFonts w:ascii="Arial" w:hAnsi="Arial" w:cs="Arial"/>
          <w:sz w:val="24"/>
          <w:szCs w:val="24"/>
        </w:rPr>
        <w:t xml:space="preserve">, (2010), as manifestações assintomáticas são comprovadas fundamentalmente entre familiares de primeiro grau de pacientes celíacos. Dessa forma, vem sendo reconhecida com frequência nas últimas duas décadas após desenvolvimento de marcadores sorológicos específicos. </w:t>
      </w: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lastRenderedPageBreak/>
        <w:t>3.3- Relação da doença celíaca com outras patologias</w:t>
      </w: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       Uma das preocupações atual em relação às doenças associadas com a DC é a prevalência de algumas dessas patologias como diabetes, osteoporose, artrites além de outros fatores neurológicos e psicológicos.  Segundo Carvalho </w:t>
      </w:r>
      <w:r w:rsidRPr="00717B74">
        <w:rPr>
          <w:rFonts w:ascii="Arial" w:hAnsi="Arial" w:cs="Arial"/>
          <w:i/>
          <w:sz w:val="24"/>
          <w:szCs w:val="24"/>
        </w:rPr>
        <w:t>et</w:t>
      </w:r>
      <w:r w:rsidR="00573776">
        <w:rPr>
          <w:rFonts w:ascii="Arial" w:hAnsi="Arial" w:cs="Arial"/>
          <w:i/>
          <w:sz w:val="24"/>
          <w:szCs w:val="24"/>
        </w:rPr>
        <w:t xml:space="preserve"> </w:t>
      </w:r>
      <w:r w:rsidRPr="00717B74">
        <w:rPr>
          <w:rFonts w:ascii="Arial" w:hAnsi="Arial" w:cs="Arial"/>
          <w:i/>
          <w:sz w:val="24"/>
          <w:szCs w:val="24"/>
        </w:rPr>
        <w:t>al</w:t>
      </w:r>
      <w:r>
        <w:rPr>
          <w:rFonts w:ascii="Arial" w:hAnsi="Arial" w:cs="Arial"/>
          <w:i/>
          <w:sz w:val="24"/>
          <w:szCs w:val="24"/>
        </w:rPr>
        <w:t xml:space="preserve">, </w:t>
      </w:r>
      <w:r w:rsidRPr="00717B74">
        <w:rPr>
          <w:rFonts w:ascii="Arial" w:hAnsi="Arial" w:cs="Arial"/>
          <w:sz w:val="24"/>
          <w:szCs w:val="24"/>
        </w:rPr>
        <w:t>(2003)</w:t>
      </w:r>
      <w:r>
        <w:rPr>
          <w:rFonts w:ascii="Arial" w:hAnsi="Arial" w:cs="Arial"/>
          <w:sz w:val="24"/>
          <w:szCs w:val="24"/>
        </w:rPr>
        <w:t>, os adultos que são acometidos com DC apresentam na sua maioria grande risco de baixa de densidade mineral óssea (DMO), aumentando o risco de doenças ósseas como osteoporose etc.</w:t>
      </w: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       Após estudos realizados com pacientes crianças e adolescentes em dieta sem o glúten, neste caso, no entanto houve uma diferença comparativa entre os dois grupos quanto à (DMO). “Assim, o rastreamento da osteoporose através da avaliação da (DMO) mostrou ser útil, especialmente nos adolescentes com agravo nutricional com DC, e que iniciaram tratamento dietético após os dois anos de idade.” (CARVALHO, </w:t>
      </w:r>
      <w:r w:rsidRPr="00115A70">
        <w:rPr>
          <w:rFonts w:ascii="Arial" w:hAnsi="Arial" w:cs="Arial"/>
          <w:i/>
          <w:sz w:val="24"/>
          <w:szCs w:val="24"/>
        </w:rPr>
        <w:t>et al</w:t>
      </w:r>
      <w:r>
        <w:rPr>
          <w:rFonts w:ascii="Arial" w:hAnsi="Arial" w:cs="Arial"/>
          <w:sz w:val="24"/>
          <w:szCs w:val="24"/>
        </w:rPr>
        <w:t xml:space="preserve">, 2003). </w:t>
      </w: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       Silva, (2003), dá um alerta quanto aos indivíduos portadores de DC, que não são diagnosticados ou até mesmo negligenciados, apresentam um risco eminente de complicações ósseas.  Nota-se que nos últimos anos, tem constantemente chamado a atenção para o simples fato de que a DC sem soma de dúvidas, predispõe em anormalidades a alterações no metabolismo do cálcio pelo organismo.</w:t>
      </w: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      Dentre inúmeras moléstias relacionadas com a DC assim como a osteoporose, o diabetes é a moléstia que traz maior preocupação aos portadores, talvez pelo fato de ela trouxer outras complicações relacionadas que dificulte ainda mais a vida da pessoa. De acordo Mont-Serrat </w:t>
      </w:r>
      <w:r w:rsidRPr="008A50FA">
        <w:rPr>
          <w:rFonts w:ascii="Arial" w:hAnsi="Arial" w:cs="Arial"/>
          <w:i/>
          <w:sz w:val="24"/>
          <w:szCs w:val="24"/>
        </w:rPr>
        <w:t>et</w:t>
      </w:r>
      <w:r>
        <w:rPr>
          <w:rFonts w:ascii="Arial" w:hAnsi="Arial" w:cs="Arial"/>
          <w:sz w:val="24"/>
          <w:szCs w:val="24"/>
        </w:rPr>
        <w:t xml:space="preserve"> al, (2008), a associação de diabetes melito tipo 1 (DMI) com doenças autoimunes, causam particularmente desordens tireoidianas, tornando o organismo mais suscetível a outras doenças oportunistas. </w:t>
      </w: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      Ainda em Mont-Serrat </w:t>
      </w:r>
      <w:r w:rsidRPr="008A50FA">
        <w:rPr>
          <w:rFonts w:ascii="Arial" w:hAnsi="Arial" w:cs="Arial"/>
          <w:i/>
          <w:sz w:val="24"/>
          <w:szCs w:val="24"/>
        </w:rPr>
        <w:t>et</w:t>
      </w:r>
      <w:r>
        <w:rPr>
          <w:rFonts w:ascii="Arial" w:hAnsi="Arial" w:cs="Arial"/>
          <w:sz w:val="24"/>
          <w:szCs w:val="24"/>
        </w:rPr>
        <w:t xml:space="preserve"> </w:t>
      </w:r>
      <w:r w:rsidRPr="006D6880">
        <w:rPr>
          <w:rFonts w:ascii="Arial" w:hAnsi="Arial" w:cs="Arial"/>
          <w:i/>
          <w:sz w:val="24"/>
          <w:szCs w:val="24"/>
        </w:rPr>
        <w:t>al</w:t>
      </w:r>
      <w:r>
        <w:rPr>
          <w:rFonts w:ascii="Arial" w:hAnsi="Arial" w:cs="Arial"/>
          <w:sz w:val="24"/>
          <w:szCs w:val="24"/>
        </w:rPr>
        <w:t>, (2008), é importante destacar que, a maioria dos pacientes crianças com DC e</w:t>
      </w:r>
      <w:r w:rsidR="00573776">
        <w:rPr>
          <w:rFonts w:ascii="Arial" w:hAnsi="Arial" w:cs="Arial"/>
          <w:sz w:val="24"/>
          <w:szCs w:val="24"/>
        </w:rPr>
        <w:t xml:space="preserve"> </w:t>
      </w:r>
      <w:r>
        <w:rPr>
          <w:rFonts w:ascii="Arial" w:hAnsi="Arial" w:cs="Arial"/>
          <w:sz w:val="24"/>
          <w:szCs w:val="24"/>
        </w:rPr>
        <w:t xml:space="preserve">diabetes </w:t>
      </w:r>
      <w:proofErr w:type="spellStart"/>
      <w:r>
        <w:rPr>
          <w:rFonts w:ascii="Arial" w:hAnsi="Arial" w:cs="Arial"/>
          <w:sz w:val="24"/>
          <w:szCs w:val="24"/>
        </w:rPr>
        <w:t>melito</w:t>
      </w:r>
      <w:proofErr w:type="spellEnd"/>
      <w:r>
        <w:rPr>
          <w:rFonts w:ascii="Arial" w:hAnsi="Arial" w:cs="Arial"/>
          <w:sz w:val="24"/>
          <w:szCs w:val="24"/>
        </w:rPr>
        <w:t xml:space="preserve"> tipo 1(DMI), em muitos casos </w:t>
      </w:r>
      <w:r w:rsidR="00573776">
        <w:rPr>
          <w:rFonts w:ascii="Arial" w:hAnsi="Arial" w:cs="Arial"/>
          <w:sz w:val="24"/>
          <w:szCs w:val="24"/>
        </w:rPr>
        <w:t>apresenta</w:t>
      </w:r>
      <w:r>
        <w:rPr>
          <w:rFonts w:ascii="Arial" w:hAnsi="Arial" w:cs="Arial"/>
          <w:sz w:val="24"/>
          <w:szCs w:val="24"/>
        </w:rPr>
        <w:t xml:space="preserve"> formas silenciosas ou subclínicas da doença. Ressalta ainda, que apesar de comum, sintomas clássicos como diarreia, dores abdominais, podem não ser apresentados em muitas crianças. Como mostra as tabela 1 e 2 respectivamente sobre estudos com 120 pessoas entre 0 e 17 anos de idade de </w:t>
      </w:r>
      <w:r>
        <w:rPr>
          <w:rFonts w:ascii="Arial" w:hAnsi="Arial" w:cs="Arial"/>
          <w:sz w:val="24"/>
          <w:szCs w:val="24"/>
        </w:rPr>
        <w:lastRenderedPageBreak/>
        <w:t>ambos os sexos. A tabela 1 resume as características clínicas e laboratoriais da população estudada. A tabela 2 mostra pacientes positivos para a DC.</w:t>
      </w: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240" w:lineRule="auto"/>
        <w:ind w:left="0"/>
        <w:jc w:val="both"/>
        <w:rPr>
          <w:rFonts w:ascii="Arial" w:hAnsi="Arial" w:cs="Arial"/>
          <w:sz w:val="24"/>
          <w:szCs w:val="24"/>
        </w:rPr>
      </w:pPr>
      <w:r>
        <w:rPr>
          <w:rFonts w:ascii="Arial" w:hAnsi="Arial" w:cs="Arial"/>
          <w:noProof/>
          <w:sz w:val="24"/>
          <w:szCs w:val="24"/>
          <w:lang w:eastAsia="pt-BR"/>
        </w:rPr>
        <w:drawing>
          <wp:inline distT="0" distB="0" distL="0" distR="0" wp14:anchorId="50B633AB" wp14:editId="78E90826">
            <wp:extent cx="5029200" cy="2743200"/>
            <wp:effectExtent l="0" t="0" r="0" b="0"/>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0" cy="2743200"/>
                    </a:xfrm>
                    <a:prstGeom prst="rect">
                      <a:avLst/>
                    </a:prstGeom>
                    <a:noFill/>
                    <a:ln>
                      <a:noFill/>
                    </a:ln>
                  </pic:spPr>
                </pic:pic>
              </a:graphicData>
            </a:graphic>
          </wp:inline>
        </w:drawing>
      </w:r>
    </w:p>
    <w:p w:rsidR="00CA7CA0" w:rsidRPr="00655910" w:rsidRDefault="00CA7CA0" w:rsidP="00CA7CA0">
      <w:pPr>
        <w:pStyle w:val="PargrafodaLista"/>
        <w:spacing w:line="240" w:lineRule="auto"/>
        <w:ind w:left="0"/>
        <w:jc w:val="both"/>
        <w:rPr>
          <w:rFonts w:ascii="Arial" w:hAnsi="Arial" w:cs="Arial"/>
          <w:sz w:val="24"/>
          <w:szCs w:val="24"/>
          <w:lang w:val="en-US"/>
        </w:rPr>
      </w:pPr>
      <w:r w:rsidRPr="00655910">
        <w:rPr>
          <w:rFonts w:ascii="Arial" w:hAnsi="Arial" w:cs="Arial"/>
          <w:sz w:val="24"/>
          <w:szCs w:val="24"/>
          <w:lang w:val="en-US"/>
        </w:rPr>
        <w:t xml:space="preserve">   Fonte: </w:t>
      </w:r>
      <w:r w:rsidRPr="00655910">
        <w:rPr>
          <w:rFonts w:ascii="Arial" w:hAnsi="Arial" w:cs="Arial"/>
          <w:sz w:val="20"/>
          <w:szCs w:val="20"/>
          <w:lang w:val="en-US"/>
        </w:rPr>
        <w:t xml:space="preserve">Mont-serrat, </w:t>
      </w:r>
      <w:r w:rsidRPr="00655910">
        <w:rPr>
          <w:rFonts w:ascii="Arial" w:hAnsi="Arial" w:cs="Arial"/>
          <w:i/>
          <w:sz w:val="20"/>
          <w:szCs w:val="20"/>
          <w:lang w:val="en-US"/>
        </w:rPr>
        <w:t>et al</w:t>
      </w:r>
      <w:r w:rsidRPr="00655910">
        <w:rPr>
          <w:rFonts w:ascii="Arial" w:hAnsi="Arial" w:cs="Arial"/>
          <w:sz w:val="20"/>
          <w:szCs w:val="20"/>
          <w:lang w:val="en-US"/>
        </w:rPr>
        <w:t>, (2008).</w:t>
      </w:r>
      <w:r w:rsidRPr="00655910">
        <w:rPr>
          <w:rFonts w:ascii="Arial" w:hAnsi="Arial" w:cs="Arial"/>
          <w:sz w:val="24"/>
          <w:szCs w:val="24"/>
          <w:lang w:val="en-US"/>
        </w:rPr>
        <w:t xml:space="preserve"> </w:t>
      </w:r>
    </w:p>
    <w:p w:rsidR="00CA7CA0" w:rsidRPr="00655910" w:rsidRDefault="00CA7CA0" w:rsidP="00CA7CA0">
      <w:pPr>
        <w:pStyle w:val="PargrafodaLista"/>
        <w:spacing w:line="240" w:lineRule="auto"/>
        <w:ind w:left="0"/>
        <w:jc w:val="both"/>
        <w:rPr>
          <w:rFonts w:ascii="Arial" w:hAnsi="Arial" w:cs="Arial"/>
          <w:sz w:val="24"/>
          <w:szCs w:val="24"/>
          <w:lang w:val="en-US"/>
        </w:rPr>
      </w:pPr>
    </w:p>
    <w:p w:rsidR="00CA7CA0" w:rsidRDefault="00CA7CA0" w:rsidP="00CA7CA0">
      <w:pPr>
        <w:pStyle w:val="PargrafodaLista"/>
        <w:spacing w:line="240" w:lineRule="auto"/>
        <w:ind w:left="0"/>
        <w:jc w:val="both"/>
        <w:rPr>
          <w:rFonts w:ascii="Arial" w:hAnsi="Arial" w:cs="Arial"/>
          <w:sz w:val="20"/>
          <w:szCs w:val="20"/>
        </w:rPr>
      </w:pPr>
      <w:r>
        <w:rPr>
          <w:rFonts w:ascii="Times New Roman" w:hAnsi="Times New Roman"/>
          <w:noProof/>
          <w:sz w:val="24"/>
          <w:szCs w:val="24"/>
          <w:lang w:eastAsia="pt-BR"/>
        </w:rPr>
        <w:drawing>
          <wp:inline distT="0" distB="0" distL="0" distR="0" wp14:anchorId="188EA8BE" wp14:editId="33EC382C">
            <wp:extent cx="4953000" cy="3409950"/>
            <wp:effectExtent l="0" t="0" r="0" b="0"/>
            <wp:docPr id="3" name="Imagem 2" descr="http://www.scielo.br/img/revistas/abem/v52n9/a09ta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scielo.br/img/revistas/abem/v52n9/a09tab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3409950"/>
                    </a:xfrm>
                    <a:prstGeom prst="rect">
                      <a:avLst/>
                    </a:prstGeom>
                    <a:noFill/>
                    <a:ln>
                      <a:noFill/>
                    </a:ln>
                  </pic:spPr>
                </pic:pic>
              </a:graphicData>
            </a:graphic>
          </wp:inline>
        </w:drawing>
      </w:r>
    </w:p>
    <w:p w:rsidR="00CA7CA0" w:rsidRPr="00655910" w:rsidRDefault="00CA7CA0" w:rsidP="00CA7CA0">
      <w:pPr>
        <w:pStyle w:val="PargrafodaLista"/>
        <w:spacing w:line="240" w:lineRule="auto"/>
        <w:ind w:left="0"/>
        <w:jc w:val="both"/>
        <w:rPr>
          <w:rFonts w:ascii="Arial" w:hAnsi="Arial" w:cs="Arial"/>
          <w:sz w:val="20"/>
          <w:szCs w:val="20"/>
          <w:lang w:val="en-US"/>
        </w:rPr>
      </w:pPr>
      <w:r w:rsidRPr="00655910">
        <w:rPr>
          <w:rFonts w:ascii="Arial" w:hAnsi="Arial" w:cs="Arial"/>
          <w:sz w:val="20"/>
          <w:szCs w:val="20"/>
          <w:lang w:val="en-US"/>
        </w:rPr>
        <w:t xml:space="preserve">     Fonte: Mont-serrat, </w:t>
      </w:r>
      <w:r w:rsidRPr="00655910">
        <w:rPr>
          <w:rFonts w:ascii="Arial" w:hAnsi="Arial" w:cs="Arial"/>
          <w:i/>
          <w:sz w:val="20"/>
          <w:szCs w:val="20"/>
          <w:lang w:val="en-US"/>
        </w:rPr>
        <w:t>et al</w:t>
      </w:r>
      <w:r w:rsidRPr="00655910">
        <w:rPr>
          <w:rFonts w:ascii="Arial" w:hAnsi="Arial" w:cs="Arial"/>
          <w:sz w:val="20"/>
          <w:szCs w:val="20"/>
          <w:lang w:val="en-US"/>
        </w:rPr>
        <w:t xml:space="preserve">, (2008). </w:t>
      </w:r>
    </w:p>
    <w:p w:rsidR="00CA7CA0" w:rsidRPr="00655910" w:rsidRDefault="00CA7CA0" w:rsidP="00CA7CA0">
      <w:pPr>
        <w:pStyle w:val="PargrafodaLista"/>
        <w:spacing w:line="240" w:lineRule="auto"/>
        <w:ind w:left="0"/>
        <w:jc w:val="both"/>
        <w:rPr>
          <w:rFonts w:ascii="Arial" w:hAnsi="Arial" w:cs="Arial"/>
          <w:sz w:val="20"/>
          <w:szCs w:val="20"/>
          <w:lang w:val="en-US"/>
        </w:rPr>
      </w:pPr>
    </w:p>
    <w:p w:rsidR="00CA7CA0" w:rsidRPr="00655910" w:rsidRDefault="00CA7CA0" w:rsidP="00CA7CA0">
      <w:pPr>
        <w:pStyle w:val="PargrafodaLista"/>
        <w:spacing w:line="240" w:lineRule="auto"/>
        <w:ind w:left="0"/>
        <w:jc w:val="both"/>
        <w:rPr>
          <w:rFonts w:ascii="Arial" w:hAnsi="Arial" w:cs="Arial"/>
          <w:sz w:val="20"/>
          <w:szCs w:val="20"/>
          <w:lang w:val="en-US"/>
        </w:rPr>
      </w:pPr>
    </w:p>
    <w:p w:rsidR="00CA7CA0" w:rsidRDefault="00CA7CA0" w:rsidP="00CA7CA0">
      <w:pPr>
        <w:pStyle w:val="PargrafodaLista"/>
        <w:spacing w:line="360" w:lineRule="auto"/>
        <w:ind w:left="0"/>
        <w:jc w:val="both"/>
        <w:rPr>
          <w:rFonts w:ascii="Arial" w:hAnsi="Arial" w:cs="Arial"/>
          <w:sz w:val="24"/>
          <w:szCs w:val="24"/>
        </w:rPr>
      </w:pPr>
      <w:r w:rsidRPr="00655910">
        <w:rPr>
          <w:rFonts w:ascii="Arial" w:hAnsi="Arial" w:cs="Arial"/>
          <w:sz w:val="20"/>
          <w:szCs w:val="20"/>
          <w:lang w:val="en-US"/>
        </w:rPr>
        <w:t xml:space="preserve">      </w:t>
      </w:r>
      <w:r w:rsidRPr="00655910">
        <w:rPr>
          <w:rFonts w:ascii="Arial" w:hAnsi="Arial" w:cs="Arial"/>
          <w:sz w:val="24"/>
          <w:szCs w:val="24"/>
          <w:lang w:val="en-US"/>
        </w:rPr>
        <w:t xml:space="preserve"> </w:t>
      </w:r>
      <w:r>
        <w:rPr>
          <w:rFonts w:ascii="Arial" w:hAnsi="Arial" w:cs="Arial"/>
          <w:sz w:val="24"/>
          <w:szCs w:val="24"/>
        </w:rPr>
        <w:t xml:space="preserve">A prevalência da doença celíaca tem relação com muitas outras enfermidades, tanto autoimunes como doenças oportunistas, infecciosas, genéticas, entre outras. Pratesi, Gandolfi, (2005), destacam o aumento significadamente de prevalência da DC em pessoas portadoras da síndrome de </w:t>
      </w:r>
      <w:r>
        <w:rPr>
          <w:rFonts w:ascii="Arial" w:hAnsi="Arial" w:cs="Arial"/>
          <w:sz w:val="24"/>
          <w:szCs w:val="24"/>
        </w:rPr>
        <w:lastRenderedPageBreak/>
        <w:t xml:space="preserve">Down (SD). No Brasil, houve um aumento aproximadamente de 6% em comparação a estudos feitos anteriormente em relação a outros estudos entre as várias prevalências citadas nas diversas literaturas mundiais. Eles destacam ainda, que a DC em pacientes com síndrome de Down, pode desencadear outras complicações como para a saúde bucal. </w:t>
      </w: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      Segundo Rauen; Back; Moreira, (2005), esses pacientes portadores de DC estão sujeitos a sofrerem com muitas infecções na mucosa bucal e hipoplasias do esmalte dentário, esta lesão se manifesta com algumas fissuras nos dentes.</w:t>
      </w:r>
    </w:p>
    <w:p w:rsidR="00CA7CA0" w:rsidRPr="00E209F7"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      A Associação de Celíacos do Brasil prevê um aumento no número de pessoas que irão conviver nos últimos anos, com outras doenças associadas a DC, isso se dá, pois como já citado, há um grande percentual de portadores da intolerância ao glúten que ainda não foi manifestado.  </w:t>
      </w:r>
      <w:r>
        <w:rPr>
          <w:rFonts w:ascii="Arial" w:hAnsi="Arial" w:cs="Arial"/>
          <w:sz w:val="20"/>
          <w:szCs w:val="20"/>
        </w:rPr>
        <w:t xml:space="preserve">          </w:t>
      </w:r>
      <w:r>
        <w:rPr>
          <w:rFonts w:ascii="Arial" w:hAnsi="Arial" w:cs="Arial"/>
          <w:sz w:val="24"/>
          <w:szCs w:val="24"/>
        </w:rPr>
        <w:t xml:space="preserve">    </w:t>
      </w:r>
    </w:p>
    <w:p w:rsidR="00CA7CA0" w:rsidRPr="00135727" w:rsidRDefault="00CA7CA0" w:rsidP="00CA7CA0">
      <w:pPr>
        <w:spacing w:after="0" w:line="240" w:lineRule="auto"/>
        <w:rPr>
          <w:rFonts w:ascii="Times New Roman" w:hAnsi="Times New Roman"/>
          <w:sz w:val="24"/>
          <w:szCs w:val="24"/>
          <w:lang w:eastAsia="pt-BR"/>
        </w:rPr>
      </w:pPr>
    </w:p>
    <w:p w:rsidR="00CA7CA0" w:rsidRPr="00135727" w:rsidRDefault="00CA7CA0" w:rsidP="00CA7CA0">
      <w:pPr>
        <w:spacing w:after="0" w:line="240" w:lineRule="auto"/>
        <w:rPr>
          <w:rFonts w:ascii="Times New Roman" w:hAnsi="Times New Roman"/>
          <w:sz w:val="24"/>
          <w:szCs w:val="24"/>
          <w:lang w:eastAsia="pt-BR"/>
        </w:rPr>
      </w:pPr>
      <w:r>
        <w:rPr>
          <w:rFonts w:ascii="Times New Roman" w:hAnsi="Times New Roman"/>
          <w:noProof/>
          <w:sz w:val="24"/>
          <w:szCs w:val="24"/>
          <w:lang w:eastAsia="pt-BR"/>
        </w:rPr>
        <w:drawing>
          <wp:inline distT="0" distB="0" distL="0" distR="0" wp14:anchorId="22C1CE20" wp14:editId="000D66F0">
            <wp:extent cx="9525" cy="95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240" w:lineRule="auto"/>
        <w:jc w:val="both"/>
        <w:rPr>
          <w:rFonts w:ascii="Arial" w:hAnsi="Arial" w:cs="Arial"/>
          <w:sz w:val="20"/>
          <w:szCs w:val="20"/>
        </w:rPr>
      </w:pP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r w:rsidRPr="00A266FE">
        <w:rPr>
          <w:rFonts w:ascii="Arial" w:hAnsi="Arial" w:cs="Arial"/>
          <w:sz w:val="24"/>
          <w:szCs w:val="24"/>
        </w:rPr>
        <w:lastRenderedPageBreak/>
        <w:t>3.4- Tratamento</w:t>
      </w: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       De acordo Rauen; Back; Moreira, (2005) o tratamento possivelmente eficaz para os portadores de DC, em todas as circunstancias clínicas, é dietético, dessa forma, devendo excluir o glúten da alimentação por toda a vida. Araújo </w:t>
      </w:r>
      <w:r w:rsidRPr="00104727">
        <w:rPr>
          <w:rFonts w:ascii="Arial" w:hAnsi="Arial" w:cs="Arial"/>
          <w:i/>
          <w:sz w:val="24"/>
          <w:szCs w:val="24"/>
        </w:rPr>
        <w:t>et al</w:t>
      </w:r>
      <w:r>
        <w:rPr>
          <w:rFonts w:ascii="Arial" w:hAnsi="Arial" w:cs="Arial"/>
          <w:sz w:val="24"/>
          <w:szCs w:val="24"/>
        </w:rPr>
        <w:t>, (2010), no Brasil, como intuito de amenizar as dificuldades da adesão ao tratamento, surgiram as Associações   de Celíacos. No início de 1994, alguns pais de celíacos fundaram a ACELBRA (São Paulo), que tem como fundamento, orientar os pacientes quanto à doença e a dieta sem o glúten.</w:t>
      </w:r>
    </w:p>
    <w:p w:rsidR="00CA7CA0" w:rsidRPr="00A266FE"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      Ainda em Araújo </w:t>
      </w:r>
      <w:r w:rsidRPr="00104727">
        <w:rPr>
          <w:rFonts w:ascii="Arial" w:hAnsi="Arial" w:cs="Arial"/>
          <w:i/>
          <w:sz w:val="24"/>
          <w:szCs w:val="24"/>
        </w:rPr>
        <w:t>et al</w:t>
      </w:r>
      <w:r>
        <w:rPr>
          <w:rFonts w:ascii="Arial" w:hAnsi="Arial" w:cs="Arial"/>
          <w:sz w:val="24"/>
          <w:szCs w:val="24"/>
        </w:rPr>
        <w:t>, (2010), a Associação de Celíacos do Brasil, tem como objetivo exigir da Agência Nacional de Vigilância Sanitária (ANVISA) o comprimento da Lei n.º 8.543 (Brasil, 1992) que obriga as indústrias alimentícias imprimir no rótulo das embalagens a informação que contém glúten e seus derivados. Em 2003, foi em fim, publicada a Lei n.º 10.674, que atende às exigências acima. A tabela 3, a seguir mostra diversos alimentos e seus derivados que são adequados ou não à alimentação do portador de DC.</w:t>
      </w:r>
    </w:p>
    <w:p w:rsidR="00CA7CA0" w:rsidRDefault="00CA7CA0" w:rsidP="00CA7CA0">
      <w:pPr>
        <w:pStyle w:val="PargrafodaLista"/>
        <w:spacing w:line="240" w:lineRule="auto"/>
        <w:jc w:val="both"/>
        <w:rPr>
          <w:rFonts w:ascii="Arial" w:hAnsi="Arial" w:cs="Arial"/>
          <w:sz w:val="20"/>
          <w:szCs w:val="20"/>
        </w:rPr>
      </w:pPr>
    </w:p>
    <w:p w:rsidR="00CA7CA0" w:rsidRPr="007908D2" w:rsidRDefault="00CA7CA0" w:rsidP="00CA7CA0">
      <w:pPr>
        <w:pStyle w:val="PargrafodaLista"/>
        <w:spacing w:line="240" w:lineRule="atLeast"/>
        <w:ind w:left="0"/>
        <w:jc w:val="both"/>
        <w:rPr>
          <w:rFonts w:ascii="Arial" w:hAnsi="Arial" w:cs="Arial"/>
          <w:i/>
          <w:sz w:val="20"/>
          <w:szCs w:val="20"/>
        </w:rPr>
      </w:pPr>
      <w:r w:rsidRPr="007908D2">
        <w:rPr>
          <w:rFonts w:ascii="Arial" w:hAnsi="Arial" w:cs="Arial"/>
          <w:b/>
          <w:sz w:val="20"/>
          <w:szCs w:val="20"/>
        </w:rPr>
        <w:t xml:space="preserve">Tabela </w:t>
      </w:r>
      <w:r>
        <w:rPr>
          <w:rFonts w:ascii="Arial" w:hAnsi="Arial" w:cs="Arial"/>
          <w:b/>
          <w:sz w:val="20"/>
          <w:szCs w:val="20"/>
        </w:rPr>
        <w:t>3</w:t>
      </w:r>
      <w:r>
        <w:rPr>
          <w:rFonts w:ascii="Arial" w:hAnsi="Arial" w:cs="Arial"/>
          <w:sz w:val="20"/>
          <w:szCs w:val="20"/>
        </w:rPr>
        <w:t xml:space="preserve">: Grupos de alimentos permitidos e proibidos.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944"/>
        <w:gridCol w:w="2930"/>
        <w:gridCol w:w="3033"/>
      </w:tblGrid>
      <w:tr w:rsidR="00CA7CA0" w:rsidRPr="0002608E" w:rsidTr="0060544C">
        <w:trPr>
          <w:tblCellSpacing w:w="15" w:type="dxa"/>
        </w:trPr>
        <w:tc>
          <w:tcPr>
            <w:tcW w:w="1650" w:type="pct"/>
            <w:tcBorders>
              <w:top w:val="single" w:sz="6" w:space="0" w:color="auto"/>
              <w:left w:val="single" w:sz="6" w:space="0" w:color="auto"/>
              <w:bottom w:val="single" w:sz="6" w:space="0" w:color="auto"/>
              <w:right w:val="single" w:sz="6" w:space="0" w:color="auto"/>
            </w:tcBorders>
            <w:vAlign w:val="center"/>
          </w:tcPr>
          <w:p w:rsidR="00CA7CA0" w:rsidRPr="0002608E" w:rsidRDefault="00CA7CA0" w:rsidP="0060544C">
            <w:pPr>
              <w:spacing w:before="100" w:beforeAutospacing="1" w:after="100" w:afterAutospacing="1" w:line="240" w:lineRule="auto"/>
              <w:rPr>
                <w:rFonts w:ascii="Arial" w:hAnsi="Arial" w:cs="Arial"/>
                <w:sz w:val="24"/>
                <w:szCs w:val="24"/>
                <w:lang w:eastAsia="pt-BR"/>
              </w:rPr>
            </w:pPr>
            <w:r w:rsidRPr="0002608E">
              <w:rPr>
                <w:rFonts w:ascii="Arial" w:hAnsi="Arial" w:cs="Arial"/>
                <w:bCs/>
                <w:sz w:val="24"/>
                <w:szCs w:val="24"/>
                <w:lang w:eastAsia="pt-BR"/>
              </w:rPr>
              <w:t>GRUPOS</w:t>
            </w:r>
          </w:p>
        </w:tc>
        <w:tc>
          <w:tcPr>
            <w:tcW w:w="1650" w:type="pct"/>
            <w:tcBorders>
              <w:top w:val="single" w:sz="6" w:space="0" w:color="auto"/>
              <w:left w:val="single" w:sz="6" w:space="0" w:color="auto"/>
              <w:bottom w:val="single" w:sz="6" w:space="0" w:color="auto"/>
              <w:right w:val="single" w:sz="6" w:space="0" w:color="auto"/>
            </w:tcBorders>
            <w:vAlign w:val="center"/>
          </w:tcPr>
          <w:p w:rsidR="00CA7CA0" w:rsidRPr="0002608E" w:rsidRDefault="00CA7CA0" w:rsidP="0060544C">
            <w:pPr>
              <w:spacing w:before="100" w:beforeAutospacing="1" w:after="100" w:afterAutospacing="1" w:line="240" w:lineRule="auto"/>
              <w:rPr>
                <w:rFonts w:ascii="Arial" w:hAnsi="Arial" w:cs="Arial"/>
                <w:sz w:val="24"/>
                <w:szCs w:val="24"/>
                <w:lang w:eastAsia="pt-BR"/>
              </w:rPr>
            </w:pPr>
            <w:r w:rsidRPr="0002608E">
              <w:rPr>
                <w:rFonts w:ascii="Arial" w:hAnsi="Arial" w:cs="Arial"/>
                <w:bCs/>
                <w:sz w:val="24"/>
                <w:szCs w:val="24"/>
                <w:lang w:eastAsia="pt-BR"/>
              </w:rPr>
              <w:t>PERMITIDOS</w:t>
            </w:r>
          </w:p>
        </w:tc>
        <w:tc>
          <w:tcPr>
            <w:tcW w:w="1700" w:type="pct"/>
            <w:tcBorders>
              <w:top w:val="single" w:sz="6" w:space="0" w:color="auto"/>
              <w:left w:val="single" w:sz="6" w:space="0" w:color="auto"/>
              <w:bottom w:val="single" w:sz="6" w:space="0" w:color="auto"/>
              <w:right w:val="single" w:sz="6" w:space="0" w:color="auto"/>
            </w:tcBorders>
            <w:vAlign w:val="center"/>
          </w:tcPr>
          <w:p w:rsidR="00CA7CA0" w:rsidRPr="0002608E" w:rsidRDefault="00CA7CA0" w:rsidP="0060544C">
            <w:pPr>
              <w:spacing w:before="100" w:beforeAutospacing="1" w:after="100" w:afterAutospacing="1" w:line="240" w:lineRule="auto"/>
              <w:rPr>
                <w:rFonts w:ascii="Arial" w:hAnsi="Arial" w:cs="Arial"/>
                <w:sz w:val="24"/>
                <w:szCs w:val="24"/>
                <w:lang w:eastAsia="pt-BR"/>
              </w:rPr>
            </w:pPr>
            <w:r w:rsidRPr="0002608E">
              <w:rPr>
                <w:rFonts w:ascii="Arial" w:hAnsi="Arial" w:cs="Arial"/>
                <w:bCs/>
                <w:sz w:val="24"/>
                <w:szCs w:val="24"/>
                <w:lang w:eastAsia="pt-BR"/>
              </w:rPr>
              <w:t>PROIBIDOS</w:t>
            </w:r>
          </w:p>
        </w:tc>
      </w:tr>
    </w:tbl>
    <w:p w:rsidR="00CA7CA0" w:rsidRPr="00153236" w:rsidRDefault="00CA7CA0" w:rsidP="00CA7CA0">
      <w:pPr>
        <w:spacing w:line="240" w:lineRule="auto"/>
        <w:rPr>
          <w:rFonts w:ascii="Arial" w:hAnsi="Arial" w:cs="Arial"/>
          <w:vanish/>
          <w:sz w:val="20"/>
          <w:szCs w:val="20"/>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819"/>
        <w:gridCol w:w="4685"/>
        <w:gridCol w:w="2403"/>
      </w:tblGrid>
      <w:tr w:rsidR="00CA7CA0" w:rsidRPr="00153236" w:rsidTr="0060544C">
        <w:trPr>
          <w:trHeight w:val="3905"/>
          <w:tblCellSpacing w:w="15" w:type="dxa"/>
        </w:trPr>
        <w:tc>
          <w:tcPr>
            <w:tcW w:w="996"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Farinhas e Féculas, Cereais, Tubérculos e seus subprodutos, que encontramos em forma de pó.</w:t>
            </w:r>
          </w:p>
        </w:tc>
        <w:tc>
          <w:tcPr>
            <w:tcW w:w="2612"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As mais indicadas:   Arroz, Batata, Milho e Mandioca. Arroz: farinha de arroz, creme de arroz, arroz integral em pó e seus derivados. </w:t>
            </w:r>
          </w:p>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O creme de arroz não é um creme ou pasta, e sim um pó. Milho: fubá, farinha, amido de milho flocos, canjica e pipoca. Batata: fécula ou farinha.</w:t>
            </w:r>
          </w:p>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Mandioca ou Aipim: fécula ou farinha, como a tapioca,  polvilho doce ou azedo. Macarrão de cereais: arroz,  milho e mandioca. Cará,  Inhame,  Araruta, Sagu, Trigo sarraceno.</w:t>
            </w:r>
          </w:p>
        </w:tc>
        <w:tc>
          <w:tcPr>
            <w:tcW w:w="1323"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TRIGO: farinha,  semolina, germe e  farelo. </w:t>
            </w:r>
          </w:p>
          <w:p w:rsidR="00CA7CA0" w:rsidRPr="00153236" w:rsidRDefault="00CA7CA0" w:rsidP="0060544C">
            <w:pPr>
              <w:spacing w:before="100" w:beforeAutospacing="1" w:after="100" w:afterAutospacing="1" w:line="240" w:lineRule="auto"/>
              <w:rPr>
                <w:rFonts w:ascii="Arial" w:hAnsi="Arial" w:cs="Arial"/>
                <w:bCs/>
                <w:sz w:val="20"/>
                <w:szCs w:val="20"/>
                <w:lang w:eastAsia="pt-BR"/>
              </w:rPr>
            </w:pPr>
            <w:r w:rsidRPr="00153236">
              <w:rPr>
                <w:rFonts w:ascii="Arial" w:hAnsi="Arial" w:cs="Arial"/>
                <w:bCs/>
                <w:sz w:val="20"/>
                <w:szCs w:val="20"/>
                <w:lang w:eastAsia="pt-BR"/>
              </w:rPr>
              <w:t xml:space="preserve">AVEIA: flocos e  farinha. </w:t>
            </w:r>
          </w:p>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CENTEIO, CEVADA: farinha.  MALTE</w:t>
            </w:r>
          </w:p>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Todos os produtos elaborados com os cereais citados acima</w:t>
            </w:r>
          </w:p>
        </w:tc>
      </w:tr>
    </w:tbl>
    <w:p w:rsidR="00CA7CA0" w:rsidRPr="00153236" w:rsidRDefault="00CA7CA0" w:rsidP="00CA7CA0">
      <w:pPr>
        <w:spacing w:line="240" w:lineRule="auto"/>
        <w:rPr>
          <w:rFonts w:ascii="Arial" w:hAnsi="Arial" w:cs="Arial"/>
          <w:vanish/>
          <w:sz w:val="20"/>
          <w:szCs w:val="20"/>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818"/>
        <w:gridCol w:w="4056"/>
        <w:gridCol w:w="3033"/>
      </w:tblGrid>
      <w:tr w:rsidR="00CA7CA0" w:rsidRPr="00153236" w:rsidTr="0060544C">
        <w:trPr>
          <w:tblCellSpacing w:w="15" w:type="dxa"/>
        </w:trPr>
        <w:tc>
          <w:tcPr>
            <w:tcW w:w="995"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Bebidas</w:t>
            </w:r>
          </w:p>
        </w:tc>
        <w:tc>
          <w:tcPr>
            <w:tcW w:w="2259"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Sucos de frutas e vegetais naturais, refrigerantes e chás.   Vinhos, champanhes, aguardentes e saquê. Cafés com selo ABIC.</w:t>
            </w:r>
          </w:p>
        </w:tc>
        <w:tc>
          <w:tcPr>
            <w:tcW w:w="1676"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E05DFD">
              <w:rPr>
                <w:rFonts w:ascii="Arial" w:hAnsi="Arial" w:cs="Arial"/>
                <w:bCs/>
                <w:sz w:val="20"/>
                <w:szCs w:val="20"/>
                <w:lang w:val="en-US" w:eastAsia="pt-BR"/>
              </w:rPr>
              <w:t xml:space="preserve">Cerveja, whisky, vodka, gin, e ginger-ale. </w:t>
            </w:r>
            <w:r w:rsidRPr="00153236">
              <w:rPr>
                <w:rFonts w:ascii="Arial" w:hAnsi="Arial" w:cs="Arial"/>
                <w:bCs/>
                <w:sz w:val="20"/>
                <w:szCs w:val="20"/>
                <w:lang w:eastAsia="pt-BR"/>
              </w:rPr>
              <w:t>Ovomaltine, bebidas contendo malte, cafés misturados com cevada. Outras bebidas cuja composição não esteja clara no rótulo.</w:t>
            </w:r>
          </w:p>
        </w:tc>
      </w:tr>
    </w:tbl>
    <w:p w:rsidR="00CA7CA0" w:rsidRPr="00153236" w:rsidRDefault="00CA7CA0" w:rsidP="00CA7CA0">
      <w:pPr>
        <w:spacing w:line="240" w:lineRule="auto"/>
        <w:rPr>
          <w:rFonts w:ascii="Arial" w:hAnsi="Arial" w:cs="Arial"/>
          <w:vanish/>
          <w:sz w:val="20"/>
          <w:szCs w:val="20"/>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818"/>
        <w:gridCol w:w="4056"/>
        <w:gridCol w:w="3033"/>
      </w:tblGrid>
      <w:tr w:rsidR="00CA7CA0" w:rsidRPr="00153236" w:rsidTr="0060544C">
        <w:trPr>
          <w:tblCellSpacing w:w="15" w:type="dxa"/>
        </w:trPr>
        <w:tc>
          <w:tcPr>
            <w:tcW w:w="995"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Leites e derivados</w:t>
            </w:r>
          </w:p>
        </w:tc>
        <w:tc>
          <w:tcPr>
            <w:tcW w:w="2259"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 xml:space="preserve">Leite em pó, esterilizados (caixas tetra Pack), leites integrais, desnatados e </w:t>
            </w:r>
            <w:r w:rsidRPr="00153236">
              <w:rPr>
                <w:rFonts w:ascii="Arial" w:hAnsi="Arial" w:cs="Arial"/>
                <w:bCs/>
                <w:sz w:val="20"/>
                <w:szCs w:val="20"/>
                <w:lang w:eastAsia="pt-BR"/>
              </w:rPr>
              <w:lastRenderedPageBreak/>
              <w:t>semidesnatados. Leite condensado, cremes de leite etc. Queijos frescos, tipo minas, ricota, parmesão. Pães de queijo.  Para iogurte e requeijão, verifique observações nas embalagens.</w:t>
            </w:r>
          </w:p>
        </w:tc>
        <w:tc>
          <w:tcPr>
            <w:tcW w:w="1676"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lastRenderedPageBreak/>
              <w:t xml:space="preserve">Leites achocolatados que contenham malte ou extrato de </w:t>
            </w:r>
            <w:r w:rsidRPr="00153236">
              <w:rPr>
                <w:rFonts w:ascii="Arial" w:hAnsi="Arial" w:cs="Arial"/>
                <w:bCs/>
                <w:sz w:val="20"/>
                <w:szCs w:val="20"/>
                <w:lang w:eastAsia="pt-BR"/>
              </w:rPr>
              <w:lastRenderedPageBreak/>
              <w:t>malte, queijos fundidos, queijos preparados com cereais proibidos.   Na dúvida ou ausência das informações corretas nas embalagens, não adquira o produto.</w:t>
            </w:r>
          </w:p>
        </w:tc>
      </w:tr>
    </w:tbl>
    <w:p w:rsidR="00CA7CA0" w:rsidRPr="00153236" w:rsidRDefault="00CA7CA0" w:rsidP="00CA7CA0">
      <w:pPr>
        <w:spacing w:line="240" w:lineRule="auto"/>
        <w:rPr>
          <w:rFonts w:ascii="Arial" w:hAnsi="Arial" w:cs="Arial"/>
          <w:vanish/>
          <w:sz w:val="20"/>
          <w:szCs w:val="20"/>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818"/>
        <w:gridCol w:w="4056"/>
        <w:gridCol w:w="3033"/>
      </w:tblGrid>
      <w:tr w:rsidR="00CA7CA0" w:rsidRPr="00153236" w:rsidTr="0060544C">
        <w:trPr>
          <w:tblCellSpacing w:w="15" w:type="dxa"/>
        </w:trPr>
        <w:tc>
          <w:tcPr>
            <w:tcW w:w="995"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Açúcares</w:t>
            </w:r>
          </w:p>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Doces</w:t>
            </w:r>
          </w:p>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Achocolatados</w:t>
            </w:r>
          </w:p>
        </w:tc>
        <w:tc>
          <w:tcPr>
            <w:tcW w:w="2259"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 xml:space="preserve">Açúcar de cana, mel, melado, rapadura, glucose de milho, </w:t>
            </w:r>
            <w:proofErr w:type="spellStart"/>
            <w:r w:rsidRPr="00153236">
              <w:rPr>
                <w:rFonts w:ascii="Arial" w:hAnsi="Arial" w:cs="Arial"/>
                <w:bCs/>
                <w:sz w:val="20"/>
                <w:szCs w:val="20"/>
                <w:lang w:eastAsia="pt-BR"/>
              </w:rPr>
              <w:t>malto</w:t>
            </w:r>
            <w:proofErr w:type="spellEnd"/>
            <w:r w:rsidRPr="00153236">
              <w:rPr>
                <w:rFonts w:ascii="Arial" w:hAnsi="Arial" w:cs="Arial"/>
                <w:bCs/>
                <w:sz w:val="20"/>
                <w:szCs w:val="20"/>
                <w:lang w:eastAsia="pt-BR"/>
              </w:rPr>
              <w:t>-dextrina, dextrose, glicose.   Geleias de fruta e de mocotó, doces e sorvetes caseiros preparados com alimentos permitidos.   Achocolatados de cacau, balas e caramelos.</w:t>
            </w:r>
          </w:p>
        </w:tc>
        <w:tc>
          <w:tcPr>
            <w:tcW w:w="1676"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Para todos os casos, verifique as embalagens.</w:t>
            </w:r>
          </w:p>
        </w:tc>
      </w:tr>
    </w:tbl>
    <w:p w:rsidR="00CA7CA0" w:rsidRPr="00153236" w:rsidRDefault="00CA7CA0" w:rsidP="00CA7CA0">
      <w:pPr>
        <w:spacing w:line="240" w:lineRule="auto"/>
        <w:rPr>
          <w:rFonts w:ascii="Arial" w:hAnsi="Arial" w:cs="Arial"/>
          <w:vanish/>
          <w:sz w:val="20"/>
          <w:szCs w:val="20"/>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944"/>
        <w:gridCol w:w="2930"/>
        <w:gridCol w:w="3033"/>
      </w:tblGrid>
      <w:tr w:rsidR="00CA7CA0" w:rsidRPr="00153236" w:rsidTr="0060544C">
        <w:trPr>
          <w:tblCellSpacing w:w="15" w:type="dxa"/>
        </w:trPr>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Carnes (boi, aves, porco, cabrito, rãs, etc.), peixes e produtos do mar, ovos e Vísceras (fígado, coração). </w:t>
            </w:r>
          </w:p>
        </w:tc>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Todas, incluindo presunto e linguiça caseira.</w:t>
            </w:r>
          </w:p>
        </w:tc>
        <w:tc>
          <w:tcPr>
            <w:tcW w:w="170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Patês enlatados, embutidos (salame, salaminho e algumas salsichas) Carnes à milanesa.</w:t>
            </w:r>
          </w:p>
        </w:tc>
      </w:tr>
    </w:tbl>
    <w:p w:rsidR="00CA7CA0" w:rsidRPr="00153236" w:rsidRDefault="00CA7CA0" w:rsidP="00CA7CA0">
      <w:pPr>
        <w:spacing w:line="240" w:lineRule="auto"/>
        <w:rPr>
          <w:rFonts w:ascii="Arial" w:hAnsi="Arial" w:cs="Arial"/>
          <w:vanish/>
          <w:sz w:val="20"/>
          <w:szCs w:val="20"/>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944"/>
        <w:gridCol w:w="2930"/>
        <w:gridCol w:w="3033"/>
      </w:tblGrid>
      <w:tr w:rsidR="00CA7CA0" w:rsidRPr="00153236" w:rsidTr="0060544C">
        <w:trPr>
          <w:tblCellSpacing w:w="15" w:type="dxa"/>
        </w:trPr>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Gorduras e óleos</w:t>
            </w:r>
          </w:p>
        </w:tc>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Manteiga, margarina, banha de porco, gordura vegetal hidrogenada, óleos vegetais, azeite.</w:t>
            </w:r>
          </w:p>
        </w:tc>
        <w:tc>
          <w:tcPr>
            <w:tcW w:w="170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sz w:val="20"/>
                <w:szCs w:val="20"/>
                <w:lang w:eastAsia="pt-BR"/>
              </w:rPr>
              <w:t>Para todos os casos, observe sempre a embalagem do produto.</w:t>
            </w:r>
          </w:p>
        </w:tc>
      </w:tr>
    </w:tbl>
    <w:p w:rsidR="00CA7CA0" w:rsidRPr="00153236" w:rsidRDefault="00CA7CA0" w:rsidP="00CA7CA0">
      <w:pPr>
        <w:spacing w:line="240" w:lineRule="auto"/>
        <w:rPr>
          <w:rFonts w:ascii="Arial" w:hAnsi="Arial" w:cs="Arial"/>
          <w:vanish/>
          <w:sz w:val="20"/>
          <w:szCs w:val="20"/>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944"/>
        <w:gridCol w:w="2930"/>
        <w:gridCol w:w="3033"/>
      </w:tblGrid>
      <w:tr w:rsidR="00CA7CA0" w:rsidRPr="00153236" w:rsidTr="0060544C">
        <w:trPr>
          <w:tblCellSpacing w:w="15" w:type="dxa"/>
        </w:trPr>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Grãos</w:t>
            </w:r>
          </w:p>
        </w:tc>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Feijão</w:t>
            </w:r>
            <w:proofErr w:type="gramStart"/>
            <w:r w:rsidRPr="00153236">
              <w:rPr>
                <w:rFonts w:ascii="Arial" w:hAnsi="Arial" w:cs="Arial"/>
                <w:bCs/>
                <w:sz w:val="20"/>
                <w:szCs w:val="20"/>
                <w:lang w:eastAsia="pt-BR"/>
              </w:rPr>
              <w:t>,</w:t>
            </w:r>
            <w:r>
              <w:rPr>
                <w:rFonts w:ascii="Arial" w:hAnsi="Arial" w:cs="Arial"/>
                <w:bCs/>
                <w:sz w:val="20"/>
                <w:szCs w:val="20"/>
                <w:lang w:eastAsia="pt-BR"/>
              </w:rPr>
              <w:t xml:space="preserve"> </w:t>
            </w:r>
            <w:r w:rsidRPr="00153236">
              <w:rPr>
                <w:rFonts w:ascii="Arial" w:hAnsi="Arial" w:cs="Arial"/>
                <w:bCs/>
                <w:sz w:val="20"/>
                <w:szCs w:val="20"/>
                <w:lang w:eastAsia="pt-BR"/>
              </w:rPr>
              <w:t>broto</w:t>
            </w:r>
            <w:proofErr w:type="gramEnd"/>
            <w:r w:rsidRPr="00153236">
              <w:rPr>
                <w:rFonts w:ascii="Arial" w:hAnsi="Arial" w:cs="Arial"/>
                <w:bCs/>
                <w:sz w:val="20"/>
                <w:szCs w:val="20"/>
                <w:lang w:eastAsia="pt-BR"/>
              </w:rPr>
              <w:t xml:space="preserve"> de feijão, ervilha seca, lentilha, amendoim, grão de bico, soja</w:t>
            </w:r>
            <w:r>
              <w:rPr>
                <w:rFonts w:ascii="Arial" w:hAnsi="Arial" w:cs="Arial"/>
                <w:bCs/>
                <w:sz w:val="20"/>
                <w:szCs w:val="20"/>
                <w:lang w:eastAsia="pt-BR"/>
              </w:rPr>
              <w:t>.</w:t>
            </w:r>
          </w:p>
        </w:tc>
        <w:tc>
          <w:tcPr>
            <w:tcW w:w="170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Extrato proteico vegetal,</w:t>
            </w:r>
          </w:p>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Proteína vegetal hidrolisada.</w:t>
            </w:r>
          </w:p>
        </w:tc>
      </w:tr>
    </w:tbl>
    <w:p w:rsidR="00CA7CA0" w:rsidRPr="00153236" w:rsidRDefault="00CA7CA0" w:rsidP="00CA7CA0">
      <w:pPr>
        <w:spacing w:line="240" w:lineRule="auto"/>
        <w:rPr>
          <w:rFonts w:ascii="Arial" w:hAnsi="Arial" w:cs="Arial"/>
          <w:vanish/>
          <w:sz w:val="20"/>
          <w:szCs w:val="20"/>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944"/>
        <w:gridCol w:w="2930"/>
        <w:gridCol w:w="3033"/>
      </w:tblGrid>
      <w:tr w:rsidR="00CA7CA0" w:rsidRPr="00153236" w:rsidTr="0060544C">
        <w:trPr>
          <w:tblCellSpacing w:w="15" w:type="dxa"/>
        </w:trPr>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Hortaliças</w:t>
            </w:r>
          </w:p>
        </w:tc>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Legumes e verduras: Todas</w:t>
            </w:r>
          </w:p>
        </w:tc>
        <w:tc>
          <w:tcPr>
            <w:tcW w:w="170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sz w:val="20"/>
                <w:szCs w:val="20"/>
                <w:lang w:eastAsia="pt-BR"/>
              </w:rPr>
              <w:t> </w:t>
            </w:r>
          </w:p>
        </w:tc>
      </w:tr>
    </w:tbl>
    <w:p w:rsidR="00CA7CA0" w:rsidRPr="00153236" w:rsidRDefault="00CA7CA0" w:rsidP="00CA7CA0">
      <w:pPr>
        <w:spacing w:line="240" w:lineRule="auto"/>
        <w:rPr>
          <w:rFonts w:ascii="Arial" w:hAnsi="Arial" w:cs="Arial"/>
          <w:vanish/>
          <w:sz w:val="20"/>
          <w:szCs w:val="20"/>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944"/>
        <w:gridCol w:w="2930"/>
        <w:gridCol w:w="3033"/>
      </w:tblGrid>
      <w:tr w:rsidR="00CA7CA0" w:rsidRPr="00153236" w:rsidTr="0060544C">
        <w:trPr>
          <w:tblCellSpacing w:w="15" w:type="dxa"/>
        </w:trPr>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Condimentos</w:t>
            </w:r>
          </w:p>
        </w:tc>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 xml:space="preserve">Sal, pimenta, cheiro-verde, erva, temperos caseiros, maionese caseira, vinagre fermentado de vinhos tinto e de arroz, glutamato </w:t>
            </w:r>
            <w:proofErr w:type="spellStart"/>
            <w:r w:rsidRPr="00153236">
              <w:rPr>
                <w:rFonts w:ascii="Arial" w:hAnsi="Arial" w:cs="Arial"/>
                <w:bCs/>
                <w:sz w:val="20"/>
                <w:szCs w:val="20"/>
                <w:lang w:eastAsia="pt-BR"/>
              </w:rPr>
              <w:t>monossódico</w:t>
            </w:r>
            <w:proofErr w:type="spellEnd"/>
            <w:r w:rsidRPr="00153236">
              <w:rPr>
                <w:rFonts w:ascii="Arial" w:hAnsi="Arial" w:cs="Arial"/>
                <w:bCs/>
                <w:sz w:val="20"/>
                <w:szCs w:val="20"/>
                <w:lang w:eastAsia="pt-BR"/>
              </w:rPr>
              <w:t xml:space="preserve"> (Ajinomoto). </w:t>
            </w:r>
          </w:p>
        </w:tc>
        <w:tc>
          <w:tcPr>
            <w:tcW w:w="170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 xml:space="preserve">Maionese, </w:t>
            </w:r>
            <w:proofErr w:type="spellStart"/>
            <w:r w:rsidRPr="00153236">
              <w:rPr>
                <w:rFonts w:ascii="Arial" w:hAnsi="Arial" w:cs="Arial"/>
                <w:bCs/>
                <w:sz w:val="20"/>
                <w:szCs w:val="20"/>
                <w:lang w:eastAsia="pt-BR"/>
              </w:rPr>
              <w:t>catchup</w:t>
            </w:r>
            <w:proofErr w:type="spellEnd"/>
            <w:r w:rsidRPr="00153236">
              <w:rPr>
                <w:rFonts w:ascii="Arial" w:hAnsi="Arial" w:cs="Arial"/>
                <w:bCs/>
                <w:sz w:val="20"/>
                <w:szCs w:val="20"/>
                <w:lang w:eastAsia="pt-BR"/>
              </w:rPr>
              <w:t>, mostarda e temperos industrializados podem conter o glúten. Leia com muita atenção o rótulo.</w:t>
            </w:r>
          </w:p>
        </w:tc>
      </w:tr>
    </w:tbl>
    <w:p w:rsidR="00CA7CA0" w:rsidRPr="00153236" w:rsidRDefault="00CA7CA0" w:rsidP="00CA7CA0">
      <w:pPr>
        <w:spacing w:line="240" w:lineRule="auto"/>
        <w:rPr>
          <w:rFonts w:ascii="Arial" w:hAnsi="Arial" w:cs="Arial"/>
          <w:vanish/>
          <w:sz w:val="20"/>
          <w:szCs w:val="20"/>
          <w:lang w:eastAsia="pt-BR"/>
        </w:rPr>
      </w:pPr>
    </w:p>
    <w:tbl>
      <w:tblPr>
        <w:tblpPr w:leftFromText="141" w:rightFromText="141" w:horzAnchor="margin" w:tblpY="570"/>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903"/>
        <w:gridCol w:w="1550"/>
        <w:gridCol w:w="1400"/>
        <w:gridCol w:w="3054"/>
      </w:tblGrid>
      <w:tr w:rsidR="00CA7CA0" w:rsidRPr="00153236" w:rsidTr="0060544C">
        <w:trPr>
          <w:trHeight w:val="1201"/>
          <w:tblCellSpacing w:w="15" w:type="dxa"/>
        </w:trPr>
        <w:tc>
          <w:tcPr>
            <w:tcW w:w="1615" w:type="pct"/>
            <w:tcBorders>
              <w:top w:val="single" w:sz="6" w:space="0" w:color="auto"/>
              <w:left w:val="single" w:sz="6" w:space="0" w:color="auto"/>
              <w:bottom w:val="single" w:sz="6" w:space="0" w:color="auto"/>
              <w:right w:val="single" w:sz="6" w:space="0" w:color="auto"/>
            </w:tcBorders>
            <w:vAlign w:val="center"/>
          </w:tcPr>
          <w:p w:rsidR="00CA7CA0" w:rsidRPr="00E05DFD"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QUAISQUER ALIMENTOS</w:t>
            </w:r>
          </w:p>
        </w:tc>
        <w:tc>
          <w:tcPr>
            <w:tcW w:w="1633" w:type="pct"/>
            <w:gridSpan w:val="2"/>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Leia atentamente os rótulos</w:t>
            </w:r>
          </w:p>
        </w:tc>
        <w:tc>
          <w:tcPr>
            <w:tcW w:w="1682"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Os proibidos devem ter a expressão CONTÉM GLÚTEN nos rótulos</w:t>
            </w:r>
          </w:p>
        </w:tc>
      </w:tr>
      <w:tr w:rsidR="00CA7CA0" w:rsidRPr="00153236" w:rsidTr="0060544C">
        <w:trPr>
          <w:tblCellSpacing w:w="15" w:type="dxa"/>
        </w:trPr>
        <w:tc>
          <w:tcPr>
            <w:tcW w:w="2474" w:type="pct"/>
            <w:gridSpan w:val="2"/>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shd w:val="clear" w:color="auto" w:fill="FFFFFF"/>
                <w:lang w:eastAsia="pt-BR"/>
              </w:rPr>
              <w:t xml:space="preserve">FRUTAS </w:t>
            </w:r>
          </w:p>
        </w:tc>
        <w:tc>
          <w:tcPr>
            <w:tcW w:w="2474" w:type="pct"/>
            <w:gridSpan w:val="2"/>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Todas são pouco calóricas e nos oferecem sais minerais, vitaminas e carboidratos, além de grandes doses de vitamina. Veja quadro abaixo:</w:t>
            </w:r>
          </w:p>
        </w:tc>
      </w:tr>
    </w:tbl>
    <w:p w:rsidR="00CA7CA0" w:rsidRPr="00153236" w:rsidRDefault="00CA7CA0" w:rsidP="00CA7CA0">
      <w:pPr>
        <w:spacing w:line="240" w:lineRule="auto"/>
        <w:rPr>
          <w:rFonts w:ascii="Arial" w:hAnsi="Arial" w:cs="Arial"/>
          <w:vanish/>
          <w:sz w:val="20"/>
          <w:szCs w:val="20"/>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453"/>
        <w:gridCol w:w="4454"/>
      </w:tblGrid>
      <w:tr w:rsidR="00CA7CA0" w:rsidRPr="00153236" w:rsidTr="0060544C">
        <w:trPr>
          <w:tblCellSpacing w:w="15" w:type="dxa"/>
        </w:trPr>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Abacaxi</w:t>
            </w:r>
          </w:p>
        </w:tc>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proofErr w:type="gramStart"/>
            <w:r w:rsidRPr="00153236">
              <w:rPr>
                <w:rFonts w:ascii="Arial" w:hAnsi="Arial" w:cs="Arial"/>
                <w:bCs/>
                <w:sz w:val="20"/>
                <w:szCs w:val="20"/>
                <w:lang w:eastAsia="pt-BR"/>
              </w:rPr>
              <w:t>é</w:t>
            </w:r>
            <w:proofErr w:type="gramEnd"/>
            <w:r w:rsidRPr="00153236">
              <w:rPr>
                <w:rFonts w:ascii="Arial" w:hAnsi="Arial" w:cs="Arial"/>
                <w:bCs/>
                <w:sz w:val="20"/>
                <w:szCs w:val="20"/>
                <w:lang w:eastAsia="pt-BR"/>
              </w:rPr>
              <w:t xml:space="preserve"> digestivo, rico em fibras, vitaminas e sais minerais.</w:t>
            </w:r>
          </w:p>
        </w:tc>
      </w:tr>
    </w:tbl>
    <w:p w:rsidR="00CA7CA0" w:rsidRPr="00153236" w:rsidRDefault="00CA7CA0" w:rsidP="00CA7CA0">
      <w:pPr>
        <w:spacing w:line="240" w:lineRule="auto"/>
        <w:rPr>
          <w:rFonts w:ascii="Arial" w:hAnsi="Arial" w:cs="Arial"/>
          <w:vanish/>
          <w:sz w:val="20"/>
          <w:szCs w:val="20"/>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453"/>
        <w:gridCol w:w="4454"/>
      </w:tblGrid>
      <w:tr w:rsidR="00CA7CA0" w:rsidRPr="00153236" w:rsidTr="0060544C">
        <w:trPr>
          <w:tblCellSpacing w:w="15" w:type="dxa"/>
        </w:trPr>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Acerola, Caju, Goiaba e Laranja, Kiwi e Tangerina.</w:t>
            </w:r>
          </w:p>
        </w:tc>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proofErr w:type="gramStart"/>
            <w:r w:rsidRPr="00153236">
              <w:rPr>
                <w:rFonts w:ascii="Arial" w:hAnsi="Arial" w:cs="Arial"/>
                <w:bCs/>
                <w:sz w:val="20"/>
                <w:szCs w:val="20"/>
                <w:lang w:eastAsia="pt-BR"/>
              </w:rPr>
              <w:t>ricos</w:t>
            </w:r>
            <w:proofErr w:type="gramEnd"/>
            <w:r w:rsidRPr="00153236">
              <w:rPr>
                <w:rFonts w:ascii="Arial" w:hAnsi="Arial" w:cs="Arial"/>
                <w:bCs/>
                <w:sz w:val="20"/>
                <w:szCs w:val="20"/>
                <w:lang w:eastAsia="pt-BR"/>
              </w:rPr>
              <w:t xml:space="preserve"> em vitamina C</w:t>
            </w:r>
          </w:p>
        </w:tc>
      </w:tr>
    </w:tbl>
    <w:p w:rsidR="00CA7CA0" w:rsidRPr="00153236" w:rsidRDefault="00CA7CA0" w:rsidP="00CA7CA0">
      <w:pPr>
        <w:spacing w:line="240" w:lineRule="auto"/>
        <w:rPr>
          <w:rFonts w:ascii="Arial" w:hAnsi="Arial" w:cs="Arial"/>
          <w:vanish/>
          <w:sz w:val="20"/>
          <w:szCs w:val="20"/>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453"/>
        <w:gridCol w:w="4454"/>
      </w:tblGrid>
      <w:tr w:rsidR="00CA7CA0" w:rsidRPr="00153236" w:rsidTr="0060544C">
        <w:trPr>
          <w:tblCellSpacing w:w="15" w:type="dxa"/>
        </w:trPr>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Banana</w:t>
            </w:r>
          </w:p>
        </w:tc>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proofErr w:type="gramStart"/>
            <w:r w:rsidRPr="00153236">
              <w:rPr>
                <w:rFonts w:ascii="Arial" w:hAnsi="Arial" w:cs="Arial"/>
                <w:bCs/>
                <w:sz w:val="20"/>
                <w:szCs w:val="20"/>
                <w:lang w:eastAsia="pt-BR"/>
              </w:rPr>
              <w:t>rica</w:t>
            </w:r>
            <w:proofErr w:type="gramEnd"/>
            <w:r w:rsidRPr="00153236">
              <w:rPr>
                <w:rFonts w:ascii="Arial" w:hAnsi="Arial" w:cs="Arial"/>
                <w:bCs/>
                <w:sz w:val="20"/>
                <w:szCs w:val="20"/>
                <w:lang w:eastAsia="pt-BR"/>
              </w:rPr>
              <w:t xml:space="preserve"> em potássio</w:t>
            </w:r>
          </w:p>
        </w:tc>
      </w:tr>
    </w:tbl>
    <w:p w:rsidR="00CA7CA0" w:rsidRPr="00153236" w:rsidRDefault="00CA7CA0" w:rsidP="00CA7CA0">
      <w:pPr>
        <w:spacing w:line="240" w:lineRule="auto"/>
        <w:rPr>
          <w:rFonts w:ascii="Arial" w:hAnsi="Arial" w:cs="Arial"/>
          <w:vanish/>
          <w:sz w:val="20"/>
          <w:szCs w:val="20"/>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453"/>
        <w:gridCol w:w="4454"/>
      </w:tblGrid>
      <w:tr w:rsidR="00CA7CA0" w:rsidRPr="00153236" w:rsidTr="0060544C">
        <w:trPr>
          <w:tblCellSpacing w:w="15" w:type="dxa"/>
        </w:trPr>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Maçã</w:t>
            </w:r>
          </w:p>
        </w:tc>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proofErr w:type="gramStart"/>
            <w:r w:rsidRPr="00153236">
              <w:rPr>
                <w:rFonts w:ascii="Arial" w:hAnsi="Arial" w:cs="Arial"/>
                <w:bCs/>
                <w:sz w:val="20"/>
                <w:szCs w:val="20"/>
                <w:lang w:eastAsia="pt-BR"/>
              </w:rPr>
              <w:t>rica</w:t>
            </w:r>
            <w:proofErr w:type="gramEnd"/>
            <w:r w:rsidRPr="00153236">
              <w:rPr>
                <w:rFonts w:ascii="Arial" w:hAnsi="Arial" w:cs="Arial"/>
                <w:bCs/>
                <w:sz w:val="20"/>
                <w:szCs w:val="20"/>
                <w:lang w:eastAsia="pt-BR"/>
              </w:rPr>
              <w:t xml:space="preserve"> em fibras, essencial para o funcionamento do coração.</w:t>
            </w:r>
          </w:p>
        </w:tc>
      </w:tr>
    </w:tbl>
    <w:p w:rsidR="00CA7CA0" w:rsidRPr="00153236" w:rsidRDefault="00CA7CA0" w:rsidP="00CA7CA0">
      <w:pPr>
        <w:spacing w:line="240" w:lineRule="auto"/>
        <w:rPr>
          <w:rFonts w:ascii="Arial" w:hAnsi="Arial" w:cs="Arial"/>
          <w:vanish/>
          <w:sz w:val="20"/>
          <w:szCs w:val="20"/>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453"/>
        <w:gridCol w:w="4454"/>
      </w:tblGrid>
      <w:tr w:rsidR="00CA7CA0" w:rsidRPr="00153236" w:rsidTr="0060544C">
        <w:trPr>
          <w:tblCellSpacing w:w="15" w:type="dxa"/>
        </w:trPr>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Mamão</w:t>
            </w:r>
          </w:p>
        </w:tc>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proofErr w:type="gramStart"/>
            <w:r w:rsidRPr="00153236">
              <w:rPr>
                <w:rFonts w:ascii="Arial" w:hAnsi="Arial" w:cs="Arial"/>
                <w:bCs/>
                <w:sz w:val="20"/>
                <w:szCs w:val="20"/>
                <w:lang w:eastAsia="pt-BR"/>
              </w:rPr>
              <w:t>é</w:t>
            </w:r>
            <w:proofErr w:type="gramEnd"/>
            <w:r w:rsidRPr="00153236">
              <w:rPr>
                <w:rFonts w:ascii="Arial" w:hAnsi="Arial" w:cs="Arial"/>
                <w:bCs/>
                <w:sz w:val="20"/>
                <w:szCs w:val="20"/>
                <w:lang w:eastAsia="pt-BR"/>
              </w:rPr>
              <w:t xml:space="preserve"> digestivo, laxante e cicatrizante.</w:t>
            </w:r>
          </w:p>
        </w:tc>
      </w:tr>
    </w:tbl>
    <w:p w:rsidR="00CA7CA0" w:rsidRPr="00153236" w:rsidRDefault="00CA7CA0" w:rsidP="00CA7CA0">
      <w:pPr>
        <w:spacing w:line="240" w:lineRule="auto"/>
        <w:rPr>
          <w:rFonts w:ascii="Arial" w:hAnsi="Arial" w:cs="Arial"/>
          <w:vanish/>
          <w:sz w:val="20"/>
          <w:szCs w:val="20"/>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453"/>
        <w:gridCol w:w="4454"/>
      </w:tblGrid>
      <w:tr w:rsidR="00CA7CA0" w:rsidRPr="00153236" w:rsidTr="0060544C">
        <w:trPr>
          <w:tblCellSpacing w:w="15" w:type="dxa"/>
        </w:trPr>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Manga</w:t>
            </w:r>
          </w:p>
        </w:tc>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proofErr w:type="gramStart"/>
            <w:r w:rsidRPr="00153236">
              <w:rPr>
                <w:rFonts w:ascii="Arial" w:hAnsi="Arial" w:cs="Arial"/>
                <w:bCs/>
                <w:sz w:val="20"/>
                <w:szCs w:val="20"/>
                <w:lang w:eastAsia="pt-BR"/>
              </w:rPr>
              <w:t>elevado</w:t>
            </w:r>
            <w:proofErr w:type="gramEnd"/>
            <w:r w:rsidRPr="00153236">
              <w:rPr>
                <w:rFonts w:ascii="Arial" w:hAnsi="Arial" w:cs="Arial"/>
                <w:bCs/>
                <w:sz w:val="20"/>
                <w:szCs w:val="20"/>
                <w:lang w:eastAsia="pt-BR"/>
              </w:rPr>
              <w:t xml:space="preserve"> valor calórico, rica em vitamina A</w:t>
            </w:r>
          </w:p>
        </w:tc>
      </w:tr>
    </w:tbl>
    <w:p w:rsidR="00CA7CA0" w:rsidRPr="00153236" w:rsidRDefault="00CA7CA0" w:rsidP="00CA7CA0">
      <w:pPr>
        <w:spacing w:line="240" w:lineRule="auto"/>
        <w:rPr>
          <w:rFonts w:ascii="Arial" w:hAnsi="Arial" w:cs="Arial"/>
          <w:vanish/>
          <w:sz w:val="20"/>
          <w:szCs w:val="20"/>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453"/>
        <w:gridCol w:w="4454"/>
      </w:tblGrid>
      <w:tr w:rsidR="00CA7CA0" w:rsidRPr="00153236" w:rsidTr="0060544C">
        <w:trPr>
          <w:tblCellSpacing w:w="15" w:type="dxa"/>
        </w:trPr>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lastRenderedPageBreak/>
              <w:t>Maracujá</w:t>
            </w:r>
          </w:p>
        </w:tc>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proofErr w:type="gramStart"/>
            <w:r w:rsidRPr="00153236">
              <w:rPr>
                <w:rFonts w:ascii="Arial" w:hAnsi="Arial" w:cs="Arial"/>
                <w:bCs/>
                <w:sz w:val="20"/>
                <w:szCs w:val="20"/>
                <w:lang w:eastAsia="pt-BR"/>
              </w:rPr>
              <w:t>considerado</w:t>
            </w:r>
            <w:proofErr w:type="gramEnd"/>
            <w:r w:rsidRPr="00153236">
              <w:rPr>
                <w:rFonts w:ascii="Arial" w:hAnsi="Arial" w:cs="Arial"/>
                <w:bCs/>
                <w:sz w:val="20"/>
                <w:szCs w:val="20"/>
                <w:lang w:eastAsia="pt-BR"/>
              </w:rPr>
              <w:t xml:space="preserve"> calmante e abaixa a pressão arterial</w:t>
            </w:r>
          </w:p>
        </w:tc>
      </w:tr>
      <w:tr w:rsidR="00CA7CA0" w:rsidRPr="00153236" w:rsidTr="0060544C">
        <w:trPr>
          <w:tblCellSpacing w:w="15" w:type="dxa"/>
        </w:trPr>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Morango</w:t>
            </w:r>
          </w:p>
        </w:tc>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proofErr w:type="gramStart"/>
            <w:r w:rsidRPr="00153236">
              <w:rPr>
                <w:rFonts w:ascii="Arial" w:hAnsi="Arial" w:cs="Arial"/>
                <w:bCs/>
                <w:sz w:val="20"/>
                <w:szCs w:val="20"/>
                <w:lang w:eastAsia="pt-BR"/>
              </w:rPr>
              <w:t>rico</w:t>
            </w:r>
            <w:proofErr w:type="gramEnd"/>
            <w:r w:rsidRPr="00153236">
              <w:rPr>
                <w:rFonts w:ascii="Arial" w:hAnsi="Arial" w:cs="Arial"/>
                <w:bCs/>
                <w:sz w:val="20"/>
                <w:szCs w:val="20"/>
                <w:lang w:eastAsia="pt-BR"/>
              </w:rPr>
              <w:t xml:space="preserve"> em potássio e vitamina C</w:t>
            </w:r>
          </w:p>
        </w:tc>
      </w:tr>
      <w:tr w:rsidR="00CA7CA0" w:rsidRPr="00153236" w:rsidTr="0060544C">
        <w:trPr>
          <w:tblCellSpacing w:w="15" w:type="dxa"/>
        </w:trPr>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r w:rsidRPr="00153236">
              <w:rPr>
                <w:rFonts w:ascii="Arial" w:hAnsi="Arial" w:cs="Arial"/>
                <w:bCs/>
                <w:sz w:val="20"/>
                <w:szCs w:val="20"/>
                <w:lang w:eastAsia="pt-BR"/>
              </w:rPr>
              <w:t>Melão e Melancia</w:t>
            </w:r>
          </w:p>
        </w:tc>
        <w:tc>
          <w:tcPr>
            <w:tcW w:w="1650" w:type="pct"/>
            <w:tcBorders>
              <w:top w:val="single" w:sz="6" w:space="0" w:color="auto"/>
              <w:left w:val="single" w:sz="6" w:space="0" w:color="auto"/>
              <w:bottom w:val="single" w:sz="6" w:space="0" w:color="auto"/>
              <w:right w:val="single" w:sz="6" w:space="0" w:color="auto"/>
            </w:tcBorders>
            <w:vAlign w:val="center"/>
          </w:tcPr>
          <w:p w:rsidR="00CA7CA0" w:rsidRPr="00153236" w:rsidRDefault="00CA7CA0" w:rsidP="0060544C">
            <w:pPr>
              <w:spacing w:before="100" w:beforeAutospacing="1" w:after="100" w:afterAutospacing="1" w:line="240" w:lineRule="auto"/>
              <w:rPr>
                <w:rFonts w:ascii="Arial" w:hAnsi="Arial" w:cs="Arial"/>
                <w:sz w:val="20"/>
                <w:szCs w:val="20"/>
                <w:lang w:eastAsia="pt-BR"/>
              </w:rPr>
            </w:pPr>
            <w:proofErr w:type="gramStart"/>
            <w:r w:rsidRPr="00153236">
              <w:rPr>
                <w:rFonts w:ascii="Arial" w:hAnsi="Arial" w:cs="Arial"/>
                <w:bCs/>
                <w:sz w:val="20"/>
                <w:szCs w:val="20"/>
                <w:lang w:eastAsia="pt-BR"/>
              </w:rPr>
              <w:t>são</w:t>
            </w:r>
            <w:proofErr w:type="gramEnd"/>
            <w:r w:rsidRPr="00153236">
              <w:rPr>
                <w:rFonts w:ascii="Arial" w:hAnsi="Arial" w:cs="Arial"/>
                <w:bCs/>
                <w:sz w:val="20"/>
                <w:szCs w:val="20"/>
                <w:lang w:eastAsia="pt-BR"/>
              </w:rPr>
              <w:t xml:space="preserve"> considerados diuréticos e ricos em água</w:t>
            </w:r>
          </w:p>
        </w:tc>
      </w:tr>
    </w:tbl>
    <w:p w:rsidR="00CA7CA0" w:rsidRDefault="00CA7CA0" w:rsidP="00CA7CA0">
      <w:pPr>
        <w:spacing w:line="240" w:lineRule="auto"/>
        <w:rPr>
          <w:rFonts w:ascii="Arial" w:hAnsi="Arial" w:cs="Arial"/>
          <w:sz w:val="20"/>
          <w:szCs w:val="20"/>
          <w:lang w:eastAsia="pt-BR"/>
        </w:rPr>
      </w:pPr>
    </w:p>
    <w:p w:rsidR="00CA7CA0" w:rsidRPr="007908D2" w:rsidRDefault="00CA7CA0" w:rsidP="00CA7CA0">
      <w:pPr>
        <w:pStyle w:val="PargrafodaLista"/>
        <w:spacing w:line="240" w:lineRule="auto"/>
        <w:ind w:left="0"/>
        <w:jc w:val="both"/>
        <w:rPr>
          <w:rFonts w:ascii="Arial" w:hAnsi="Arial" w:cs="Arial"/>
          <w:i/>
          <w:sz w:val="20"/>
          <w:szCs w:val="20"/>
        </w:rPr>
      </w:pPr>
      <w:r>
        <w:rPr>
          <w:rFonts w:ascii="Arial" w:hAnsi="Arial" w:cs="Arial"/>
          <w:sz w:val="20"/>
          <w:szCs w:val="20"/>
          <w:lang w:eastAsia="pt-BR"/>
        </w:rPr>
        <w:t xml:space="preserve">Fonte: </w:t>
      </w:r>
      <w:r w:rsidRPr="007908D2">
        <w:rPr>
          <w:rFonts w:ascii="Arial" w:hAnsi="Arial" w:cs="Arial"/>
          <w:i/>
          <w:sz w:val="20"/>
          <w:szCs w:val="20"/>
        </w:rPr>
        <w:t xml:space="preserve">Associação dos Celíacos do Brasil, </w:t>
      </w:r>
      <w:r w:rsidRPr="007908D2">
        <w:rPr>
          <w:rFonts w:ascii="Arial" w:hAnsi="Arial" w:cs="Arial"/>
          <w:sz w:val="20"/>
          <w:szCs w:val="20"/>
        </w:rPr>
        <w:t>(ACELBRA).</w:t>
      </w:r>
      <w:r>
        <w:rPr>
          <w:rFonts w:ascii="Arial" w:hAnsi="Arial" w:cs="Arial"/>
          <w:sz w:val="20"/>
          <w:szCs w:val="20"/>
        </w:rPr>
        <w:t xml:space="preserve"> Disponível em: www.acelbra.org.br</w:t>
      </w:r>
    </w:p>
    <w:p w:rsidR="00CA7CA0" w:rsidRPr="00153236" w:rsidRDefault="00CA7CA0" w:rsidP="00CA7CA0">
      <w:pPr>
        <w:spacing w:line="240" w:lineRule="auto"/>
        <w:rPr>
          <w:rFonts w:ascii="Arial" w:hAnsi="Arial" w:cs="Arial"/>
          <w:vanish/>
          <w:sz w:val="20"/>
          <w:szCs w:val="20"/>
          <w:lang w:eastAsia="pt-BR"/>
        </w:rPr>
      </w:pPr>
    </w:p>
    <w:p w:rsidR="00CA7CA0" w:rsidRPr="00153236"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ind w:left="0"/>
        <w:jc w:val="both"/>
        <w:rPr>
          <w:rFonts w:ascii="Arial" w:hAnsi="Arial" w:cs="Arial"/>
          <w:sz w:val="28"/>
          <w:szCs w:val="28"/>
        </w:rPr>
      </w:pPr>
      <w:r w:rsidRPr="00554B47">
        <w:rPr>
          <w:rFonts w:ascii="Arial" w:hAnsi="Arial" w:cs="Arial"/>
          <w:sz w:val="28"/>
          <w:szCs w:val="28"/>
        </w:rPr>
        <w:lastRenderedPageBreak/>
        <w:t>4- METODOLOGIA</w:t>
      </w:r>
    </w:p>
    <w:p w:rsidR="00CA7CA0" w:rsidRDefault="00CA7CA0" w:rsidP="00CA7CA0">
      <w:pPr>
        <w:pStyle w:val="PargrafodaLista"/>
        <w:spacing w:line="360" w:lineRule="auto"/>
        <w:ind w:left="0"/>
        <w:jc w:val="both"/>
        <w:rPr>
          <w:rFonts w:ascii="Arial" w:hAnsi="Arial" w:cs="Arial"/>
          <w:sz w:val="28"/>
          <w:szCs w:val="28"/>
        </w:rPr>
      </w:pPr>
    </w:p>
    <w:p w:rsidR="00CA7CA0" w:rsidRPr="00292903" w:rsidRDefault="00CA7CA0" w:rsidP="00CA7CA0">
      <w:pPr>
        <w:pStyle w:val="PargrafodaLista"/>
        <w:spacing w:line="360" w:lineRule="auto"/>
        <w:ind w:left="0"/>
        <w:jc w:val="both"/>
        <w:rPr>
          <w:rFonts w:ascii="Arial" w:hAnsi="Arial" w:cs="Arial"/>
          <w:sz w:val="24"/>
          <w:szCs w:val="24"/>
        </w:rPr>
      </w:pPr>
      <w:r>
        <w:rPr>
          <w:rFonts w:ascii="Arial" w:hAnsi="Arial" w:cs="Arial"/>
          <w:sz w:val="28"/>
          <w:szCs w:val="28"/>
        </w:rPr>
        <w:t xml:space="preserve">     </w:t>
      </w:r>
      <w:r w:rsidRPr="00292903">
        <w:rPr>
          <w:rFonts w:ascii="Arial" w:hAnsi="Arial" w:cs="Arial"/>
          <w:sz w:val="24"/>
          <w:szCs w:val="24"/>
        </w:rPr>
        <w:t>O desenvolvimento do trabalho foi baseado em informaçõ</w:t>
      </w:r>
      <w:r w:rsidR="00573776">
        <w:rPr>
          <w:rFonts w:ascii="Arial" w:hAnsi="Arial" w:cs="Arial"/>
          <w:sz w:val="24"/>
          <w:szCs w:val="24"/>
        </w:rPr>
        <w:t xml:space="preserve">es retiradas do banco de dados </w:t>
      </w:r>
      <w:proofErr w:type="spellStart"/>
      <w:r w:rsidR="00573776">
        <w:rPr>
          <w:rFonts w:ascii="Arial" w:hAnsi="Arial" w:cs="Arial"/>
          <w:sz w:val="24"/>
          <w:szCs w:val="24"/>
        </w:rPr>
        <w:t>Scielo</w:t>
      </w:r>
      <w:proofErr w:type="spellEnd"/>
      <w:r w:rsidR="00573776">
        <w:rPr>
          <w:rFonts w:ascii="Arial" w:hAnsi="Arial" w:cs="Arial"/>
          <w:sz w:val="24"/>
          <w:szCs w:val="24"/>
        </w:rPr>
        <w:t xml:space="preserve">, </w:t>
      </w:r>
      <w:proofErr w:type="spellStart"/>
      <w:r w:rsidR="00573776">
        <w:rPr>
          <w:rFonts w:ascii="Arial" w:hAnsi="Arial" w:cs="Arial"/>
          <w:sz w:val="24"/>
          <w:szCs w:val="24"/>
        </w:rPr>
        <w:t>B</w:t>
      </w:r>
      <w:r w:rsidRPr="00292903">
        <w:rPr>
          <w:rFonts w:ascii="Arial" w:hAnsi="Arial" w:cs="Arial"/>
          <w:sz w:val="24"/>
          <w:szCs w:val="24"/>
        </w:rPr>
        <w:t>ireme</w:t>
      </w:r>
      <w:proofErr w:type="spellEnd"/>
      <w:r w:rsidRPr="00292903">
        <w:rPr>
          <w:rFonts w:ascii="Arial" w:hAnsi="Arial" w:cs="Arial"/>
          <w:sz w:val="24"/>
          <w:szCs w:val="24"/>
        </w:rPr>
        <w:t xml:space="preserve"> e sites governamentais.</w:t>
      </w:r>
    </w:p>
    <w:p w:rsidR="00CA7CA0" w:rsidRPr="00292903"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8"/>
          <w:szCs w:val="28"/>
        </w:rPr>
      </w:pPr>
      <w:r>
        <w:rPr>
          <w:rFonts w:ascii="Arial" w:hAnsi="Arial" w:cs="Arial"/>
          <w:sz w:val="28"/>
          <w:szCs w:val="28"/>
        </w:rPr>
        <w:lastRenderedPageBreak/>
        <w:t>5</w:t>
      </w:r>
      <w:r w:rsidRPr="007038CE">
        <w:rPr>
          <w:rFonts w:ascii="Arial" w:hAnsi="Arial" w:cs="Arial"/>
          <w:sz w:val="28"/>
          <w:szCs w:val="28"/>
        </w:rPr>
        <w:t>- CONCLUSÃO</w:t>
      </w:r>
    </w:p>
    <w:p w:rsidR="00CA7CA0" w:rsidRDefault="00CA7CA0" w:rsidP="00CA7CA0">
      <w:pPr>
        <w:pStyle w:val="PargrafodaLista"/>
        <w:spacing w:line="360" w:lineRule="auto"/>
        <w:ind w:left="0"/>
        <w:jc w:val="both"/>
        <w:rPr>
          <w:rFonts w:ascii="Arial" w:hAnsi="Arial" w:cs="Arial"/>
          <w:sz w:val="28"/>
          <w:szCs w:val="28"/>
        </w:rPr>
      </w:pPr>
    </w:p>
    <w:p w:rsidR="00CA7CA0" w:rsidRPr="00062069"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      </w:t>
      </w:r>
      <w:r w:rsidRPr="00062069">
        <w:rPr>
          <w:rFonts w:ascii="Arial" w:hAnsi="Arial" w:cs="Arial"/>
          <w:sz w:val="24"/>
          <w:szCs w:val="24"/>
        </w:rPr>
        <w:t>Con</w:t>
      </w:r>
      <w:r>
        <w:rPr>
          <w:rFonts w:ascii="Arial" w:hAnsi="Arial" w:cs="Arial"/>
          <w:sz w:val="24"/>
          <w:szCs w:val="24"/>
        </w:rPr>
        <w:t>cluiu-se que hoje temos apenas o mecanismo de Lei o qual, obriga as indústrias alimentícias, a indicarem se há ou não a presença de glúten em seus alimentos, porém ainda existe a grande dificuldade para celíacos encontrarem variedades de alimentos disponíveis, e com valores semelhantes empregados aos outros alimentos consumidos pela população em geral.</w:t>
      </w:r>
    </w:p>
    <w:p w:rsidR="00CA7CA0" w:rsidRPr="007038CE" w:rsidRDefault="00CA7CA0" w:rsidP="00CA7CA0">
      <w:pPr>
        <w:pStyle w:val="PargrafodaLista"/>
        <w:spacing w:line="360" w:lineRule="auto"/>
        <w:jc w:val="both"/>
        <w:rPr>
          <w:rFonts w:ascii="Arial" w:hAnsi="Arial" w:cs="Arial"/>
          <w:sz w:val="24"/>
          <w:szCs w:val="24"/>
        </w:rPr>
      </w:pPr>
    </w:p>
    <w:p w:rsidR="00CA7CA0" w:rsidRPr="00153236" w:rsidRDefault="00CA7CA0" w:rsidP="00CA7CA0">
      <w:pPr>
        <w:pStyle w:val="PargrafodaLista"/>
        <w:spacing w:line="360" w:lineRule="auto"/>
        <w:jc w:val="both"/>
        <w:rPr>
          <w:rFonts w:ascii="Arial" w:hAnsi="Arial" w:cs="Arial"/>
          <w:sz w:val="20"/>
          <w:szCs w:val="20"/>
        </w:rPr>
      </w:pPr>
    </w:p>
    <w:p w:rsidR="00CA7CA0" w:rsidRPr="00153236" w:rsidRDefault="00CA7CA0" w:rsidP="00CA7CA0">
      <w:pPr>
        <w:pStyle w:val="PargrafodaLista"/>
        <w:spacing w:line="360" w:lineRule="auto"/>
        <w:jc w:val="both"/>
        <w:rPr>
          <w:rFonts w:ascii="Arial" w:hAnsi="Arial" w:cs="Arial"/>
          <w:sz w:val="20"/>
          <w:szCs w:val="20"/>
        </w:rPr>
      </w:pPr>
    </w:p>
    <w:p w:rsidR="00CA7CA0" w:rsidRPr="00153236" w:rsidRDefault="00CA7CA0" w:rsidP="00CA7CA0">
      <w:pPr>
        <w:pStyle w:val="PargrafodaLista"/>
        <w:spacing w:line="360" w:lineRule="auto"/>
        <w:jc w:val="both"/>
        <w:rPr>
          <w:rFonts w:ascii="Arial" w:hAnsi="Arial" w:cs="Arial"/>
          <w:sz w:val="20"/>
          <w:szCs w:val="20"/>
        </w:rPr>
      </w:pPr>
    </w:p>
    <w:p w:rsidR="00CA7CA0" w:rsidRPr="00153236" w:rsidRDefault="00CA7CA0" w:rsidP="00CA7CA0">
      <w:pPr>
        <w:pStyle w:val="PargrafodaLista"/>
        <w:spacing w:line="360" w:lineRule="auto"/>
        <w:jc w:val="both"/>
        <w:rPr>
          <w:rFonts w:ascii="Arial" w:hAnsi="Arial" w:cs="Arial"/>
          <w:sz w:val="20"/>
          <w:szCs w:val="20"/>
        </w:rPr>
      </w:pPr>
    </w:p>
    <w:p w:rsidR="00CA7CA0" w:rsidRPr="00153236" w:rsidRDefault="00CA7CA0" w:rsidP="00CA7CA0">
      <w:pPr>
        <w:pStyle w:val="PargrafodaLista"/>
        <w:spacing w:line="360" w:lineRule="auto"/>
        <w:jc w:val="both"/>
        <w:rPr>
          <w:rFonts w:ascii="Arial" w:hAnsi="Arial" w:cs="Arial"/>
          <w:sz w:val="20"/>
          <w:szCs w:val="20"/>
        </w:rPr>
      </w:pPr>
    </w:p>
    <w:p w:rsidR="00CA7CA0" w:rsidRPr="00153236" w:rsidRDefault="00CA7CA0" w:rsidP="00CA7CA0">
      <w:pPr>
        <w:pStyle w:val="PargrafodaLista"/>
        <w:spacing w:line="360" w:lineRule="auto"/>
        <w:jc w:val="both"/>
        <w:rPr>
          <w:rFonts w:ascii="Arial" w:hAnsi="Arial" w:cs="Arial"/>
          <w:sz w:val="20"/>
          <w:szCs w:val="20"/>
        </w:rPr>
      </w:pPr>
    </w:p>
    <w:p w:rsidR="00CA7CA0" w:rsidRPr="00153236" w:rsidRDefault="00CA7CA0" w:rsidP="00CA7CA0">
      <w:pPr>
        <w:pStyle w:val="PargrafodaLista"/>
        <w:spacing w:line="360" w:lineRule="auto"/>
        <w:jc w:val="both"/>
        <w:rPr>
          <w:rFonts w:ascii="Arial" w:hAnsi="Arial" w:cs="Arial"/>
          <w:sz w:val="20"/>
          <w:szCs w:val="20"/>
        </w:rPr>
      </w:pPr>
    </w:p>
    <w:p w:rsidR="00CA7CA0" w:rsidRPr="00153236" w:rsidRDefault="00CA7CA0" w:rsidP="00CA7CA0">
      <w:pPr>
        <w:pStyle w:val="PargrafodaLista"/>
        <w:spacing w:line="360" w:lineRule="auto"/>
        <w:jc w:val="both"/>
        <w:rPr>
          <w:rFonts w:ascii="Arial" w:hAnsi="Arial" w:cs="Arial"/>
          <w:sz w:val="20"/>
          <w:szCs w:val="20"/>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jc w:val="both"/>
        <w:rPr>
          <w:rFonts w:ascii="Arial" w:hAnsi="Arial" w:cs="Arial"/>
          <w:sz w:val="24"/>
          <w:szCs w:val="24"/>
        </w:rPr>
      </w:pPr>
    </w:p>
    <w:p w:rsidR="00CA7CA0" w:rsidRDefault="00CA7CA0" w:rsidP="00CA7CA0">
      <w:pPr>
        <w:pStyle w:val="PargrafodaLista"/>
        <w:spacing w:line="360" w:lineRule="auto"/>
        <w:ind w:left="0"/>
        <w:rPr>
          <w:rFonts w:ascii="Arial" w:hAnsi="Arial" w:cs="Arial"/>
          <w:sz w:val="28"/>
          <w:szCs w:val="28"/>
        </w:rPr>
      </w:pPr>
      <w:r>
        <w:rPr>
          <w:rFonts w:ascii="Arial" w:hAnsi="Arial" w:cs="Arial"/>
          <w:sz w:val="28"/>
          <w:szCs w:val="28"/>
        </w:rPr>
        <w:lastRenderedPageBreak/>
        <w:t>6</w:t>
      </w:r>
      <w:r w:rsidRPr="002A496D">
        <w:rPr>
          <w:rFonts w:ascii="Arial" w:hAnsi="Arial" w:cs="Arial"/>
          <w:sz w:val="28"/>
          <w:szCs w:val="28"/>
        </w:rPr>
        <w:t xml:space="preserve">- REFERÊNCIAS </w:t>
      </w:r>
    </w:p>
    <w:p w:rsidR="00CA7CA0" w:rsidRDefault="00CA7CA0" w:rsidP="00CA7CA0">
      <w:pPr>
        <w:pStyle w:val="PargrafodaLista"/>
        <w:spacing w:line="360" w:lineRule="auto"/>
        <w:ind w:left="0"/>
        <w:rPr>
          <w:rFonts w:ascii="Arial" w:hAnsi="Arial" w:cs="Arial"/>
          <w:sz w:val="28"/>
          <w:szCs w:val="28"/>
        </w:rPr>
      </w:pP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ARAÚ</w:t>
      </w:r>
      <w:r w:rsidRPr="00805B07">
        <w:rPr>
          <w:rFonts w:ascii="Arial" w:hAnsi="Arial" w:cs="Arial"/>
          <w:sz w:val="24"/>
          <w:szCs w:val="24"/>
        </w:rPr>
        <w:t>JO</w:t>
      </w:r>
      <w:r>
        <w:rPr>
          <w:rFonts w:ascii="Arial" w:hAnsi="Arial" w:cs="Arial"/>
          <w:sz w:val="24"/>
          <w:szCs w:val="24"/>
        </w:rPr>
        <w:t xml:space="preserve">, H.M.C. </w:t>
      </w:r>
      <w:proofErr w:type="gramStart"/>
      <w:r>
        <w:rPr>
          <w:rFonts w:ascii="Arial" w:hAnsi="Arial" w:cs="Arial"/>
          <w:sz w:val="24"/>
          <w:szCs w:val="24"/>
        </w:rPr>
        <w:t>et</w:t>
      </w:r>
      <w:proofErr w:type="gramEnd"/>
      <w:r>
        <w:rPr>
          <w:rFonts w:ascii="Arial" w:hAnsi="Arial" w:cs="Arial"/>
          <w:sz w:val="24"/>
          <w:szCs w:val="24"/>
        </w:rPr>
        <w:t xml:space="preserve"> al, Doença celíaca, hábitos e praticas alimentares e qualidade de vida. Rev. Nutr., Campinas, SP, v. 23, n. 3, p. 467-474, mai./jun., 2010.</w:t>
      </w: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BAHIA, M. et al, Discordância de apresentação da doença celíaca em gêmeos monozigóticos. Rev. Arq. </w:t>
      </w:r>
      <w:proofErr w:type="spellStart"/>
      <w:r>
        <w:rPr>
          <w:rFonts w:ascii="Arial" w:hAnsi="Arial" w:cs="Arial"/>
          <w:sz w:val="24"/>
          <w:szCs w:val="24"/>
        </w:rPr>
        <w:t>Gastroenterol</w:t>
      </w:r>
      <w:proofErr w:type="spellEnd"/>
      <w:r>
        <w:rPr>
          <w:rFonts w:ascii="Arial" w:hAnsi="Arial" w:cs="Arial"/>
          <w:sz w:val="24"/>
          <w:szCs w:val="24"/>
        </w:rPr>
        <w:t>, Belo Horizonte, MG, v. 47, n. 1, p. 56-60, jan./mar., 2010.</w:t>
      </w: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BRANDT, K. G., DA SILVA, G. A. P. </w:t>
      </w:r>
      <w:proofErr w:type="spellStart"/>
      <w:r>
        <w:rPr>
          <w:rFonts w:ascii="Arial" w:hAnsi="Arial" w:cs="Arial"/>
          <w:sz w:val="24"/>
          <w:szCs w:val="24"/>
        </w:rPr>
        <w:t>Soroprevalência</w:t>
      </w:r>
      <w:proofErr w:type="spellEnd"/>
      <w:r>
        <w:rPr>
          <w:rFonts w:ascii="Arial" w:hAnsi="Arial" w:cs="Arial"/>
          <w:sz w:val="24"/>
          <w:szCs w:val="24"/>
        </w:rPr>
        <w:t xml:space="preserve"> da doença celíaca em ambulatório pediátrico, no nordeste do Brasil. Rev. Arq. </w:t>
      </w:r>
      <w:proofErr w:type="spellStart"/>
      <w:r>
        <w:rPr>
          <w:rFonts w:ascii="Arial" w:hAnsi="Arial" w:cs="Arial"/>
          <w:sz w:val="24"/>
          <w:szCs w:val="24"/>
        </w:rPr>
        <w:t>Gastroenterol</w:t>
      </w:r>
      <w:proofErr w:type="spellEnd"/>
      <w:r>
        <w:rPr>
          <w:rFonts w:ascii="Arial" w:hAnsi="Arial" w:cs="Arial"/>
          <w:sz w:val="24"/>
          <w:szCs w:val="24"/>
        </w:rPr>
        <w:t>, Recife, PE, v. 45, n. 3, p. 239-242, jul./set., 2008.</w:t>
      </w: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CARDOSO, H. et al, Doença celíaca manifestada no puerpério. J. Port. </w:t>
      </w:r>
      <w:proofErr w:type="spellStart"/>
      <w:r>
        <w:rPr>
          <w:rFonts w:ascii="Arial" w:hAnsi="Arial" w:cs="Arial"/>
          <w:sz w:val="24"/>
          <w:szCs w:val="24"/>
        </w:rPr>
        <w:t>Gastrenterol</w:t>
      </w:r>
      <w:proofErr w:type="spellEnd"/>
      <w:r>
        <w:rPr>
          <w:rFonts w:ascii="Arial" w:hAnsi="Arial" w:cs="Arial"/>
          <w:sz w:val="24"/>
          <w:szCs w:val="24"/>
        </w:rPr>
        <w:t>, Lisboa, PT, v. 13, n. 1, p. 47-50, nov./dez., 2006.</w:t>
      </w: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CARVALHO, C. N. M. et al, </w:t>
      </w:r>
      <w:r w:rsidRPr="000B0B3D">
        <w:rPr>
          <w:rFonts w:ascii="Arial" w:hAnsi="Arial" w:cs="Arial"/>
          <w:b/>
          <w:sz w:val="24"/>
          <w:szCs w:val="24"/>
        </w:rPr>
        <w:t>Doença celíaca em tratamento</w:t>
      </w:r>
      <w:r w:rsidRPr="003B7168">
        <w:rPr>
          <w:rFonts w:ascii="Arial" w:hAnsi="Arial" w:cs="Arial"/>
          <w:b/>
          <w:sz w:val="24"/>
          <w:szCs w:val="24"/>
        </w:rPr>
        <w:t>:</w:t>
      </w:r>
      <w:r>
        <w:rPr>
          <w:rFonts w:ascii="Arial" w:hAnsi="Arial" w:cs="Arial"/>
          <w:sz w:val="24"/>
          <w:szCs w:val="24"/>
        </w:rPr>
        <w:t xml:space="preserve"> avaliação da densidade mineral óssea. J. </w:t>
      </w:r>
      <w:proofErr w:type="spellStart"/>
      <w:r>
        <w:rPr>
          <w:rFonts w:ascii="Arial" w:hAnsi="Arial" w:cs="Arial"/>
          <w:sz w:val="24"/>
          <w:szCs w:val="24"/>
        </w:rPr>
        <w:t>Pediatr</w:t>
      </w:r>
      <w:proofErr w:type="spellEnd"/>
      <w:proofErr w:type="gramStart"/>
      <w:r>
        <w:rPr>
          <w:rFonts w:ascii="Arial" w:hAnsi="Arial" w:cs="Arial"/>
          <w:sz w:val="24"/>
          <w:szCs w:val="24"/>
        </w:rPr>
        <w:t>.,</w:t>
      </w:r>
      <w:proofErr w:type="gramEnd"/>
      <w:r>
        <w:rPr>
          <w:rFonts w:ascii="Arial" w:hAnsi="Arial" w:cs="Arial"/>
          <w:sz w:val="24"/>
          <w:szCs w:val="24"/>
        </w:rPr>
        <w:t xml:space="preserve"> Rio de Janeiro, RJ, v. 79, n. 4, P. 303-308 jul./ago., 2003.</w:t>
      </w: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r w:rsidRPr="000B0B3D">
        <w:rPr>
          <w:rFonts w:ascii="Arial" w:hAnsi="Arial" w:cs="Arial"/>
          <w:sz w:val="24"/>
          <w:szCs w:val="24"/>
        </w:rPr>
        <w:t xml:space="preserve">MONT-SERRAT, C. </w:t>
      </w:r>
      <w:proofErr w:type="gramStart"/>
      <w:r w:rsidRPr="000B0B3D">
        <w:rPr>
          <w:rFonts w:ascii="Arial" w:hAnsi="Arial" w:cs="Arial"/>
          <w:sz w:val="24"/>
          <w:szCs w:val="24"/>
        </w:rPr>
        <w:t>et</w:t>
      </w:r>
      <w:proofErr w:type="gramEnd"/>
      <w:r w:rsidRPr="000B0B3D">
        <w:rPr>
          <w:rFonts w:ascii="Arial" w:hAnsi="Arial" w:cs="Arial"/>
          <w:sz w:val="24"/>
          <w:szCs w:val="24"/>
        </w:rPr>
        <w:t xml:space="preserve"> al, </w:t>
      </w:r>
      <w:r w:rsidRPr="000B0B3D">
        <w:rPr>
          <w:rFonts w:ascii="Arial" w:hAnsi="Arial" w:cs="Arial"/>
          <w:b/>
          <w:sz w:val="24"/>
          <w:szCs w:val="24"/>
        </w:rPr>
        <w:t>Diabetes e doenças autoimunes</w:t>
      </w:r>
      <w:r w:rsidRPr="003B7168">
        <w:rPr>
          <w:rFonts w:ascii="Arial" w:hAnsi="Arial" w:cs="Arial"/>
          <w:b/>
          <w:sz w:val="24"/>
          <w:szCs w:val="24"/>
        </w:rPr>
        <w:t>:</w:t>
      </w:r>
      <w:r>
        <w:rPr>
          <w:rFonts w:ascii="Arial" w:hAnsi="Arial" w:cs="Arial"/>
          <w:sz w:val="24"/>
          <w:szCs w:val="24"/>
        </w:rPr>
        <w:t xml:space="preserve"> prevalência de doença celíaca em crianças e adolescentes portadores de diabetes </w:t>
      </w:r>
      <w:proofErr w:type="spellStart"/>
      <w:r>
        <w:rPr>
          <w:rFonts w:ascii="Arial" w:hAnsi="Arial" w:cs="Arial"/>
          <w:sz w:val="24"/>
          <w:szCs w:val="24"/>
        </w:rPr>
        <w:t>melito</w:t>
      </w:r>
      <w:proofErr w:type="spellEnd"/>
      <w:r>
        <w:rPr>
          <w:rFonts w:ascii="Arial" w:hAnsi="Arial" w:cs="Arial"/>
          <w:sz w:val="24"/>
          <w:szCs w:val="24"/>
        </w:rPr>
        <w:t xml:space="preserve"> tipo 1. Arq. Bras. </w:t>
      </w:r>
      <w:proofErr w:type="spellStart"/>
      <w:r>
        <w:rPr>
          <w:rFonts w:ascii="Arial" w:hAnsi="Arial" w:cs="Arial"/>
          <w:sz w:val="24"/>
          <w:szCs w:val="24"/>
        </w:rPr>
        <w:t>Endocrinol</w:t>
      </w:r>
      <w:proofErr w:type="spellEnd"/>
      <w:r>
        <w:rPr>
          <w:rFonts w:ascii="Arial" w:hAnsi="Arial" w:cs="Arial"/>
          <w:sz w:val="24"/>
          <w:szCs w:val="24"/>
        </w:rPr>
        <w:t xml:space="preserve">. </w:t>
      </w:r>
      <w:proofErr w:type="spellStart"/>
      <w:r>
        <w:rPr>
          <w:rFonts w:ascii="Arial" w:hAnsi="Arial" w:cs="Arial"/>
          <w:sz w:val="24"/>
          <w:szCs w:val="24"/>
        </w:rPr>
        <w:t>Metab</w:t>
      </w:r>
      <w:proofErr w:type="spellEnd"/>
      <w:proofErr w:type="gramStart"/>
      <w:r>
        <w:rPr>
          <w:rFonts w:ascii="Arial" w:hAnsi="Arial" w:cs="Arial"/>
          <w:sz w:val="24"/>
          <w:szCs w:val="24"/>
        </w:rPr>
        <w:t>.,</w:t>
      </w:r>
      <w:proofErr w:type="gramEnd"/>
      <w:r>
        <w:rPr>
          <w:rFonts w:ascii="Arial" w:hAnsi="Arial" w:cs="Arial"/>
          <w:sz w:val="24"/>
          <w:szCs w:val="24"/>
        </w:rPr>
        <w:t xml:space="preserve"> Rio de Janeiro, RJ, v. 52, n. 9, P. 1461-1465 dez., 2008.</w:t>
      </w: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r w:rsidRPr="000B0B3D">
        <w:rPr>
          <w:rFonts w:ascii="Arial" w:hAnsi="Arial" w:cs="Arial"/>
          <w:sz w:val="24"/>
          <w:szCs w:val="24"/>
        </w:rPr>
        <w:t>NO</w:t>
      </w:r>
      <w:r>
        <w:rPr>
          <w:rFonts w:ascii="Arial" w:hAnsi="Arial" w:cs="Arial"/>
          <w:sz w:val="24"/>
          <w:szCs w:val="24"/>
        </w:rPr>
        <w:t xml:space="preserve">BRE, S. R.; SILVA, T., CABRAL, J.E.P. Doença celíaca revisitada. J. Port. </w:t>
      </w:r>
      <w:proofErr w:type="spellStart"/>
      <w:r>
        <w:rPr>
          <w:rFonts w:ascii="Arial" w:hAnsi="Arial" w:cs="Arial"/>
          <w:sz w:val="24"/>
          <w:szCs w:val="24"/>
        </w:rPr>
        <w:t>Gastrenterol</w:t>
      </w:r>
      <w:proofErr w:type="spellEnd"/>
      <w:r>
        <w:rPr>
          <w:rFonts w:ascii="Arial" w:hAnsi="Arial" w:cs="Arial"/>
          <w:sz w:val="24"/>
          <w:szCs w:val="24"/>
        </w:rPr>
        <w:t>, Lisboa, PT, v. 14, n. 4, p. 184-193, set., 2007.</w:t>
      </w: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PRATESI, R., GANDOLFI, L. </w:t>
      </w:r>
      <w:r w:rsidRPr="003B7168">
        <w:rPr>
          <w:rFonts w:ascii="Arial" w:hAnsi="Arial" w:cs="Arial"/>
          <w:b/>
          <w:sz w:val="24"/>
          <w:szCs w:val="24"/>
        </w:rPr>
        <w:t>Doença celíaca:</w:t>
      </w:r>
      <w:r>
        <w:rPr>
          <w:rFonts w:ascii="Arial" w:hAnsi="Arial" w:cs="Arial"/>
          <w:b/>
          <w:sz w:val="24"/>
          <w:szCs w:val="24"/>
        </w:rPr>
        <w:t xml:space="preserve"> </w:t>
      </w:r>
      <w:r w:rsidRPr="003B7168">
        <w:rPr>
          <w:rFonts w:ascii="Arial" w:hAnsi="Arial" w:cs="Arial"/>
          <w:sz w:val="24"/>
          <w:szCs w:val="24"/>
        </w:rPr>
        <w:t xml:space="preserve">a afecção </w:t>
      </w:r>
      <w:r>
        <w:rPr>
          <w:rFonts w:ascii="Arial" w:hAnsi="Arial" w:cs="Arial"/>
          <w:sz w:val="24"/>
          <w:szCs w:val="24"/>
        </w:rPr>
        <w:t xml:space="preserve">com múltiplas faces. J. </w:t>
      </w:r>
      <w:proofErr w:type="spellStart"/>
      <w:r>
        <w:rPr>
          <w:rFonts w:ascii="Arial" w:hAnsi="Arial" w:cs="Arial"/>
          <w:sz w:val="24"/>
          <w:szCs w:val="24"/>
        </w:rPr>
        <w:t>Pediatr</w:t>
      </w:r>
      <w:proofErr w:type="spellEnd"/>
      <w:proofErr w:type="gramStart"/>
      <w:r>
        <w:rPr>
          <w:rFonts w:ascii="Arial" w:hAnsi="Arial" w:cs="Arial"/>
          <w:sz w:val="24"/>
          <w:szCs w:val="24"/>
        </w:rPr>
        <w:t>.,</w:t>
      </w:r>
      <w:proofErr w:type="gramEnd"/>
      <w:r>
        <w:rPr>
          <w:rFonts w:ascii="Arial" w:hAnsi="Arial" w:cs="Arial"/>
          <w:sz w:val="24"/>
          <w:szCs w:val="24"/>
        </w:rPr>
        <w:t xml:space="preserve">  Rio de Janeiro, RJ, v. 81, n. 5, p. 357-358, set./out., 2005.</w:t>
      </w: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r w:rsidRPr="003B7168">
        <w:rPr>
          <w:rFonts w:ascii="Arial" w:hAnsi="Arial" w:cs="Arial"/>
          <w:sz w:val="24"/>
          <w:szCs w:val="24"/>
        </w:rPr>
        <w:lastRenderedPageBreak/>
        <w:t>RAUEN, M. S.; BACK, J. C. de V</w:t>
      </w:r>
      <w:r>
        <w:rPr>
          <w:rFonts w:ascii="Arial" w:hAnsi="Arial" w:cs="Arial"/>
          <w:sz w:val="24"/>
          <w:szCs w:val="24"/>
        </w:rPr>
        <w:t>; MOREIRA, E. A. M</w:t>
      </w:r>
      <w:r w:rsidRPr="003B7168">
        <w:rPr>
          <w:rFonts w:ascii="Arial" w:hAnsi="Arial" w:cs="Arial"/>
          <w:sz w:val="24"/>
          <w:szCs w:val="24"/>
        </w:rPr>
        <w:t xml:space="preserve">. </w:t>
      </w:r>
      <w:r w:rsidRPr="003B7168">
        <w:rPr>
          <w:rFonts w:ascii="Arial" w:hAnsi="Arial" w:cs="Arial"/>
          <w:b/>
          <w:sz w:val="24"/>
          <w:szCs w:val="24"/>
        </w:rPr>
        <w:t>Doença celíaca:</w:t>
      </w:r>
      <w:r>
        <w:rPr>
          <w:rFonts w:ascii="Arial" w:hAnsi="Arial" w:cs="Arial"/>
          <w:b/>
          <w:sz w:val="24"/>
          <w:szCs w:val="24"/>
        </w:rPr>
        <w:t xml:space="preserve"> </w:t>
      </w:r>
      <w:r w:rsidRPr="003B7168">
        <w:rPr>
          <w:rFonts w:ascii="Arial" w:hAnsi="Arial" w:cs="Arial"/>
          <w:sz w:val="24"/>
          <w:szCs w:val="24"/>
        </w:rPr>
        <w:t>s</w:t>
      </w:r>
      <w:r>
        <w:rPr>
          <w:rFonts w:ascii="Arial" w:hAnsi="Arial" w:cs="Arial"/>
          <w:sz w:val="24"/>
          <w:szCs w:val="24"/>
        </w:rPr>
        <w:t>ua relação com a saúde bucal.</w:t>
      </w:r>
      <w:r w:rsidRPr="003B7168">
        <w:rPr>
          <w:rFonts w:ascii="Arial" w:hAnsi="Arial" w:cs="Arial"/>
          <w:sz w:val="24"/>
          <w:szCs w:val="24"/>
        </w:rPr>
        <w:t xml:space="preserve">  </w:t>
      </w:r>
      <w:r>
        <w:rPr>
          <w:rFonts w:ascii="Arial" w:hAnsi="Arial" w:cs="Arial"/>
          <w:sz w:val="24"/>
          <w:szCs w:val="24"/>
        </w:rPr>
        <w:t>Rev. Nutr., Campinas, SP, v. 18, n. 2, p. 271-276, mar./abr., 2005.</w:t>
      </w: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DA SILVA, G. A. P. </w:t>
      </w:r>
      <w:r w:rsidRPr="003B7168">
        <w:rPr>
          <w:rFonts w:ascii="Arial" w:hAnsi="Arial" w:cs="Arial"/>
          <w:b/>
          <w:sz w:val="24"/>
          <w:szCs w:val="24"/>
        </w:rPr>
        <w:t>Doença celíaca:</w:t>
      </w:r>
      <w:r w:rsidRPr="003B7168">
        <w:rPr>
          <w:rFonts w:ascii="Arial" w:hAnsi="Arial" w:cs="Arial"/>
          <w:sz w:val="24"/>
          <w:szCs w:val="24"/>
        </w:rPr>
        <w:t xml:space="preserve"> </w:t>
      </w:r>
      <w:r>
        <w:rPr>
          <w:rFonts w:ascii="Arial" w:hAnsi="Arial" w:cs="Arial"/>
          <w:sz w:val="24"/>
          <w:szCs w:val="24"/>
        </w:rPr>
        <w:t xml:space="preserve">repercussões na mineralização óssea. J. </w:t>
      </w:r>
      <w:proofErr w:type="spellStart"/>
      <w:r>
        <w:rPr>
          <w:rFonts w:ascii="Arial" w:hAnsi="Arial" w:cs="Arial"/>
          <w:sz w:val="24"/>
          <w:szCs w:val="24"/>
        </w:rPr>
        <w:t>Pediatr</w:t>
      </w:r>
      <w:proofErr w:type="spellEnd"/>
      <w:proofErr w:type="gramStart"/>
      <w:r>
        <w:rPr>
          <w:rFonts w:ascii="Arial" w:hAnsi="Arial" w:cs="Arial"/>
          <w:sz w:val="24"/>
          <w:szCs w:val="24"/>
        </w:rPr>
        <w:t>.,</w:t>
      </w:r>
      <w:proofErr w:type="gramEnd"/>
      <w:r>
        <w:rPr>
          <w:rFonts w:ascii="Arial" w:hAnsi="Arial" w:cs="Arial"/>
          <w:sz w:val="24"/>
          <w:szCs w:val="24"/>
        </w:rPr>
        <w:t xml:space="preserve"> Rio de Janeiro, RJ, v. 79, n. 4, p. 282-283, jul./ago., 2005.</w:t>
      </w: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 xml:space="preserve">UTIYAMA, S. R. da R.; REASON, I. J. T. de M.; KOTZE, L. M. da S. </w:t>
      </w:r>
      <w:r w:rsidRPr="003B7168">
        <w:rPr>
          <w:rFonts w:ascii="Arial" w:hAnsi="Arial" w:cs="Arial"/>
          <w:b/>
          <w:sz w:val="24"/>
          <w:szCs w:val="24"/>
        </w:rPr>
        <w:t xml:space="preserve">Aspectos genéticos e </w:t>
      </w:r>
      <w:proofErr w:type="spellStart"/>
      <w:r w:rsidRPr="003B7168">
        <w:rPr>
          <w:rFonts w:ascii="Arial" w:hAnsi="Arial" w:cs="Arial"/>
          <w:b/>
          <w:sz w:val="24"/>
          <w:szCs w:val="24"/>
        </w:rPr>
        <w:t>imunopatogênicos</w:t>
      </w:r>
      <w:proofErr w:type="spellEnd"/>
      <w:r w:rsidRPr="003B7168">
        <w:rPr>
          <w:rFonts w:ascii="Arial" w:hAnsi="Arial" w:cs="Arial"/>
          <w:b/>
          <w:sz w:val="24"/>
          <w:szCs w:val="24"/>
        </w:rPr>
        <w:t xml:space="preserve"> da doença celíaca:</w:t>
      </w:r>
      <w:r w:rsidRPr="003B7168">
        <w:rPr>
          <w:rFonts w:ascii="Arial" w:hAnsi="Arial" w:cs="Arial"/>
          <w:sz w:val="24"/>
          <w:szCs w:val="24"/>
        </w:rPr>
        <w:t xml:space="preserve"> </w:t>
      </w:r>
      <w:r>
        <w:rPr>
          <w:rFonts w:ascii="Arial" w:hAnsi="Arial" w:cs="Arial"/>
          <w:sz w:val="24"/>
          <w:szCs w:val="24"/>
        </w:rPr>
        <w:t xml:space="preserve">visão atual. Arq. </w:t>
      </w:r>
      <w:proofErr w:type="spellStart"/>
      <w:r>
        <w:rPr>
          <w:rFonts w:ascii="Arial" w:hAnsi="Arial" w:cs="Arial"/>
          <w:sz w:val="24"/>
          <w:szCs w:val="24"/>
        </w:rPr>
        <w:t>Gastroenterol</w:t>
      </w:r>
      <w:proofErr w:type="spellEnd"/>
      <w:r>
        <w:rPr>
          <w:rFonts w:ascii="Arial" w:hAnsi="Arial" w:cs="Arial"/>
          <w:sz w:val="24"/>
          <w:szCs w:val="24"/>
        </w:rPr>
        <w:t>, São Paulo, SP, v. 41, n. 2, p. 121-128, abr./jun., 2004.</w:t>
      </w: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r>
        <w:rPr>
          <w:rFonts w:ascii="Arial" w:hAnsi="Arial" w:cs="Arial"/>
          <w:sz w:val="24"/>
          <w:szCs w:val="24"/>
        </w:rPr>
        <w:t>MINISTÉRIO DA SAÚDE, Lei n.º 8.543 (Brasil, 1992) e</w:t>
      </w:r>
      <w:r w:rsidRPr="00742A48">
        <w:rPr>
          <w:rFonts w:ascii="Arial" w:hAnsi="Arial" w:cs="Arial"/>
          <w:sz w:val="24"/>
          <w:szCs w:val="24"/>
        </w:rPr>
        <w:t xml:space="preserve"> </w:t>
      </w:r>
      <w:r>
        <w:rPr>
          <w:rFonts w:ascii="Arial" w:hAnsi="Arial" w:cs="Arial"/>
          <w:sz w:val="24"/>
          <w:szCs w:val="24"/>
        </w:rPr>
        <w:t xml:space="preserve">Lei n.º 10.674 (Brasil, 2003). Garantia e Obrigação das indústrias alimentícias imprimir no rótulo das embalagens a informação que contém glúten e seus derivados. Disponível em </w:t>
      </w:r>
      <w:hyperlink r:id="rId10" w:history="1">
        <w:r w:rsidRPr="00742A48">
          <w:rPr>
            <w:rStyle w:val="Hyperlink"/>
            <w:rFonts w:ascii="Arial" w:hAnsi="Arial" w:cs="Arial"/>
            <w:sz w:val="24"/>
            <w:szCs w:val="24"/>
          </w:rPr>
          <w:t>www.saude.gov.br</w:t>
        </w:r>
      </w:hyperlink>
      <w:r w:rsidRPr="00742A48">
        <w:rPr>
          <w:rFonts w:ascii="Arial" w:hAnsi="Arial" w:cs="Arial"/>
          <w:sz w:val="24"/>
          <w:szCs w:val="24"/>
        </w:rPr>
        <w:t xml:space="preserve"> </w:t>
      </w:r>
      <w:r>
        <w:rPr>
          <w:rFonts w:ascii="Arial" w:hAnsi="Arial" w:cs="Arial"/>
          <w:sz w:val="24"/>
          <w:szCs w:val="24"/>
        </w:rPr>
        <w:t>em 23 de agosto de 2011.</w:t>
      </w:r>
    </w:p>
    <w:p w:rsidR="00CA7CA0" w:rsidRPr="008D549F" w:rsidRDefault="00CA7CA0" w:rsidP="00CA7CA0">
      <w:pPr>
        <w:pStyle w:val="PargrafodaLista"/>
        <w:spacing w:line="360" w:lineRule="auto"/>
        <w:ind w:left="0"/>
        <w:jc w:val="both"/>
        <w:rPr>
          <w:rFonts w:ascii="Arial" w:hAnsi="Arial" w:cs="Arial"/>
          <w:i/>
          <w:sz w:val="24"/>
          <w:szCs w:val="24"/>
        </w:rPr>
      </w:pPr>
    </w:p>
    <w:p w:rsidR="00CA7CA0" w:rsidRPr="003E1838" w:rsidRDefault="00CA7CA0" w:rsidP="00CA7CA0">
      <w:pPr>
        <w:pStyle w:val="PargrafodaLista"/>
        <w:spacing w:line="360" w:lineRule="auto"/>
        <w:ind w:left="0"/>
        <w:jc w:val="both"/>
        <w:rPr>
          <w:rFonts w:ascii="Arial" w:hAnsi="Arial" w:cs="Arial"/>
          <w:i/>
          <w:sz w:val="24"/>
          <w:szCs w:val="24"/>
        </w:rPr>
      </w:pPr>
      <w:r w:rsidRPr="003E1838">
        <w:rPr>
          <w:rFonts w:ascii="Arial" w:hAnsi="Arial" w:cs="Arial"/>
          <w:sz w:val="24"/>
          <w:szCs w:val="24"/>
        </w:rPr>
        <w:t>ASSOCIAÇÃO DOS CELÍACOS DO BRASIL, tabela 3: Grupos de alimentos permitidos e proibidos. Disponível em</w:t>
      </w:r>
      <w:r>
        <w:rPr>
          <w:rFonts w:ascii="Arial" w:hAnsi="Arial" w:cs="Arial"/>
          <w:sz w:val="24"/>
          <w:szCs w:val="24"/>
        </w:rPr>
        <w:t xml:space="preserve"> </w:t>
      </w:r>
      <w:hyperlink r:id="rId11" w:history="1">
        <w:r w:rsidRPr="00393406">
          <w:rPr>
            <w:rStyle w:val="Hyperlink"/>
            <w:rFonts w:ascii="Arial" w:hAnsi="Arial" w:cs="Arial"/>
            <w:sz w:val="24"/>
            <w:szCs w:val="24"/>
          </w:rPr>
          <w:t>www.acelbra.org.br</w:t>
        </w:r>
      </w:hyperlink>
      <w:r>
        <w:rPr>
          <w:rFonts w:ascii="Arial" w:hAnsi="Arial" w:cs="Arial"/>
          <w:sz w:val="24"/>
          <w:szCs w:val="24"/>
        </w:rPr>
        <w:t>, em 12 de setembro de 2011.</w:t>
      </w:r>
    </w:p>
    <w:p w:rsidR="00CA7CA0" w:rsidRPr="003E1838" w:rsidRDefault="00CA7CA0" w:rsidP="00CA7CA0">
      <w:pPr>
        <w:pStyle w:val="PargrafodaLista"/>
        <w:spacing w:line="360" w:lineRule="auto"/>
        <w:ind w:left="0"/>
        <w:jc w:val="both"/>
        <w:rPr>
          <w:rFonts w:ascii="Arial" w:hAnsi="Arial" w:cs="Arial"/>
          <w:sz w:val="24"/>
          <w:szCs w:val="24"/>
        </w:rPr>
      </w:pPr>
    </w:p>
    <w:p w:rsidR="00CA7CA0" w:rsidRPr="003E1838"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p>
    <w:p w:rsidR="00CA7CA0" w:rsidRDefault="00CA7CA0" w:rsidP="00CA7CA0">
      <w:pPr>
        <w:pStyle w:val="PargrafodaLista"/>
        <w:spacing w:line="360" w:lineRule="auto"/>
        <w:ind w:left="0"/>
        <w:jc w:val="both"/>
        <w:rPr>
          <w:rFonts w:ascii="Arial" w:hAnsi="Arial" w:cs="Arial"/>
          <w:sz w:val="24"/>
          <w:szCs w:val="24"/>
        </w:rPr>
      </w:pPr>
    </w:p>
    <w:p w:rsidR="00CA7CA0" w:rsidRPr="003B7168" w:rsidRDefault="00CA7CA0" w:rsidP="00CA7CA0">
      <w:pPr>
        <w:pStyle w:val="PargrafodaLista"/>
        <w:spacing w:line="360" w:lineRule="auto"/>
        <w:ind w:left="0"/>
        <w:jc w:val="both"/>
        <w:rPr>
          <w:rFonts w:ascii="Arial" w:hAnsi="Arial" w:cs="Arial"/>
          <w:b/>
          <w:sz w:val="24"/>
          <w:szCs w:val="24"/>
        </w:rPr>
      </w:pPr>
    </w:p>
    <w:p w:rsidR="00CA7CA0" w:rsidRPr="003B7168" w:rsidRDefault="00CA7CA0" w:rsidP="00CA7CA0">
      <w:pPr>
        <w:pStyle w:val="PargrafodaLista"/>
        <w:spacing w:line="360" w:lineRule="auto"/>
        <w:ind w:left="0"/>
        <w:jc w:val="both"/>
        <w:rPr>
          <w:rFonts w:ascii="Arial" w:hAnsi="Arial" w:cs="Arial"/>
          <w:sz w:val="24"/>
          <w:szCs w:val="24"/>
        </w:rPr>
      </w:pPr>
    </w:p>
    <w:p w:rsidR="00CA7CA0" w:rsidRPr="003B7168" w:rsidRDefault="00CA7CA0" w:rsidP="00CA7CA0">
      <w:pPr>
        <w:pStyle w:val="PargrafodaLista"/>
        <w:spacing w:line="360" w:lineRule="auto"/>
        <w:ind w:left="0"/>
        <w:jc w:val="both"/>
        <w:rPr>
          <w:rFonts w:ascii="Arial" w:hAnsi="Arial" w:cs="Arial"/>
          <w:sz w:val="24"/>
          <w:szCs w:val="24"/>
        </w:rPr>
      </w:pPr>
    </w:p>
    <w:p w:rsidR="00CA7CA0" w:rsidRPr="003B7168" w:rsidRDefault="00CA7CA0" w:rsidP="00CA7CA0">
      <w:pPr>
        <w:pStyle w:val="PargrafodaLista"/>
        <w:spacing w:line="360" w:lineRule="auto"/>
        <w:ind w:left="0"/>
        <w:jc w:val="both"/>
        <w:rPr>
          <w:rFonts w:ascii="Arial" w:hAnsi="Arial" w:cs="Arial"/>
          <w:sz w:val="28"/>
          <w:szCs w:val="28"/>
        </w:rPr>
      </w:pPr>
    </w:p>
    <w:p w:rsidR="00CA7CA0" w:rsidRPr="003B7168" w:rsidRDefault="00CA7CA0" w:rsidP="00CA7CA0">
      <w:pPr>
        <w:pStyle w:val="PargrafodaLista"/>
        <w:spacing w:line="360" w:lineRule="auto"/>
        <w:jc w:val="both"/>
        <w:rPr>
          <w:rFonts w:ascii="Arial" w:hAnsi="Arial" w:cs="Arial"/>
          <w:sz w:val="28"/>
          <w:szCs w:val="28"/>
        </w:rPr>
      </w:pPr>
    </w:p>
    <w:p w:rsidR="00CA7CA0" w:rsidRPr="003B7168" w:rsidRDefault="00CA7CA0" w:rsidP="00CA7CA0">
      <w:pPr>
        <w:pStyle w:val="PargrafodaLista"/>
        <w:spacing w:line="360" w:lineRule="auto"/>
        <w:jc w:val="both"/>
        <w:rPr>
          <w:rFonts w:ascii="Arial" w:hAnsi="Arial" w:cs="Arial"/>
          <w:sz w:val="24"/>
          <w:szCs w:val="24"/>
        </w:rPr>
      </w:pPr>
    </w:p>
    <w:p w:rsidR="00CA7CA0" w:rsidRDefault="00CA7CA0"/>
    <w:p w:rsidR="00CA7CA0" w:rsidRDefault="00CA7CA0"/>
    <w:sectPr w:rsidR="00CA7CA0" w:rsidSect="000A5226">
      <w:pgSz w:w="11906" w:h="16838"/>
      <w:pgMar w:top="1701" w:right="1134"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B5972"/>
    <w:multiLevelType w:val="hybridMultilevel"/>
    <w:tmpl w:val="08D4F644"/>
    <w:lvl w:ilvl="0" w:tplc="200AA7D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488548B4"/>
    <w:multiLevelType w:val="hybridMultilevel"/>
    <w:tmpl w:val="674C65A6"/>
    <w:lvl w:ilvl="0" w:tplc="FCE6B70C">
      <w:start w:val="1"/>
      <w:numFmt w:val="decimal"/>
      <w:lvlText w:val="%1-"/>
      <w:lvlJc w:val="left"/>
      <w:pPr>
        <w:ind w:left="644" w:hanging="360"/>
      </w:pPr>
      <w:rPr>
        <w:rFonts w:cs="Times New Roman" w:hint="default"/>
        <w:color w:val="00000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26"/>
    <w:rsid w:val="000439E7"/>
    <w:rsid w:val="000A5226"/>
    <w:rsid w:val="003F448F"/>
    <w:rsid w:val="00573776"/>
    <w:rsid w:val="00AB471A"/>
    <w:rsid w:val="00AC0715"/>
    <w:rsid w:val="00C127CB"/>
    <w:rsid w:val="00CA7C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2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0A5226"/>
    <w:pPr>
      <w:ind w:left="720"/>
      <w:contextualSpacing/>
    </w:pPr>
  </w:style>
  <w:style w:type="character" w:styleId="Hyperlink">
    <w:name w:val="Hyperlink"/>
    <w:basedOn w:val="Fontepargpadro"/>
    <w:uiPriority w:val="99"/>
    <w:unhideWhenUsed/>
    <w:rsid w:val="00CA7CA0"/>
    <w:rPr>
      <w:color w:val="0000FF" w:themeColor="hyperlink"/>
      <w:u w:val="single"/>
    </w:rPr>
  </w:style>
  <w:style w:type="paragraph" w:styleId="Textodebalo">
    <w:name w:val="Balloon Text"/>
    <w:basedOn w:val="Normal"/>
    <w:link w:val="TextodebaloChar"/>
    <w:uiPriority w:val="99"/>
    <w:semiHidden/>
    <w:unhideWhenUsed/>
    <w:rsid w:val="00CA7C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7CA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2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0A5226"/>
    <w:pPr>
      <w:ind w:left="720"/>
      <w:contextualSpacing/>
    </w:pPr>
  </w:style>
  <w:style w:type="character" w:styleId="Hyperlink">
    <w:name w:val="Hyperlink"/>
    <w:basedOn w:val="Fontepargpadro"/>
    <w:uiPriority w:val="99"/>
    <w:unhideWhenUsed/>
    <w:rsid w:val="00CA7CA0"/>
    <w:rPr>
      <w:color w:val="0000FF" w:themeColor="hyperlink"/>
      <w:u w:val="single"/>
    </w:rPr>
  </w:style>
  <w:style w:type="paragraph" w:styleId="Textodebalo">
    <w:name w:val="Balloon Text"/>
    <w:basedOn w:val="Normal"/>
    <w:link w:val="TextodebaloChar"/>
    <w:uiPriority w:val="99"/>
    <w:semiHidden/>
    <w:unhideWhenUsed/>
    <w:rsid w:val="00CA7C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7CA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www.acelbra.org.br" TargetMode="External"/><Relationship Id="rId5" Type="http://schemas.openxmlformats.org/officeDocument/2006/relationships/webSettings" Target="webSettings.xml"/><Relationship Id="rId10" Type="http://schemas.openxmlformats.org/officeDocument/2006/relationships/hyperlink" Target="http://www.saude.gov.br"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21</Pages>
  <Words>4178</Words>
  <Characters>22565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LÉO GOMES</dc:creator>
  <cp:lastModifiedBy>Leo Gomes</cp:lastModifiedBy>
  <cp:revision>7</cp:revision>
  <dcterms:created xsi:type="dcterms:W3CDTF">2011-11-27T13:32:00Z</dcterms:created>
  <dcterms:modified xsi:type="dcterms:W3CDTF">2013-10-22T01:54:00Z</dcterms:modified>
</cp:coreProperties>
</file>