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663" w:rsidRPr="00C06E53" w:rsidRDefault="000E6663" w:rsidP="000E6663">
      <w:pPr>
        <w:pStyle w:val="Ttulo2"/>
        <w:numPr>
          <w:ilvl w:val="1"/>
          <w:numId w:val="2"/>
        </w:numPr>
        <w:tabs>
          <w:tab w:val="left" w:pos="1134"/>
        </w:tabs>
        <w:ind w:left="0"/>
        <w:rPr>
          <w:rFonts w:ascii="Palatino Linotype" w:hAnsi="Palatino Linotype"/>
        </w:rPr>
      </w:pPr>
      <w:bookmarkStart w:id="0" w:name="_Toc324900403"/>
      <w:bookmarkStart w:id="1" w:name="_Toc324900880"/>
      <w:bookmarkStart w:id="2" w:name="_Toc324901003"/>
      <w:bookmarkStart w:id="3" w:name="_Toc362020668"/>
      <w:r w:rsidRPr="00C06E53">
        <w:rPr>
          <w:rFonts w:ascii="Palatino Linotype" w:hAnsi="Palatino Linotype"/>
        </w:rPr>
        <w:t>Da cédula de crédito rural</w:t>
      </w:r>
      <w:bookmarkEnd w:id="0"/>
      <w:bookmarkEnd w:id="1"/>
      <w:bookmarkEnd w:id="2"/>
      <w:bookmarkEnd w:id="3"/>
    </w:p>
    <w:p w:rsidR="000E6663" w:rsidRPr="00C06E53" w:rsidRDefault="000E6663" w:rsidP="000E6663">
      <w:pPr>
        <w:tabs>
          <w:tab w:val="left" w:pos="1134"/>
        </w:tabs>
        <w:rPr>
          <w:rFonts w:ascii="Palatino Linotype" w:hAnsi="Palatino Linotype"/>
        </w:rPr>
      </w:pPr>
      <w:r>
        <w:rPr>
          <w:rFonts w:ascii="Palatino Linotype" w:hAnsi="Palatino Linotype"/>
        </w:rPr>
        <w:tab/>
      </w:r>
      <w:r w:rsidRPr="00C06E53">
        <w:rPr>
          <w:rFonts w:ascii="Palatino Linotype" w:hAnsi="Palatino Linotype"/>
        </w:rPr>
        <w:t xml:space="preserve">A cédula de crédito rural é uma promessa de pagamento (ABRÃO, 2005, p. 273) e, conforme previsto no art. 2º do citado decreto, obriga o emitente da cédula, da promessa, a aplicar os valores recebidos para os fins ajustados, devendo comprovar essa aplicação no prazo e na forma exigidos pela instituição financiadora. Apesar do </w:t>
      </w:r>
      <w:proofErr w:type="gramStart"/>
      <w:r w:rsidRPr="00C06E53">
        <w:rPr>
          <w:rFonts w:ascii="Palatino Linotype" w:hAnsi="Palatino Linotype"/>
        </w:rPr>
        <w:t>termo "financiadora"</w:t>
      </w:r>
      <w:proofErr w:type="gramEnd"/>
      <w:r w:rsidRPr="00C06E53">
        <w:rPr>
          <w:rFonts w:ascii="Palatino Linotype" w:hAnsi="Palatino Linotype"/>
        </w:rPr>
        <w:t>, e não financeira, entende-se que, por o financiamento se dar por órgãos do sistema nacional de crédito rural</w:t>
      </w:r>
      <w:r w:rsidRPr="00C06E53">
        <w:rPr>
          <w:rStyle w:val="Refdenotaderodap"/>
          <w:rFonts w:ascii="Palatino Linotype" w:hAnsi="Palatino Linotype"/>
        </w:rPr>
        <w:footnoteReference w:id="1"/>
      </w:r>
      <w:r w:rsidRPr="00C06E53">
        <w:rPr>
          <w:rFonts w:ascii="Palatino Linotype" w:hAnsi="Palatino Linotype"/>
        </w:rPr>
        <w:t xml:space="preserve">, compreende-se dentro das operações bancárias (ABRÃO, 2005, p. 273). </w:t>
      </w:r>
    </w:p>
    <w:p w:rsidR="000E6663" w:rsidRPr="00C06E53" w:rsidRDefault="000E6663" w:rsidP="000E6663">
      <w:pPr>
        <w:tabs>
          <w:tab w:val="left" w:pos="1134"/>
        </w:tabs>
        <w:rPr>
          <w:rFonts w:ascii="Palatino Linotype" w:hAnsi="Palatino Linotype"/>
        </w:rPr>
      </w:pPr>
      <w:r>
        <w:rPr>
          <w:rFonts w:ascii="Palatino Linotype" w:hAnsi="Palatino Linotype"/>
        </w:rPr>
        <w:tab/>
      </w:r>
      <w:r w:rsidRPr="00C06E53">
        <w:rPr>
          <w:rFonts w:ascii="Palatino Linotype" w:hAnsi="Palatino Linotype"/>
        </w:rPr>
        <w:t xml:space="preserve">O título ora estudado pode possuir ou não uma garantia </w:t>
      </w:r>
      <w:proofErr w:type="spellStart"/>
      <w:r w:rsidRPr="00C06E53">
        <w:rPr>
          <w:rFonts w:ascii="Palatino Linotype" w:hAnsi="Palatino Linotype"/>
        </w:rPr>
        <w:t>cedularmente</w:t>
      </w:r>
      <w:proofErr w:type="spellEnd"/>
      <w:r w:rsidRPr="00C06E53">
        <w:rPr>
          <w:rFonts w:ascii="Palatino Linotype" w:hAnsi="Palatino Linotype"/>
        </w:rPr>
        <w:t xml:space="preserve"> constituída, dispensando documento alheio, e é regido, no que for cabível, pelas normas de direito cambial (art. 60, do Decreto-Lei nº 167/67), aplicando-se consequentemente as regras para o aval, endosso etc.</w:t>
      </w:r>
    </w:p>
    <w:p w:rsidR="000E6663" w:rsidRPr="00C06E53" w:rsidRDefault="000E6663" w:rsidP="000E6663">
      <w:pPr>
        <w:tabs>
          <w:tab w:val="left" w:pos="1134"/>
        </w:tabs>
        <w:rPr>
          <w:rFonts w:ascii="Palatino Linotype" w:hAnsi="Palatino Linotype"/>
        </w:rPr>
      </w:pPr>
      <w:r>
        <w:rPr>
          <w:rFonts w:ascii="Palatino Linotype" w:hAnsi="Palatino Linotype"/>
        </w:rPr>
        <w:tab/>
      </w:r>
      <w:r w:rsidRPr="00C06E53">
        <w:rPr>
          <w:rFonts w:ascii="Palatino Linotype" w:hAnsi="Palatino Linotype"/>
        </w:rPr>
        <w:t>Para terem eficácia contra terceiros, faz-se necessário o seu registro em Cartório de Registro de Imóveis, havendo na cobrança pelo credor alguns benefícios, como a via do processo de execução, a penhora e venda dos bens dados em garantia etc.</w:t>
      </w:r>
    </w:p>
    <w:p w:rsidR="000E6663" w:rsidRPr="00C06E53" w:rsidRDefault="000E6663" w:rsidP="000E6663">
      <w:pPr>
        <w:tabs>
          <w:tab w:val="left" w:pos="1134"/>
        </w:tabs>
        <w:rPr>
          <w:rFonts w:ascii="Palatino Linotype" w:hAnsi="Palatino Linotype"/>
        </w:rPr>
      </w:pPr>
    </w:p>
    <w:p w:rsidR="000E6663" w:rsidRPr="00C06E53" w:rsidRDefault="000E6663" w:rsidP="000E6663">
      <w:pPr>
        <w:pStyle w:val="Ttulo3"/>
        <w:tabs>
          <w:tab w:val="left" w:pos="1134"/>
        </w:tabs>
        <w:ind w:left="0" w:firstLine="0"/>
        <w:rPr>
          <w:rFonts w:ascii="Palatino Linotype" w:hAnsi="Palatino Linotype"/>
        </w:rPr>
      </w:pPr>
      <w:bookmarkStart w:id="4" w:name="_Toc324900404"/>
      <w:bookmarkStart w:id="5" w:name="_Toc324900881"/>
      <w:bookmarkStart w:id="6" w:name="_Toc324901004"/>
      <w:bookmarkStart w:id="7" w:name="_Toc362020669"/>
      <w:r w:rsidRPr="00C06E53">
        <w:rPr>
          <w:rFonts w:ascii="Palatino Linotype" w:hAnsi="Palatino Linotype"/>
        </w:rPr>
        <w:t>Cédula rural pignoratícia</w:t>
      </w:r>
      <w:bookmarkEnd w:id="4"/>
      <w:bookmarkEnd w:id="5"/>
      <w:bookmarkEnd w:id="6"/>
      <w:bookmarkEnd w:id="7"/>
    </w:p>
    <w:p w:rsidR="000E6663" w:rsidRPr="00C06E53" w:rsidRDefault="000E6663" w:rsidP="000E6663">
      <w:pPr>
        <w:tabs>
          <w:tab w:val="left" w:pos="1134"/>
        </w:tabs>
        <w:rPr>
          <w:rFonts w:ascii="Palatino Linotype" w:hAnsi="Palatino Linotype"/>
        </w:rPr>
      </w:pPr>
      <w:r>
        <w:rPr>
          <w:rFonts w:ascii="Palatino Linotype" w:hAnsi="Palatino Linotype"/>
        </w:rPr>
        <w:tab/>
      </w:r>
      <w:r w:rsidRPr="00C06E53">
        <w:rPr>
          <w:rFonts w:ascii="Palatino Linotype" w:hAnsi="Palatino Linotype"/>
        </w:rPr>
        <w:t>A cédula rural pignoratícia é o título acima examinado munido de uma garantia pignoratícia, ou seja, penhor de bens.</w:t>
      </w:r>
    </w:p>
    <w:p w:rsidR="000E6663" w:rsidRPr="00C06E53" w:rsidRDefault="000E6663" w:rsidP="000E6663">
      <w:pPr>
        <w:tabs>
          <w:tab w:val="left" w:pos="1134"/>
        </w:tabs>
        <w:rPr>
          <w:rFonts w:ascii="Palatino Linotype" w:hAnsi="Palatino Linotype"/>
        </w:rPr>
      </w:pPr>
      <w:r>
        <w:rPr>
          <w:rFonts w:ascii="Palatino Linotype" w:hAnsi="Palatino Linotype"/>
        </w:rPr>
        <w:tab/>
      </w:r>
      <w:r w:rsidRPr="00C06E53">
        <w:rPr>
          <w:rFonts w:ascii="Palatino Linotype" w:hAnsi="Palatino Linotype"/>
        </w:rPr>
        <w:t xml:space="preserve">O art. 14, do Decreto-Lei nº 167/67 elenca requisitos formais deste título, quais sejam: </w:t>
      </w:r>
    </w:p>
    <w:p w:rsidR="000E6663" w:rsidRPr="00C06E53" w:rsidRDefault="000E6663" w:rsidP="000E6663">
      <w:pPr>
        <w:pStyle w:val="Citao"/>
        <w:tabs>
          <w:tab w:val="left" w:pos="1134"/>
        </w:tabs>
        <w:ind w:left="0"/>
        <w:rPr>
          <w:rFonts w:ascii="Palatino Linotype" w:hAnsi="Palatino Linotype"/>
        </w:rPr>
      </w:pPr>
      <w:r w:rsidRPr="00C06E53">
        <w:rPr>
          <w:rFonts w:ascii="Palatino Linotype" w:hAnsi="Palatino Linotype"/>
        </w:rPr>
        <w:t>I - Denominação "Cédula Rural Pignoratícia".</w:t>
      </w:r>
    </w:p>
    <w:p w:rsidR="000E6663" w:rsidRPr="00C06E53" w:rsidRDefault="000E6663" w:rsidP="000E6663">
      <w:pPr>
        <w:pStyle w:val="Citao"/>
        <w:tabs>
          <w:tab w:val="left" w:pos="1134"/>
        </w:tabs>
        <w:ind w:left="0"/>
        <w:rPr>
          <w:rFonts w:ascii="Palatino Linotype" w:hAnsi="Palatino Linotype"/>
          <w:szCs w:val="27"/>
        </w:rPr>
      </w:pPr>
      <w:r w:rsidRPr="00C06E53">
        <w:rPr>
          <w:rFonts w:ascii="Palatino Linotype" w:hAnsi="Palatino Linotype"/>
        </w:rPr>
        <w:t xml:space="preserve">II - Data e condições de pagamento; havendo prestações periódicas ou prorrogações de vencimento, acrescentar: "nos </w:t>
      </w:r>
      <w:proofErr w:type="spellStart"/>
      <w:r w:rsidRPr="00C06E53">
        <w:rPr>
          <w:rFonts w:ascii="Palatino Linotype" w:hAnsi="Palatino Linotype"/>
        </w:rPr>
        <w:t>têrmos</w:t>
      </w:r>
      <w:proofErr w:type="spellEnd"/>
      <w:r w:rsidRPr="00C06E53">
        <w:rPr>
          <w:rFonts w:ascii="Palatino Linotype" w:hAnsi="Palatino Linotype"/>
        </w:rPr>
        <w:t xml:space="preserve"> da cláusula Forma de Pagamento abaixo" ou "nos </w:t>
      </w:r>
      <w:proofErr w:type="spellStart"/>
      <w:r w:rsidRPr="00C06E53">
        <w:rPr>
          <w:rFonts w:ascii="Palatino Linotype" w:hAnsi="Palatino Linotype"/>
        </w:rPr>
        <w:t>têrmos</w:t>
      </w:r>
      <w:proofErr w:type="spellEnd"/>
      <w:r w:rsidRPr="00C06E53">
        <w:rPr>
          <w:rFonts w:ascii="Palatino Linotype" w:hAnsi="Palatino Linotype"/>
        </w:rPr>
        <w:t xml:space="preserve"> da cláusula Ajuste de Prorrogação abaixo".</w:t>
      </w:r>
    </w:p>
    <w:p w:rsidR="000E6663" w:rsidRPr="00C06E53" w:rsidRDefault="000E6663" w:rsidP="000E6663">
      <w:pPr>
        <w:pStyle w:val="Citao"/>
        <w:tabs>
          <w:tab w:val="left" w:pos="1134"/>
        </w:tabs>
        <w:ind w:left="0"/>
        <w:rPr>
          <w:rFonts w:ascii="Palatino Linotype" w:hAnsi="Palatino Linotype"/>
          <w:szCs w:val="27"/>
        </w:rPr>
      </w:pPr>
      <w:r w:rsidRPr="00C06E53">
        <w:rPr>
          <w:rFonts w:ascii="Palatino Linotype" w:hAnsi="Palatino Linotype"/>
        </w:rPr>
        <w:t>III - Nome do credor e a cláusula à ordem.</w:t>
      </w:r>
    </w:p>
    <w:p w:rsidR="000E6663" w:rsidRPr="00C06E53" w:rsidRDefault="000E6663" w:rsidP="000E6663">
      <w:pPr>
        <w:pStyle w:val="Citao"/>
        <w:tabs>
          <w:tab w:val="left" w:pos="1134"/>
        </w:tabs>
        <w:ind w:left="0"/>
        <w:rPr>
          <w:rFonts w:ascii="Palatino Linotype" w:hAnsi="Palatino Linotype"/>
          <w:szCs w:val="27"/>
        </w:rPr>
      </w:pPr>
      <w:r w:rsidRPr="00C06E53">
        <w:rPr>
          <w:rFonts w:ascii="Palatino Linotype" w:hAnsi="Palatino Linotype"/>
        </w:rPr>
        <w:lastRenderedPageBreak/>
        <w:t>IV - Valor do crédito deferido, lançado em algarismos e por extenso, com indicação da finalidade ruralista a que se destina o financiamento concedido e a forma de sua utilização.</w:t>
      </w:r>
    </w:p>
    <w:p w:rsidR="000E6663" w:rsidRPr="00C06E53" w:rsidRDefault="000E6663" w:rsidP="000E6663">
      <w:pPr>
        <w:pStyle w:val="Citao"/>
        <w:tabs>
          <w:tab w:val="left" w:pos="1134"/>
        </w:tabs>
        <w:ind w:left="0"/>
        <w:rPr>
          <w:rFonts w:ascii="Palatino Linotype" w:hAnsi="Palatino Linotype"/>
          <w:szCs w:val="27"/>
        </w:rPr>
      </w:pPr>
      <w:r w:rsidRPr="00C06E53">
        <w:rPr>
          <w:rFonts w:ascii="Palatino Linotype" w:hAnsi="Palatino Linotype"/>
        </w:rPr>
        <w:t xml:space="preserve">V - Descrição dos bens vinculados em penhor, que se </w:t>
      </w:r>
      <w:proofErr w:type="gramStart"/>
      <w:r w:rsidRPr="00C06E53">
        <w:rPr>
          <w:rFonts w:ascii="Palatino Linotype" w:hAnsi="Palatino Linotype"/>
        </w:rPr>
        <w:t>indicarão</w:t>
      </w:r>
      <w:proofErr w:type="gramEnd"/>
      <w:r w:rsidRPr="00C06E53">
        <w:rPr>
          <w:rFonts w:ascii="Palatino Linotype" w:hAnsi="Palatino Linotype"/>
        </w:rPr>
        <w:t xml:space="preserve"> pela espécie, qualidade, quantidade, marca ou período de produção, se </w:t>
      </w:r>
      <w:proofErr w:type="spellStart"/>
      <w:r w:rsidRPr="00C06E53">
        <w:rPr>
          <w:rFonts w:ascii="Palatino Linotype" w:hAnsi="Palatino Linotype"/>
        </w:rPr>
        <w:t>fôr</w:t>
      </w:r>
      <w:proofErr w:type="spellEnd"/>
      <w:r w:rsidRPr="00C06E53">
        <w:rPr>
          <w:rFonts w:ascii="Palatino Linotype" w:hAnsi="Palatino Linotype"/>
        </w:rPr>
        <w:t xml:space="preserve"> o caso, além do local ou depósito em que os mesmos bens se encontrarem.</w:t>
      </w:r>
    </w:p>
    <w:p w:rsidR="000E6663" w:rsidRPr="00C06E53" w:rsidRDefault="000E6663" w:rsidP="000E6663">
      <w:pPr>
        <w:pStyle w:val="Citao"/>
        <w:tabs>
          <w:tab w:val="left" w:pos="1134"/>
        </w:tabs>
        <w:ind w:left="0"/>
        <w:rPr>
          <w:rFonts w:ascii="Palatino Linotype" w:hAnsi="Palatino Linotype"/>
          <w:szCs w:val="27"/>
        </w:rPr>
      </w:pPr>
      <w:r w:rsidRPr="00C06E53">
        <w:rPr>
          <w:rFonts w:ascii="Palatino Linotype" w:hAnsi="Palatino Linotype"/>
        </w:rPr>
        <w:t>VI - Taxa dos juros a pagar, e da comissão de fiscalização, se houver, e o tempo de seu pagamento.</w:t>
      </w:r>
    </w:p>
    <w:p w:rsidR="000E6663" w:rsidRPr="00C06E53" w:rsidRDefault="000E6663" w:rsidP="000E6663">
      <w:pPr>
        <w:pStyle w:val="Citao"/>
        <w:tabs>
          <w:tab w:val="left" w:pos="1134"/>
        </w:tabs>
        <w:ind w:left="0"/>
        <w:rPr>
          <w:rFonts w:ascii="Palatino Linotype" w:hAnsi="Palatino Linotype"/>
          <w:szCs w:val="27"/>
        </w:rPr>
      </w:pPr>
      <w:r w:rsidRPr="00C06E53">
        <w:rPr>
          <w:rFonts w:ascii="Palatino Linotype" w:hAnsi="Palatino Linotype"/>
        </w:rPr>
        <w:t>VII - Praça do pagamento.</w:t>
      </w:r>
    </w:p>
    <w:p w:rsidR="000E6663" w:rsidRPr="00C06E53" w:rsidRDefault="000E6663" w:rsidP="000E6663">
      <w:pPr>
        <w:pStyle w:val="Citao"/>
        <w:tabs>
          <w:tab w:val="left" w:pos="1134"/>
        </w:tabs>
        <w:ind w:left="0"/>
        <w:rPr>
          <w:rFonts w:ascii="Palatino Linotype" w:hAnsi="Palatino Linotype"/>
          <w:szCs w:val="27"/>
        </w:rPr>
      </w:pPr>
      <w:r w:rsidRPr="00C06E53">
        <w:rPr>
          <w:rFonts w:ascii="Palatino Linotype" w:hAnsi="Palatino Linotype"/>
        </w:rPr>
        <w:t>VIII - Data e lugar da emissão.</w:t>
      </w:r>
    </w:p>
    <w:p w:rsidR="000E6663" w:rsidRPr="00C06E53" w:rsidRDefault="000E6663" w:rsidP="000E6663">
      <w:pPr>
        <w:pStyle w:val="Citao"/>
        <w:tabs>
          <w:tab w:val="left" w:pos="1134"/>
        </w:tabs>
        <w:ind w:left="0"/>
        <w:rPr>
          <w:rFonts w:ascii="Palatino Linotype" w:hAnsi="Palatino Linotype"/>
          <w:szCs w:val="27"/>
        </w:rPr>
      </w:pPr>
      <w:r w:rsidRPr="00C06E53">
        <w:rPr>
          <w:rFonts w:ascii="Palatino Linotype" w:hAnsi="Palatino Linotype"/>
        </w:rPr>
        <w:t>IX - Assinatura do próprio punho do emitente ou de representante com poderes especiais.</w:t>
      </w:r>
    </w:p>
    <w:p w:rsidR="000E6663" w:rsidRPr="00C06E53" w:rsidRDefault="000E6663" w:rsidP="000E6663">
      <w:pPr>
        <w:tabs>
          <w:tab w:val="left" w:pos="1134"/>
        </w:tabs>
        <w:rPr>
          <w:rFonts w:ascii="Palatino Linotype" w:hAnsi="Palatino Linotype"/>
        </w:rPr>
      </w:pPr>
    </w:p>
    <w:p w:rsidR="000E6663" w:rsidRDefault="000E6663" w:rsidP="000E6663">
      <w:pPr>
        <w:tabs>
          <w:tab w:val="left" w:pos="1134"/>
        </w:tabs>
        <w:rPr>
          <w:rFonts w:ascii="Palatino Linotype" w:hAnsi="Palatino Linotype"/>
        </w:rPr>
      </w:pPr>
      <w:r>
        <w:rPr>
          <w:rFonts w:ascii="Palatino Linotype" w:hAnsi="Palatino Linotype"/>
        </w:rPr>
        <w:tab/>
      </w:r>
      <w:r w:rsidRPr="00C06E53">
        <w:rPr>
          <w:rFonts w:ascii="Palatino Linotype" w:hAnsi="Palatino Linotype"/>
        </w:rPr>
        <w:t xml:space="preserve">Os bens empenhados continuam em posse do devedor, que os guardará como depositário. A descrição destes bens, ainda, pode ser feita em documento à parte. </w:t>
      </w:r>
    </w:p>
    <w:p w:rsidR="000E6663" w:rsidRPr="00C06E53" w:rsidRDefault="000E6663" w:rsidP="000E6663">
      <w:pPr>
        <w:tabs>
          <w:tab w:val="left" w:pos="1134"/>
        </w:tabs>
        <w:rPr>
          <w:rFonts w:ascii="Palatino Linotype" w:hAnsi="Palatino Linotype"/>
        </w:rPr>
      </w:pPr>
    </w:p>
    <w:p w:rsidR="000E6663" w:rsidRPr="00C06E53" w:rsidRDefault="000E6663" w:rsidP="000E6663">
      <w:pPr>
        <w:pStyle w:val="Ttulo3"/>
        <w:tabs>
          <w:tab w:val="left" w:pos="1134"/>
        </w:tabs>
        <w:ind w:left="0" w:firstLine="0"/>
        <w:rPr>
          <w:rFonts w:ascii="Palatino Linotype" w:hAnsi="Palatino Linotype"/>
        </w:rPr>
      </w:pPr>
      <w:bookmarkStart w:id="8" w:name="_Toc324900882"/>
      <w:bookmarkStart w:id="9" w:name="_Toc324901005"/>
      <w:bookmarkStart w:id="10" w:name="_Toc362020670"/>
      <w:r w:rsidRPr="00C06E53">
        <w:rPr>
          <w:rFonts w:ascii="Palatino Linotype" w:hAnsi="Palatino Linotype"/>
        </w:rPr>
        <w:t>Cédula rural hipotecária</w:t>
      </w:r>
      <w:bookmarkEnd w:id="8"/>
      <w:bookmarkEnd w:id="9"/>
      <w:bookmarkEnd w:id="10"/>
    </w:p>
    <w:p w:rsidR="000E6663" w:rsidRPr="00C06E53" w:rsidRDefault="000E6663" w:rsidP="000E6663">
      <w:pPr>
        <w:tabs>
          <w:tab w:val="left" w:pos="1134"/>
        </w:tabs>
        <w:rPr>
          <w:rFonts w:ascii="Palatino Linotype" w:hAnsi="Palatino Linotype"/>
        </w:rPr>
      </w:pPr>
      <w:r>
        <w:rPr>
          <w:rFonts w:ascii="Palatino Linotype" w:hAnsi="Palatino Linotype"/>
        </w:rPr>
        <w:tab/>
      </w:r>
      <w:r w:rsidRPr="00C06E53">
        <w:rPr>
          <w:rFonts w:ascii="Palatino Linotype" w:hAnsi="Palatino Linotype"/>
        </w:rPr>
        <w:t xml:space="preserve">A cédula rural hipotecária em pouco diverge da cédula rural pignoratícia. A diferença essencial se encontra na natureza da garantia. No caso, temos a hipoteca </w:t>
      </w:r>
      <w:proofErr w:type="spellStart"/>
      <w:r w:rsidRPr="00C06E53">
        <w:rPr>
          <w:rFonts w:ascii="Palatino Linotype" w:hAnsi="Palatino Linotype"/>
        </w:rPr>
        <w:t>cedularmente</w:t>
      </w:r>
      <w:proofErr w:type="spellEnd"/>
      <w:r w:rsidRPr="00C06E53">
        <w:rPr>
          <w:rFonts w:ascii="Palatino Linotype" w:hAnsi="Palatino Linotype"/>
        </w:rPr>
        <w:t xml:space="preserve"> constituída de um bem imóvel.</w:t>
      </w:r>
    </w:p>
    <w:p w:rsidR="000E6663" w:rsidRPr="00C06E53" w:rsidRDefault="000E6663" w:rsidP="000E6663">
      <w:pPr>
        <w:tabs>
          <w:tab w:val="left" w:pos="1134"/>
        </w:tabs>
        <w:rPr>
          <w:rFonts w:ascii="Palatino Linotype" w:hAnsi="Palatino Linotype"/>
        </w:rPr>
      </w:pPr>
      <w:r>
        <w:rPr>
          <w:rFonts w:ascii="Palatino Linotype" w:hAnsi="Palatino Linotype"/>
        </w:rPr>
        <w:tab/>
      </w:r>
      <w:r w:rsidRPr="00C06E53">
        <w:rPr>
          <w:rFonts w:ascii="Palatino Linotype" w:hAnsi="Palatino Linotype"/>
        </w:rPr>
        <w:t xml:space="preserve">Semelhante ao que ocorre com qualquer </w:t>
      </w:r>
      <w:proofErr w:type="gramStart"/>
      <w:r w:rsidRPr="00C06E53">
        <w:rPr>
          <w:rFonts w:ascii="Palatino Linotype" w:hAnsi="Palatino Linotype"/>
        </w:rPr>
        <w:t>hipoteca</w:t>
      </w:r>
      <w:proofErr w:type="gramEnd"/>
      <w:r w:rsidRPr="00C06E53">
        <w:rPr>
          <w:rFonts w:ascii="Palatino Linotype" w:hAnsi="Palatino Linotype"/>
        </w:rPr>
        <w:t>, esta abrange as acessões, melhoramentos ou construções do imóvel. Neste sentido, até mesmo os bens móveis que se incorporam ao imóvel por destinação são incluídos (ABRÃO, 2005, p. 276).</w:t>
      </w:r>
    </w:p>
    <w:p w:rsidR="000E6663" w:rsidRPr="00C06E53" w:rsidRDefault="000E6663" w:rsidP="000E6663">
      <w:pPr>
        <w:tabs>
          <w:tab w:val="left" w:pos="1134"/>
        </w:tabs>
        <w:rPr>
          <w:rFonts w:ascii="Palatino Linotype" w:hAnsi="Palatino Linotype"/>
        </w:rPr>
      </w:pPr>
      <w:r>
        <w:rPr>
          <w:rFonts w:ascii="Palatino Linotype" w:hAnsi="Palatino Linotype"/>
        </w:rPr>
        <w:tab/>
      </w:r>
      <w:r w:rsidRPr="00C06E53">
        <w:rPr>
          <w:rFonts w:ascii="Palatino Linotype" w:hAnsi="Palatino Linotype"/>
        </w:rPr>
        <w:t>Apesar de servir como garantia para operação de crédito rural, o bem imóvel hipotecado pode ser rural ou urbano (ABRÃO, 2005, p. 276).</w:t>
      </w:r>
    </w:p>
    <w:p w:rsidR="000E6663" w:rsidRPr="00C06E53" w:rsidRDefault="000E6663" w:rsidP="000E6663">
      <w:pPr>
        <w:tabs>
          <w:tab w:val="left" w:pos="1134"/>
        </w:tabs>
        <w:rPr>
          <w:rFonts w:ascii="Palatino Linotype" w:hAnsi="Palatino Linotype"/>
        </w:rPr>
      </w:pPr>
      <w:r>
        <w:rPr>
          <w:rFonts w:ascii="Palatino Linotype" w:hAnsi="Palatino Linotype"/>
        </w:rPr>
        <w:tab/>
      </w:r>
      <w:r w:rsidRPr="00C06E53">
        <w:rPr>
          <w:rFonts w:ascii="Palatino Linotype" w:hAnsi="Palatino Linotype"/>
        </w:rPr>
        <w:t>São elementos formais que devem estar presentes na cédula rural hipotecária:</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I - Denominação "Cédula Rural Hipotecária".</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 xml:space="preserve">II - Data e condições de pagamento; havendo prestações periódicas ou prorrogações de vencimento, acrescentar: "nos </w:t>
      </w:r>
      <w:proofErr w:type="spellStart"/>
      <w:r w:rsidRPr="00C06E53">
        <w:rPr>
          <w:rFonts w:ascii="Palatino Linotype" w:hAnsi="Palatino Linotype"/>
        </w:rPr>
        <w:t>têrmos</w:t>
      </w:r>
      <w:proofErr w:type="spellEnd"/>
      <w:r w:rsidRPr="00C06E53">
        <w:rPr>
          <w:rFonts w:ascii="Palatino Linotype" w:hAnsi="Palatino Linotype"/>
        </w:rPr>
        <w:t xml:space="preserve"> da cláusula Forma de Pagamento abaixa" ou "nos </w:t>
      </w:r>
      <w:proofErr w:type="spellStart"/>
      <w:r w:rsidRPr="00C06E53">
        <w:rPr>
          <w:rFonts w:ascii="Palatino Linotype" w:hAnsi="Palatino Linotype"/>
        </w:rPr>
        <w:t>têrmos</w:t>
      </w:r>
      <w:proofErr w:type="spellEnd"/>
      <w:r w:rsidRPr="00C06E53">
        <w:rPr>
          <w:rFonts w:ascii="Palatino Linotype" w:hAnsi="Palatino Linotype"/>
        </w:rPr>
        <w:t xml:space="preserve"> da cláusula Ajuste de Prorrogação abaixo".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III - Nome do credor e a cláusula à ordem.</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IV - Valor do crédito deferido, lançado em algarismos e por extenso, com indicação da finalidade ruralista a que se destina o financiamento concedido e a forma de sua utilização.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V - Descrição do imóvel hipotecado com indicação do nome</w:t>
      </w:r>
      <w:proofErr w:type="gramStart"/>
      <w:r w:rsidRPr="00C06E53">
        <w:rPr>
          <w:rFonts w:ascii="Palatino Linotype" w:hAnsi="Palatino Linotype"/>
        </w:rPr>
        <w:t>, se houver</w:t>
      </w:r>
      <w:proofErr w:type="gramEnd"/>
      <w:r w:rsidRPr="00C06E53">
        <w:rPr>
          <w:rFonts w:ascii="Palatino Linotype" w:hAnsi="Palatino Linotype"/>
        </w:rPr>
        <w:t>, dimensões, confrontações, benfeitorias, título e data de aquisição e anotações (número, livro e folha) do registro imobiliário.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lastRenderedPageBreak/>
        <w:t>VI - Taxa dos juros a pagar e a da comissão de fiscalização, se houver, e tempo de seu pagamento.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VII - Praça do pagamento.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VIII - Data e lugar da emissão.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 xml:space="preserve">IX - Assinatura do próprio punho do emitente ou de representante com </w:t>
      </w:r>
      <w:proofErr w:type="spellStart"/>
      <w:r w:rsidRPr="00C06E53">
        <w:rPr>
          <w:rFonts w:ascii="Palatino Linotype" w:hAnsi="Palatino Linotype"/>
        </w:rPr>
        <w:t>podêres</w:t>
      </w:r>
      <w:proofErr w:type="spellEnd"/>
      <w:r w:rsidRPr="00C06E53">
        <w:rPr>
          <w:rFonts w:ascii="Palatino Linotype" w:hAnsi="Palatino Linotype"/>
        </w:rPr>
        <w:t xml:space="preserve"> especiais.</w:t>
      </w:r>
    </w:p>
    <w:p w:rsidR="000E6663" w:rsidRPr="00C06E53" w:rsidRDefault="000E6663" w:rsidP="000E6663">
      <w:pPr>
        <w:tabs>
          <w:tab w:val="left" w:pos="1134"/>
        </w:tabs>
        <w:rPr>
          <w:rFonts w:ascii="Palatino Linotype" w:hAnsi="Palatino Linotype"/>
        </w:rPr>
      </w:pPr>
    </w:p>
    <w:p w:rsidR="000E6663" w:rsidRPr="00C06E53" w:rsidRDefault="000E6663" w:rsidP="000E6663">
      <w:pPr>
        <w:tabs>
          <w:tab w:val="left" w:pos="1134"/>
        </w:tabs>
        <w:rPr>
          <w:rFonts w:ascii="Palatino Linotype" w:hAnsi="Palatino Linotype"/>
        </w:rPr>
      </w:pPr>
      <w:r w:rsidRPr="00C06E53">
        <w:rPr>
          <w:rFonts w:ascii="Palatino Linotype" w:hAnsi="Palatino Linotype"/>
        </w:rPr>
        <w:t xml:space="preserve">Desde a sua emissão, este título confere direito real entre as partes, alcançando terceiros quando do seu registro (ABRÃO, 2011, p. 287). </w:t>
      </w:r>
    </w:p>
    <w:p w:rsidR="000E6663" w:rsidRPr="00C06E53" w:rsidRDefault="000E6663" w:rsidP="000E6663">
      <w:pPr>
        <w:tabs>
          <w:tab w:val="left" w:pos="1134"/>
        </w:tabs>
        <w:rPr>
          <w:rFonts w:ascii="Palatino Linotype" w:hAnsi="Palatino Linotype"/>
        </w:rPr>
      </w:pPr>
    </w:p>
    <w:p w:rsidR="000E6663" w:rsidRPr="00C06E53" w:rsidRDefault="000E6663" w:rsidP="000E6663">
      <w:pPr>
        <w:pStyle w:val="Ttulo3"/>
        <w:tabs>
          <w:tab w:val="left" w:pos="1134"/>
        </w:tabs>
        <w:ind w:left="0" w:firstLine="0"/>
        <w:rPr>
          <w:rFonts w:ascii="Palatino Linotype" w:hAnsi="Palatino Linotype"/>
        </w:rPr>
      </w:pPr>
      <w:bookmarkStart w:id="11" w:name="_Toc324900883"/>
      <w:bookmarkStart w:id="12" w:name="_Toc324901006"/>
      <w:bookmarkStart w:id="13" w:name="_Toc362020671"/>
      <w:r w:rsidRPr="00C06E53">
        <w:rPr>
          <w:rFonts w:ascii="Palatino Linotype" w:hAnsi="Palatino Linotype"/>
        </w:rPr>
        <w:t>Cédula rural pignoratícia e hipotecária</w:t>
      </w:r>
      <w:bookmarkEnd w:id="11"/>
      <w:bookmarkEnd w:id="12"/>
      <w:bookmarkEnd w:id="13"/>
    </w:p>
    <w:p w:rsidR="000E6663" w:rsidRPr="00C06E53" w:rsidRDefault="000E6663" w:rsidP="000E6663">
      <w:pPr>
        <w:tabs>
          <w:tab w:val="left" w:pos="1134"/>
        </w:tabs>
        <w:rPr>
          <w:rFonts w:ascii="Palatino Linotype" w:hAnsi="Palatino Linotype"/>
        </w:rPr>
      </w:pPr>
      <w:r>
        <w:rPr>
          <w:rFonts w:ascii="Palatino Linotype" w:hAnsi="Palatino Linotype"/>
        </w:rPr>
        <w:tab/>
      </w:r>
      <w:r w:rsidRPr="00C06E53">
        <w:rPr>
          <w:rFonts w:ascii="Palatino Linotype" w:hAnsi="Palatino Linotype"/>
        </w:rPr>
        <w:t>Neste caso, a garantia é, conforme se extrai da própria lógica da denominação do título, prestada simultaneamente por bens imóveis e móveis.</w:t>
      </w:r>
    </w:p>
    <w:p w:rsidR="000E6663" w:rsidRPr="00C06E53" w:rsidRDefault="000E6663" w:rsidP="000E6663">
      <w:pPr>
        <w:tabs>
          <w:tab w:val="left" w:pos="1134"/>
        </w:tabs>
        <w:rPr>
          <w:rFonts w:ascii="Palatino Linotype" w:hAnsi="Palatino Linotype"/>
        </w:rPr>
      </w:pPr>
      <w:r>
        <w:rPr>
          <w:rFonts w:ascii="Palatino Linotype" w:hAnsi="Palatino Linotype"/>
        </w:rPr>
        <w:tab/>
      </w:r>
      <w:r w:rsidRPr="00C06E53">
        <w:rPr>
          <w:rFonts w:ascii="Palatino Linotype" w:hAnsi="Palatino Linotype"/>
        </w:rPr>
        <w:t>Nelson Abrão (2010, p. 287) relembra que os bens móveis aqui utilizados como garantia não são apenas aqueles que já se encontram incorporados pelos bens imóveis, pois são considerados partes do mesmo, mas também os existentes em local diverso de onde se encontra os imóveis utilizados como garantia.</w:t>
      </w:r>
    </w:p>
    <w:p w:rsidR="000E6663" w:rsidRPr="00C06E53" w:rsidRDefault="000E6663" w:rsidP="000E6663">
      <w:pPr>
        <w:tabs>
          <w:tab w:val="left" w:pos="1134"/>
        </w:tabs>
        <w:rPr>
          <w:rFonts w:ascii="Palatino Linotype" w:hAnsi="Palatino Linotype"/>
        </w:rPr>
      </w:pPr>
      <w:r>
        <w:rPr>
          <w:rFonts w:ascii="Palatino Linotype" w:hAnsi="Palatino Linotype"/>
        </w:rPr>
        <w:tab/>
      </w:r>
      <w:r w:rsidRPr="00C06E53">
        <w:rPr>
          <w:rFonts w:ascii="Palatino Linotype" w:hAnsi="Palatino Linotype"/>
        </w:rPr>
        <w:t>São elementos formais dessa espécie de cédula rural:</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I - Denominação "Cédula Rural Pignoratícia e Hipotecária".</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II - Data e condições de pagamento havendo prestações periódicas ou prorrogações de vencimento, acrescentar: "nos termos da cláusula Forma de Pagamento abaixo" ou "nos termos da cláusula Ajuste de Prorrogação abaixo".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III - Nome do credor e a cláusula à ordem.</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IV - Valor do crédito deferido, lançado em algarismos e por extenso, com indicação da finalidade ruralista a que se destina o financiamento concedido e a forma de sua utilização.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 xml:space="preserve">V - Descrição dos bens vinculados em penhor, os quais se </w:t>
      </w:r>
      <w:proofErr w:type="gramStart"/>
      <w:r w:rsidRPr="00C06E53">
        <w:rPr>
          <w:rFonts w:ascii="Palatino Linotype" w:hAnsi="Palatino Linotype"/>
        </w:rPr>
        <w:t>indicarão</w:t>
      </w:r>
      <w:proofErr w:type="gramEnd"/>
      <w:r w:rsidRPr="00C06E53">
        <w:rPr>
          <w:rFonts w:ascii="Palatino Linotype" w:hAnsi="Palatino Linotype"/>
        </w:rPr>
        <w:t xml:space="preserve"> pela espécie, qualidade, quantidade, marca ou período de produção se </w:t>
      </w:r>
      <w:proofErr w:type="spellStart"/>
      <w:r w:rsidRPr="00C06E53">
        <w:rPr>
          <w:rFonts w:ascii="Palatino Linotype" w:hAnsi="Palatino Linotype"/>
        </w:rPr>
        <w:t>fôr</w:t>
      </w:r>
      <w:proofErr w:type="spellEnd"/>
      <w:r w:rsidRPr="00C06E53">
        <w:rPr>
          <w:rFonts w:ascii="Palatino Linotype" w:hAnsi="Palatino Linotype"/>
        </w:rPr>
        <w:t xml:space="preserve"> o caso, além do local ou depósito dos mesmos bens.</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VI - Descrição do imóvel hipotecado com indicação do nome</w:t>
      </w:r>
      <w:proofErr w:type="gramStart"/>
      <w:r w:rsidRPr="00C06E53">
        <w:rPr>
          <w:rFonts w:ascii="Palatino Linotype" w:hAnsi="Palatino Linotype"/>
        </w:rPr>
        <w:t>, se houver</w:t>
      </w:r>
      <w:proofErr w:type="gramEnd"/>
      <w:r w:rsidRPr="00C06E53">
        <w:rPr>
          <w:rFonts w:ascii="Palatino Linotype" w:hAnsi="Palatino Linotype"/>
        </w:rPr>
        <w:t>, dimensões, confrontações, benfeitorias, título e data de aquisição e anotações (número, livro e folha) do registro imobiliário.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VII - Taxa dos juros a pagar e da comissão de fiscalização, se houver, e tempo de seu pagamento.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VIII - Praça do pagamento.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IX - Data e lugar da emissão.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X - Assinatura do próprio punho do emitente ou de representante com poderes especiais.</w:t>
      </w:r>
    </w:p>
    <w:p w:rsidR="000E6663" w:rsidRPr="00C06E53" w:rsidRDefault="000E6663" w:rsidP="000E6663">
      <w:pPr>
        <w:tabs>
          <w:tab w:val="left" w:pos="1134"/>
        </w:tabs>
        <w:rPr>
          <w:rFonts w:ascii="Palatino Linotype" w:hAnsi="Palatino Linotype"/>
        </w:rPr>
      </w:pPr>
    </w:p>
    <w:p w:rsidR="000E6663" w:rsidRPr="00C06E53" w:rsidRDefault="000E6663" w:rsidP="000E6663">
      <w:pPr>
        <w:pStyle w:val="Ttulo2"/>
        <w:tabs>
          <w:tab w:val="left" w:pos="1134"/>
        </w:tabs>
        <w:ind w:left="0" w:firstLine="0"/>
        <w:rPr>
          <w:rFonts w:ascii="Palatino Linotype" w:hAnsi="Palatino Linotype"/>
        </w:rPr>
      </w:pPr>
      <w:bookmarkStart w:id="14" w:name="_Toc324900884"/>
      <w:bookmarkStart w:id="15" w:name="_Toc324901007"/>
      <w:bookmarkStart w:id="16" w:name="_Toc362020672"/>
      <w:r w:rsidRPr="00C06E53">
        <w:rPr>
          <w:rFonts w:ascii="Palatino Linotype" w:hAnsi="Palatino Linotype"/>
        </w:rPr>
        <w:t>Nota de crédito rural</w:t>
      </w:r>
      <w:bookmarkEnd w:id="14"/>
      <w:bookmarkEnd w:id="15"/>
      <w:bookmarkEnd w:id="16"/>
    </w:p>
    <w:p w:rsidR="000E6663" w:rsidRPr="00C06E53" w:rsidRDefault="000E6663" w:rsidP="000E6663">
      <w:pPr>
        <w:tabs>
          <w:tab w:val="left" w:pos="1134"/>
        </w:tabs>
        <w:rPr>
          <w:rFonts w:ascii="Palatino Linotype" w:hAnsi="Palatino Linotype"/>
        </w:rPr>
      </w:pPr>
      <w:r>
        <w:rPr>
          <w:rFonts w:ascii="Palatino Linotype" w:hAnsi="Palatino Linotype"/>
        </w:rPr>
        <w:lastRenderedPageBreak/>
        <w:tab/>
      </w:r>
      <w:r w:rsidRPr="00C06E53">
        <w:rPr>
          <w:rFonts w:ascii="Palatino Linotype" w:hAnsi="Palatino Linotype"/>
        </w:rPr>
        <w:t>A nota de crédito rural também é um título representativo de operação de crédito rural, contudo não possui garantia real. São seus requisitos formais:</w:t>
      </w:r>
    </w:p>
    <w:p w:rsidR="000E6663" w:rsidRPr="00C06E53" w:rsidRDefault="000E6663" w:rsidP="000E6663">
      <w:pPr>
        <w:pStyle w:val="Citao"/>
        <w:tabs>
          <w:tab w:val="left" w:pos="1134"/>
        </w:tabs>
        <w:ind w:left="0"/>
        <w:rPr>
          <w:rFonts w:ascii="Palatino Linotype" w:hAnsi="Palatino Linotype"/>
          <w:sz w:val="27"/>
          <w:szCs w:val="27"/>
        </w:rPr>
      </w:pPr>
      <w:proofErr w:type="gramStart"/>
      <w:r w:rsidRPr="00C06E53">
        <w:rPr>
          <w:rFonts w:ascii="Palatino Linotype" w:hAnsi="Palatino Linotype"/>
        </w:rPr>
        <w:t>I - Denominação Nota de Crédito Rural"</w:t>
      </w:r>
      <w:proofErr w:type="gramEnd"/>
      <w:r w:rsidRPr="00C06E53">
        <w:rPr>
          <w:rFonts w:ascii="Palatino Linotype" w:hAnsi="Palatino Linotype"/>
        </w:rPr>
        <w:t>.</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II - Data e condições de pagamento; havendo prestações periódicas ou prorrogações de vencimento, acrescentar: "nos termos da cláusula Forma de Pagamento abaixo" ou "nos termos da cláusula Ajuste de Prorrogação abaixo".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III - Nome do credor e a cláusula à ordem.</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IV - Valor do crédito deferido, lançado em algarismos e por extenso, com indicação da finalidade ruralista a que se destina o financiamento concedido e a forma de sua utilização.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V - Taxa dos juros a pagar e da comissão de fiscalização se houver, e tempo de seu pagamento.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VI - Praça do pagamento.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VII - Data e lugar da emissão.</w:t>
      </w:r>
    </w:p>
    <w:p w:rsidR="000E6663" w:rsidRPr="00C06E53" w:rsidRDefault="000E6663" w:rsidP="000E6663">
      <w:pPr>
        <w:pStyle w:val="Citao"/>
        <w:tabs>
          <w:tab w:val="left" w:pos="1134"/>
        </w:tabs>
        <w:ind w:left="0"/>
        <w:rPr>
          <w:rFonts w:ascii="Palatino Linotype" w:hAnsi="Palatino Linotype"/>
          <w:sz w:val="27"/>
          <w:szCs w:val="27"/>
        </w:rPr>
      </w:pPr>
      <w:r w:rsidRPr="00C06E53">
        <w:rPr>
          <w:rFonts w:ascii="Palatino Linotype" w:hAnsi="Palatino Linotype"/>
        </w:rPr>
        <w:t>VIII - Assinatura do próprio punho do emitente ou de representante com poderes especiais.</w:t>
      </w:r>
    </w:p>
    <w:p w:rsidR="000E6663" w:rsidRPr="00C06E53" w:rsidRDefault="000E6663" w:rsidP="000E6663">
      <w:pPr>
        <w:tabs>
          <w:tab w:val="left" w:pos="1134"/>
        </w:tabs>
        <w:rPr>
          <w:rFonts w:ascii="Palatino Linotype" w:hAnsi="Palatino Linotype"/>
        </w:rPr>
      </w:pPr>
    </w:p>
    <w:p w:rsidR="000E6663" w:rsidRPr="00C06E53" w:rsidRDefault="000E6663" w:rsidP="000E6663">
      <w:pPr>
        <w:tabs>
          <w:tab w:val="left" w:pos="1134"/>
        </w:tabs>
        <w:rPr>
          <w:rFonts w:ascii="Palatino Linotype" w:hAnsi="Palatino Linotype"/>
        </w:rPr>
      </w:pPr>
      <w:r>
        <w:rPr>
          <w:rFonts w:ascii="Palatino Linotype" w:hAnsi="Palatino Linotype"/>
        </w:rPr>
        <w:tab/>
      </w:r>
      <w:r w:rsidRPr="00C06E53">
        <w:rPr>
          <w:rFonts w:ascii="Palatino Linotype" w:hAnsi="Palatino Linotype"/>
        </w:rPr>
        <w:t xml:space="preserve">Apesar da ausência de garantia, o credor por nota de crédito rural possui crédito privilegiado, nos termos do art. 28, do Decreto-Lei nº 167/67, sobre os bens que constavam no art. 1.568 do CC1916. O atual código civil não reproduziu texto equivalente, razão pela qual Arnaldo </w:t>
      </w:r>
      <w:proofErr w:type="spellStart"/>
      <w:r w:rsidRPr="00C06E53">
        <w:rPr>
          <w:rFonts w:ascii="Palatino Linotype" w:hAnsi="Palatino Linotype"/>
        </w:rPr>
        <w:t>Rizzardo</w:t>
      </w:r>
      <w:proofErr w:type="spellEnd"/>
      <w:r w:rsidRPr="00C06E53">
        <w:rPr>
          <w:rFonts w:ascii="Palatino Linotype" w:hAnsi="Palatino Linotype"/>
        </w:rPr>
        <w:t xml:space="preserve"> (2003, p. 242) afirma que o "privilégio, daí, é sobre os bens não sujeitos a garantias de outros créditos, ou não preferenciais em virtude de outras leis, como os trabalhistas e os fiscais". </w:t>
      </w:r>
    </w:p>
    <w:p w:rsidR="000E6663" w:rsidRPr="00C06E53" w:rsidRDefault="000E6663" w:rsidP="000E6663">
      <w:pPr>
        <w:tabs>
          <w:tab w:val="left" w:pos="1134"/>
        </w:tabs>
        <w:rPr>
          <w:rFonts w:ascii="Palatino Linotype" w:hAnsi="Palatino Linotype"/>
        </w:rPr>
      </w:pPr>
    </w:p>
    <w:p w:rsidR="000E6663" w:rsidRDefault="000E6663" w:rsidP="000E6663">
      <w:pPr>
        <w:pStyle w:val="Ttulo1"/>
        <w:numPr>
          <w:ilvl w:val="0"/>
          <w:numId w:val="0"/>
        </w:numPr>
      </w:pPr>
    </w:p>
    <w:p w:rsidR="000E6663" w:rsidRDefault="000E6663" w:rsidP="000E6663">
      <w:pPr>
        <w:pStyle w:val="Ttulo1"/>
        <w:numPr>
          <w:ilvl w:val="0"/>
          <w:numId w:val="0"/>
        </w:numPr>
      </w:pPr>
    </w:p>
    <w:p w:rsidR="000E6663" w:rsidRDefault="000E6663" w:rsidP="000E6663">
      <w:pPr>
        <w:pStyle w:val="Ttulo1"/>
        <w:numPr>
          <w:ilvl w:val="0"/>
          <w:numId w:val="0"/>
        </w:numPr>
      </w:pPr>
    </w:p>
    <w:p w:rsidR="000E6663" w:rsidRDefault="000E6663" w:rsidP="000E6663">
      <w:pPr>
        <w:pStyle w:val="Ttulo1"/>
        <w:numPr>
          <w:ilvl w:val="0"/>
          <w:numId w:val="0"/>
        </w:numPr>
      </w:pPr>
    </w:p>
    <w:p w:rsidR="000E6663" w:rsidRDefault="000E6663" w:rsidP="000E6663">
      <w:pPr>
        <w:pStyle w:val="Ttulo1"/>
        <w:numPr>
          <w:ilvl w:val="0"/>
          <w:numId w:val="0"/>
        </w:numPr>
      </w:pPr>
    </w:p>
    <w:p w:rsidR="000E6663" w:rsidRDefault="000E6663" w:rsidP="000E6663">
      <w:pPr>
        <w:pStyle w:val="Ttulo1"/>
        <w:numPr>
          <w:ilvl w:val="0"/>
          <w:numId w:val="0"/>
        </w:numPr>
      </w:pPr>
    </w:p>
    <w:p w:rsidR="000E6663" w:rsidRDefault="000E6663" w:rsidP="000E6663">
      <w:pPr>
        <w:pStyle w:val="Ttulo1"/>
        <w:numPr>
          <w:ilvl w:val="0"/>
          <w:numId w:val="0"/>
        </w:numPr>
      </w:pPr>
    </w:p>
    <w:p w:rsidR="000E6663" w:rsidRDefault="000E6663" w:rsidP="000E6663">
      <w:pPr>
        <w:pStyle w:val="Ttulo1"/>
        <w:numPr>
          <w:ilvl w:val="0"/>
          <w:numId w:val="0"/>
        </w:numPr>
      </w:pPr>
    </w:p>
    <w:p w:rsidR="000E6663" w:rsidRDefault="000E6663" w:rsidP="000E6663">
      <w:pPr>
        <w:pStyle w:val="Ttulo1"/>
        <w:numPr>
          <w:ilvl w:val="0"/>
          <w:numId w:val="0"/>
        </w:numPr>
      </w:pPr>
    </w:p>
    <w:p w:rsidR="000E6663" w:rsidRDefault="000E6663" w:rsidP="000E6663">
      <w:pPr>
        <w:pStyle w:val="Ttulo1"/>
        <w:numPr>
          <w:ilvl w:val="0"/>
          <w:numId w:val="0"/>
        </w:numPr>
      </w:pPr>
      <w:bookmarkStart w:id="17" w:name="_GoBack"/>
      <w:bookmarkEnd w:id="17"/>
    </w:p>
    <w:p w:rsidR="000E6663" w:rsidRDefault="000E6663" w:rsidP="000E6663">
      <w:pPr>
        <w:pStyle w:val="Ttulo1"/>
        <w:numPr>
          <w:ilvl w:val="0"/>
          <w:numId w:val="0"/>
        </w:numPr>
      </w:pPr>
    </w:p>
    <w:p w:rsidR="000E6663" w:rsidRPr="00C06E53" w:rsidRDefault="000E6663" w:rsidP="000E6663">
      <w:pPr>
        <w:pStyle w:val="Ttulo1"/>
        <w:numPr>
          <w:ilvl w:val="0"/>
          <w:numId w:val="0"/>
        </w:numPr>
      </w:pPr>
    </w:p>
    <w:p w:rsidR="000E6663" w:rsidRPr="00C06E53" w:rsidRDefault="000E6663" w:rsidP="000E6663">
      <w:pPr>
        <w:pStyle w:val="Ttulo1"/>
        <w:numPr>
          <w:ilvl w:val="0"/>
          <w:numId w:val="0"/>
        </w:numPr>
      </w:pPr>
    </w:p>
    <w:p w:rsidR="000E6663" w:rsidRPr="00C06E53" w:rsidRDefault="000E6663" w:rsidP="000E6663">
      <w:pPr>
        <w:pStyle w:val="Ttulo1"/>
        <w:numPr>
          <w:ilvl w:val="0"/>
          <w:numId w:val="0"/>
        </w:numPr>
      </w:pPr>
      <w:bookmarkStart w:id="18" w:name="_Toc362020673"/>
      <w:r w:rsidRPr="00C06E53">
        <w:t>REFERÊNCIAS</w:t>
      </w:r>
      <w:bookmarkEnd w:id="18"/>
    </w:p>
    <w:p w:rsidR="000E6663" w:rsidRPr="00C06E53" w:rsidRDefault="000E6663" w:rsidP="000E6663">
      <w:pPr>
        <w:tabs>
          <w:tab w:val="left" w:pos="1134"/>
        </w:tabs>
        <w:spacing w:line="240" w:lineRule="auto"/>
        <w:ind w:firstLine="0"/>
        <w:rPr>
          <w:rStyle w:val="RefernciaSutil"/>
          <w:rFonts w:ascii="Palatino Linotype" w:hAnsi="Palatino Linotype"/>
        </w:rPr>
      </w:pPr>
    </w:p>
    <w:p w:rsidR="000E6663" w:rsidRPr="00C06E53" w:rsidRDefault="000E6663" w:rsidP="000E6663">
      <w:pPr>
        <w:tabs>
          <w:tab w:val="left" w:pos="1134"/>
        </w:tabs>
        <w:spacing w:line="240" w:lineRule="auto"/>
        <w:ind w:firstLine="0"/>
        <w:rPr>
          <w:rStyle w:val="RefernciaSutil"/>
          <w:rFonts w:ascii="Palatino Linotype" w:hAnsi="Palatino Linotype"/>
        </w:rPr>
      </w:pPr>
      <w:r w:rsidRPr="00C06E53">
        <w:rPr>
          <w:rStyle w:val="RefernciaSutil"/>
          <w:rFonts w:ascii="Palatino Linotype" w:hAnsi="Palatino Linotype"/>
        </w:rPr>
        <w:t xml:space="preserve">ABRÃO, Nelson. </w:t>
      </w:r>
      <w:r w:rsidRPr="00C06E53">
        <w:rPr>
          <w:rStyle w:val="RefernciaSutil"/>
          <w:rFonts w:ascii="Palatino Linotype" w:hAnsi="Palatino Linotype"/>
          <w:b/>
        </w:rPr>
        <w:t>Direito bancário</w:t>
      </w:r>
      <w:r w:rsidRPr="00C06E53">
        <w:rPr>
          <w:rStyle w:val="RefernciaSutil"/>
          <w:rFonts w:ascii="Palatino Linotype" w:hAnsi="Palatino Linotype"/>
        </w:rPr>
        <w:t xml:space="preserve">. São Paulo: </w:t>
      </w:r>
      <w:proofErr w:type="gramStart"/>
      <w:r w:rsidRPr="00C06E53">
        <w:rPr>
          <w:rStyle w:val="RefernciaSutil"/>
          <w:rFonts w:ascii="Palatino Linotype" w:hAnsi="Palatino Linotype"/>
        </w:rPr>
        <w:t>Saraiva,</w:t>
      </w:r>
      <w:proofErr w:type="gramEnd"/>
      <w:r w:rsidRPr="00C06E53">
        <w:rPr>
          <w:rStyle w:val="RefernciaSutil"/>
          <w:rFonts w:ascii="Palatino Linotype" w:hAnsi="Palatino Linotype"/>
        </w:rPr>
        <w:t xml:space="preserve"> 2005.</w:t>
      </w:r>
    </w:p>
    <w:p w:rsidR="000E6663" w:rsidRPr="00C06E53" w:rsidRDefault="000E6663" w:rsidP="000E6663">
      <w:pPr>
        <w:tabs>
          <w:tab w:val="left" w:pos="1134"/>
        </w:tabs>
        <w:spacing w:line="240" w:lineRule="auto"/>
        <w:ind w:firstLine="0"/>
        <w:rPr>
          <w:rStyle w:val="RefernciaSutil"/>
          <w:rFonts w:ascii="Palatino Linotype" w:hAnsi="Palatino Linotype"/>
        </w:rPr>
      </w:pPr>
    </w:p>
    <w:p w:rsidR="000E6663" w:rsidRPr="00C06E53" w:rsidRDefault="000E6663" w:rsidP="000E6663">
      <w:pPr>
        <w:tabs>
          <w:tab w:val="left" w:pos="1134"/>
        </w:tabs>
        <w:spacing w:line="240" w:lineRule="auto"/>
        <w:ind w:firstLine="0"/>
        <w:rPr>
          <w:rStyle w:val="RefernciaSutil"/>
          <w:rFonts w:ascii="Palatino Linotype" w:hAnsi="Palatino Linotype"/>
        </w:rPr>
      </w:pPr>
      <w:r w:rsidRPr="00C06E53">
        <w:rPr>
          <w:rStyle w:val="RefernciaSutil"/>
          <w:rFonts w:ascii="Palatino Linotype" w:hAnsi="Palatino Linotype"/>
        </w:rPr>
        <w:t xml:space="preserve">ABRÃO, Nelson. </w:t>
      </w:r>
      <w:r w:rsidRPr="00C06E53">
        <w:rPr>
          <w:rStyle w:val="RefernciaSutil"/>
          <w:rFonts w:ascii="Palatino Linotype" w:hAnsi="Palatino Linotype"/>
          <w:b/>
        </w:rPr>
        <w:t>Direito bancário</w:t>
      </w:r>
      <w:r w:rsidRPr="00C06E53">
        <w:rPr>
          <w:rStyle w:val="RefernciaSutil"/>
          <w:rFonts w:ascii="Palatino Linotype" w:hAnsi="Palatino Linotype"/>
        </w:rPr>
        <w:t xml:space="preserve">. São Paulo: </w:t>
      </w:r>
      <w:proofErr w:type="gramStart"/>
      <w:r w:rsidRPr="00C06E53">
        <w:rPr>
          <w:rStyle w:val="RefernciaSutil"/>
          <w:rFonts w:ascii="Palatino Linotype" w:hAnsi="Palatino Linotype"/>
        </w:rPr>
        <w:t>Saraiva,</w:t>
      </w:r>
      <w:proofErr w:type="gramEnd"/>
      <w:r w:rsidRPr="00C06E53">
        <w:rPr>
          <w:rStyle w:val="RefernciaSutil"/>
          <w:rFonts w:ascii="Palatino Linotype" w:hAnsi="Palatino Linotype"/>
        </w:rPr>
        <w:t xml:space="preserve"> 2011.</w:t>
      </w:r>
    </w:p>
    <w:p w:rsidR="000E6663" w:rsidRPr="00C06E53" w:rsidRDefault="000E6663" w:rsidP="000E6663">
      <w:pPr>
        <w:tabs>
          <w:tab w:val="left" w:pos="1134"/>
        </w:tabs>
        <w:spacing w:line="240" w:lineRule="auto"/>
        <w:ind w:firstLine="0"/>
        <w:rPr>
          <w:rStyle w:val="RefernciaSutil"/>
          <w:rFonts w:ascii="Palatino Linotype" w:hAnsi="Palatino Linotype"/>
        </w:rPr>
      </w:pPr>
    </w:p>
    <w:p w:rsidR="000E6663" w:rsidRPr="00C06E53" w:rsidRDefault="000E6663" w:rsidP="000E6663">
      <w:pPr>
        <w:tabs>
          <w:tab w:val="left" w:pos="1134"/>
        </w:tabs>
        <w:spacing w:line="240" w:lineRule="auto"/>
        <w:ind w:firstLine="0"/>
        <w:rPr>
          <w:rStyle w:val="RefernciaSutil"/>
          <w:rFonts w:ascii="Palatino Linotype" w:hAnsi="Palatino Linotype"/>
        </w:rPr>
      </w:pPr>
      <w:r w:rsidRPr="00C06E53">
        <w:rPr>
          <w:rStyle w:val="RefernciaSutil"/>
          <w:rFonts w:ascii="Palatino Linotype" w:hAnsi="Palatino Linotype"/>
        </w:rPr>
        <w:t xml:space="preserve">RIZZARDO, Arnaldo. </w:t>
      </w:r>
      <w:r w:rsidRPr="00C06E53">
        <w:rPr>
          <w:rStyle w:val="RefernciaSutil"/>
          <w:rFonts w:ascii="Palatino Linotype" w:hAnsi="Palatino Linotype"/>
          <w:b/>
        </w:rPr>
        <w:t>Contratos de crédito bancário</w:t>
      </w:r>
      <w:r w:rsidRPr="00C06E53">
        <w:rPr>
          <w:rStyle w:val="RefernciaSutil"/>
          <w:rFonts w:ascii="Palatino Linotype" w:hAnsi="Palatino Linotype"/>
        </w:rPr>
        <w:t>. São Paulo: Editora RT, 2003.</w:t>
      </w:r>
    </w:p>
    <w:p w:rsidR="000E6663" w:rsidRPr="00C06E53" w:rsidRDefault="000E6663" w:rsidP="000E6663">
      <w:pPr>
        <w:tabs>
          <w:tab w:val="left" w:pos="1134"/>
        </w:tabs>
        <w:spacing w:line="240" w:lineRule="auto"/>
        <w:ind w:firstLine="0"/>
        <w:rPr>
          <w:rStyle w:val="RefernciaSutil"/>
          <w:rFonts w:ascii="Palatino Linotype" w:hAnsi="Palatino Linotype"/>
        </w:rPr>
      </w:pPr>
    </w:p>
    <w:p w:rsidR="00A25FD7" w:rsidRDefault="00A25FD7"/>
    <w:sectPr w:rsidR="00A25F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4E3" w:rsidRDefault="006F44E3" w:rsidP="000E6663">
      <w:pPr>
        <w:spacing w:line="240" w:lineRule="auto"/>
      </w:pPr>
      <w:r>
        <w:separator/>
      </w:r>
    </w:p>
  </w:endnote>
  <w:endnote w:type="continuationSeparator" w:id="0">
    <w:p w:rsidR="006F44E3" w:rsidRDefault="006F44E3" w:rsidP="000E6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4E3" w:rsidRDefault="006F44E3" w:rsidP="000E6663">
      <w:pPr>
        <w:spacing w:line="240" w:lineRule="auto"/>
      </w:pPr>
      <w:r>
        <w:separator/>
      </w:r>
    </w:p>
  </w:footnote>
  <w:footnote w:type="continuationSeparator" w:id="0">
    <w:p w:rsidR="006F44E3" w:rsidRDefault="006F44E3" w:rsidP="000E6663">
      <w:pPr>
        <w:spacing w:line="240" w:lineRule="auto"/>
      </w:pPr>
      <w:r>
        <w:continuationSeparator/>
      </w:r>
    </w:p>
  </w:footnote>
  <w:footnote w:id="1">
    <w:p w:rsidR="000E6663" w:rsidRDefault="000E6663" w:rsidP="000E6663">
      <w:pPr>
        <w:pStyle w:val="Textodenotaderodap"/>
        <w:jc w:val="both"/>
      </w:pPr>
      <w:r>
        <w:rPr>
          <w:rStyle w:val="Refdenotaderodap"/>
        </w:rPr>
        <w:footnoteRef/>
      </w:r>
      <w:r>
        <w:t xml:space="preserve"> Nos termos do decreto nº 58.380/1966, o Sistema Nacional de Crédito Rural é composto pelo Banco Central do Brasil, o Banco do Brasil S.A., através de suas carteiras especializadas, </w:t>
      </w:r>
      <w:r w:rsidRPr="003C748B">
        <w:t>O Banco de Crédito da Amazônia S.A. e o Banco do Nordeste do Brasil S.A., através de suas carteiras ou departamentos especializados, e O Banco Nacional de Crédito Cooperativo.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16AA9"/>
    <w:multiLevelType w:val="multilevel"/>
    <w:tmpl w:val="290C04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2AD4012"/>
    <w:multiLevelType w:val="multilevel"/>
    <w:tmpl w:val="3FC620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663"/>
    <w:rsid w:val="000E6663"/>
    <w:rsid w:val="006F44E3"/>
    <w:rsid w:val="00A25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63"/>
    <w:pPr>
      <w:spacing w:after="0" w:line="360" w:lineRule="auto"/>
      <w:ind w:firstLine="709"/>
      <w:jc w:val="both"/>
    </w:pPr>
    <w:rPr>
      <w:rFonts w:ascii="Times New Roman" w:eastAsia="Calibri" w:hAnsi="Times New Roman" w:cs="Times New Roman"/>
      <w:color w:val="000000"/>
      <w:sz w:val="24"/>
    </w:rPr>
  </w:style>
  <w:style w:type="paragraph" w:styleId="Ttulo1">
    <w:name w:val="heading 1"/>
    <w:basedOn w:val="Heading1"/>
    <w:link w:val="Ttulo1Char"/>
    <w:autoRedefine/>
    <w:uiPriority w:val="9"/>
    <w:qFormat/>
    <w:rsid w:val="000E6663"/>
    <w:pPr>
      <w:tabs>
        <w:tab w:val="left" w:pos="1134"/>
      </w:tabs>
      <w:ind w:left="0" w:firstLine="0"/>
      <w:outlineLvl w:val="0"/>
    </w:pPr>
    <w:rPr>
      <w:b/>
      <w:caps/>
    </w:rPr>
  </w:style>
  <w:style w:type="paragraph" w:styleId="Ttulo2">
    <w:name w:val="heading 2"/>
    <w:basedOn w:val="Heading2"/>
    <w:next w:val="Normal"/>
    <w:link w:val="Ttulo2Char"/>
    <w:uiPriority w:val="9"/>
    <w:unhideWhenUsed/>
    <w:qFormat/>
    <w:rsid w:val="000E6663"/>
    <w:pPr>
      <w:outlineLvl w:val="1"/>
    </w:pPr>
    <w:rPr>
      <w:b/>
    </w:rPr>
  </w:style>
  <w:style w:type="paragraph" w:styleId="Ttulo3">
    <w:name w:val="heading 3"/>
    <w:basedOn w:val="Heading3"/>
    <w:next w:val="Normal"/>
    <w:link w:val="Ttulo3Char"/>
    <w:uiPriority w:val="9"/>
    <w:unhideWhenUsed/>
    <w:qFormat/>
    <w:rsid w:val="000E6663"/>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6663"/>
    <w:rPr>
      <w:rFonts w:ascii="Times New Roman" w:eastAsia="Calibri" w:hAnsi="Times New Roman" w:cs="Times New Roman"/>
      <w:b/>
      <w:caps/>
      <w:color w:val="000000"/>
      <w:sz w:val="24"/>
    </w:rPr>
  </w:style>
  <w:style w:type="character" w:customStyle="1" w:styleId="Ttulo2Char">
    <w:name w:val="Título 2 Char"/>
    <w:basedOn w:val="Fontepargpadro"/>
    <w:link w:val="Ttulo2"/>
    <w:uiPriority w:val="9"/>
    <w:rsid w:val="000E6663"/>
    <w:rPr>
      <w:rFonts w:ascii="Times New Roman" w:eastAsia="Calibri" w:hAnsi="Times New Roman" w:cs="Times New Roman"/>
      <w:b/>
      <w:color w:val="000000"/>
      <w:sz w:val="24"/>
    </w:rPr>
  </w:style>
  <w:style w:type="character" w:customStyle="1" w:styleId="Ttulo3Char">
    <w:name w:val="Título 3 Char"/>
    <w:basedOn w:val="Fontepargpadro"/>
    <w:link w:val="Ttulo3"/>
    <w:uiPriority w:val="9"/>
    <w:rsid w:val="000E6663"/>
    <w:rPr>
      <w:rFonts w:ascii="Times New Roman" w:eastAsia="Calibri" w:hAnsi="Times New Roman" w:cs="Times New Roman"/>
      <w:color w:val="000000"/>
      <w:sz w:val="24"/>
    </w:rPr>
  </w:style>
  <w:style w:type="paragraph" w:customStyle="1" w:styleId="Heading1">
    <w:name w:val="Heading 1"/>
    <w:basedOn w:val="Normal"/>
    <w:rsid w:val="000E6663"/>
    <w:pPr>
      <w:numPr>
        <w:numId w:val="1"/>
      </w:numPr>
    </w:pPr>
  </w:style>
  <w:style w:type="paragraph" w:customStyle="1" w:styleId="Heading2">
    <w:name w:val="Heading 2"/>
    <w:basedOn w:val="Normal"/>
    <w:rsid w:val="000E6663"/>
    <w:pPr>
      <w:numPr>
        <w:ilvl w:val="1"/>
        <w:numId w:val="1"/>
      </w:numPr>
    </w:pPr>
  </w:style>
  <w:style w:type="paragraph" w:customStyle="1" w:styleId="Heading3">
    <w:name w:val="Heading 3"/>
    <w:basedOn w:val="Normal"/>
    <w:rsid w:val="000E6663"/>
    <w:pPr>
      <w:numPr>
        <w:ilvl w:val="2"/>
        <w:numId w:val="1"/>
      </w:numPr>
    </w:pPr>
  </w:style>
  <w:style w:type="paragraph" w:customStyle="1" w:styleId="Heading4">
    <w:name w:val="Heading 4"/>
    <w:basedOn w:val="Normal"/>
    <w:rsid w:val="000E6663"/>
    <w:pPr>
      <w:numPr>
        <w:ilvl w:val="3"/>
        <w:numId w:val="1"/>
      </w:numPr>
    </w:pPr>
  </w:style>
  <w:style w:type="paragraph" w:customStyle="1" w:styleId="Heading5">
    <w:name w:val="Heading 5"/>
    <w:basedOn w:val="Normal"/>
    <w:rsid w:val="000E6663"/>
    <w:pPr>
      <w:numPr>
        <w:ilvl w:val="4"/>
        <w:numId w:val="1"/>
      </w:numPr>
    </w:pPr>
  </w:style>
  <w:style w:type="paragraph" w:customStyle="1" w:styleId="Heading6">
    <w:name w:val="Heading 6"/>
    <w:basedOn w:val="Normal"/>
    <w:rsid w:val="000E6663"/>
    <w:pPr>
      <w:numPr>
        <w:ilvl w:val="5"/>
        <w:numId w:val="1"/>
      </w:numPr>
    </w:pPr>
  </w:style>
  <w:style w:type="paragraph" w:customStyle="1" w:styleId="Heading7">
    <w:name w:val="Heading 7"/>
    <w:basedOn w:val="Normal"/>
    <w:rsid w:val="000E6663"/>
    <w:pPr>
      <w:numPr>
        <w:ilvl w:val="6"/>
        <w:numId w:val="1"/>
      </w:numPr>
    </w:pPr>
  </w:style>
  <w:style w:type="paragraph" w:customStyle="1" w:styleId="Heading8">
    <w:name w:val="Heading 8"/>
    <w:basedOn w:val="Normal"/>
    <w:rsid w:val="000E6663"/>
    <w:pPr>
      <w:numPr>
        <w:ilvl w:val="7"/>
        <w:numId w:val="1"/>
      </w:numPr>
    </w:pPr>
  </w:style>
  <w:style w:type="paragraph" w:customStyle="1" w:styleId="Heading9">
    <w:name w:val="Heading 9"/>
    <w:basedOn w:val="Normal"/>
    <w:rsid w:val="000E6663"/>
    <w:pPr>
      <w:numPr>
        <w:ilvl w:val="8"/>
        <w:numId w:val="1"/>
      </w:numPr>
    </w:pPr>
  </w:style>
  <w:style w:type="paragraph" w:styleId="Textodenotaderodap">
    <w:name w:val="footnote text"/>
    <w:basedOn w:val="Normal"/>
    <w:link w:val="TextodenotaderodapChar"/>
    <w:uiPriority w:val="99"/>
    <w:semiHidden/>
    <w:unhideWhenUsed/>
    <w:rsid w:val="000E6663"/>
    <w:pPr>
      <w:spacing w:line="240" w:lineRule="auto"/>
      <w:ind w:firstLine="0"/>
      <w:jc w:val="left"/>
    </w:pPr>
    <w:rPr>
      <w:sz w:val="20"/>
      <w:szCs w:val="20"/>
    </w:rPr>
  </w:style>
  <w:style w:type="character" w:customStyle="1" w:styleId="TextodenotaderodapChar">
    <w:name w:val="Texto de nota de rodapé Char"/>
    <w:basedOn w:val="Fontepargpadro"/>
    <w:link w:val="Textodenotaderodap"/>
    <w:uiPriority w:val="99"/>
    <w:semiHidden/>
    <w:rsid w:val="000E6663"/>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rsid w:val="000E6663"/>
    <w:rPr>
      <w:vertAlign w:val="superscript"/>
    </w:rPr>
  </w:style>
  <w:style w:type="paragraph" w:styleId="Citao">
    <w:name w:val="Quote"/>
    <w:basedOn w:val="NormalWeb"/>
    <w:next w:val="Normal"/>
    <w:link w:val="CitaoChar"/>
    <w:uiPriority w:val="29"/>
    <w:qFormat/>
    <w:rsid w:val="000E6663"/>
    <w:pPr>
      <w:spacing w:line="240" w:lineRule="auto"/>
      <w:ind w:left="2268" w:firstLine="0"/>
    </w:pPr>
    <w:rPr>
      <w:rFonts w:eastAsia="Times New Roman"/>
      <w:sz w:val="20"/>
      <w:szCs w:val="20"/>
      <w:lang w:eastAsia="pt-BR"/>
    </w:rPr>
  </w:style>
  <w:style w:type="character" w:customStyle="1" w:styleId="CitaoChar">
    <w:name w:val="Citação Char"/>
    <w:basedOn w:val="Fontepargpadro"/>
    <w:link w:val="Citao"/>
    <w:uiPriority w:val="29"/>
    <w:rsid w:val="000E6663"/>
    <w:rPr>
      <w:rFonts w:ascii="Times New Roman" w:eastAsia="Times New Roman" w:hAnsi="Times New Roman" w:cs="Times New Roman"/>
      <w:color w:val="000000"/>
      <w:sz w:val="20"/>
      <w:szCs w:val="20"/>
      <w:lang w:eastAsia="pt-BR"/>
    </w:rPr>
  </w:style>
  <w:style w:type="character" w:styleId="RefernciaSutil">
    <w:name w:val="Subtle Reference"/>
    <w:uiPriority w:val="31"/>
    <w:qFormat/>
    <w:rsid w:val="000E6663"/>
  </w:style>
  <w:style w:type="paragraph" w:styleId="NormalWeb">
    <w:name w:val="Normal (Web)"/>
    <w:basedOn w:val="Normal"/>
    <w:uiPriority w:val="99"/>
    <w:semiHidden/>
    <w:unhideWhenUsed/>
    <w:rsid w:val="000E6663"/>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63"/>
    <w:pPr>
      <w:spacing w:after="0" w:line="360" w:lineRule="auto"/>
      <w:ind w:firstLine="709"/>
      <w:jc w:val="both"/>
    </w:pPr>
    <w:rPr>
      <w:rFonts w:ascii="Times New Roman" w:eastAsia="Calibri" w:hAnsi="Times New Roman" w:cs="Times New Roman"/>
      <w:color w:val="000000"/>
      <w:sz w:val="24"/>
    </w:rPr>
  </w:style>
  <w:style w:type="paragraph" w:styleId="Ttulo1">
    <w:name w:val="heading 1"/>
    <w:basedOn w:val="Heading1"/>
    <w:link w:val="Ttulo1Char"/>
    <w:autoRedefine/>
    <w:uiPriority w:val="9"/>
    <w:qFormat/>
    <w:rsid w:val="000E6663"/>
    <w:pPr>
      <w:tabs>
        <w:tab w:val="left" w:pos="1134"/>
      </w:tabs>
      <w:ind w:left="0" w:firstLine="0"/>
      <w:outlineLvl w:val="0"/>
    </w:pPr>
    <w:rPr>
      <w:b/>
      <w:caps/>
    </w:rPr>
  </w:style>
  <w:style w:type="paragraph" w:styleId="Ttulo2">
    <w:name w:val="heading 2"/>
    <w:basedOn w:val="Heading2"/>
    <w:next w:val="Normal"/>
    <w:link w:val="Ttulo2Char"/>
    <w:uiPriority w:val="9"/>
    <w:unhideWhenUsed/>
    <w:qFormat/>
    <w:rsid w:val="000E6663"/>
    <w:pPr>
      <w:outlineLvl w:val="1"/>
    </w:pPr>
    <w:rPr>
      <w:b/>
    </w:rPr>
  </w:style>
  <w:style w:type="paragraph" w:styleId="Ttulo3">
    <w:name w:val="heading 3"/>
    <w:basedOn w:val="Heading3"/>
    <w:next w:val="Normal"/>
    <w:link w:val="Ttulo3Char"/>
    <w:uiPriority w:val="9"/>
    <w:unhideWhenUsed/>
    <w:qFormat/>
    <w:rsid w:val="000E6663"/>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6663"/>
    <w:rPr>
      <w:rFonts w:ascii="Times New Roman" w:eastAsia="Calibri" w:hAnsi="Times New Roman" w:cs="Times New Roman"/>
      <w:b/>
      <w:caps/>
      <w:color w:val="000000"/>
      <w:sz w:val="24"/>
    </w:rPr>
  </w:style>
  <w:style w:type="character" w:customStyle="1" w:styleId="Ttulo2Char">
    <w:name w:val="Título 2 Char"/>
    <w:basedOn w:val="Fontepargpadro"/>
    <w:link w:val="Ttulo2"/>
    <w:uiPriority w:val="9"/>
    <w:rsid w:val="000E6663"/>
    <w:rPr>
      <w:rFonts w:ascii="Times New Roman" w:eastAsia="Calibri" w:hAnsi="Times New Roman" w:cs="Times New Roman"/>
      <w:b/>
      <w:color w:val="000000"/>
      <w:sz w:val="24"/>
    </w:rPr>
  </w:style>
  <w:style w:type="character" w:customStyle="1" w:styleId="Ttulo3Char">
    <w:name w:val="Título 3 Char"/>
    <w:basedOn w:val="Fontepargpadro"/>
    <w:link w:val="Ttulo3"/>
    <w:uiPriority w:val="9"/>
    <w:rsid w:val="000E6663"/>
    <w:rPr>
      <w:rFonts w:ascii="Times New Roman" w:eastAsia="Calibri" w:hAnsi="Times New Roman" w:cs="Times New Roman"/>
      <w:color w:val="000000"/>
      <w:sz w:val="24"/>
    </w:rPr>
  </w:style>
  <w:style w:type="paragraph" w:customStyle="1" w:styleId="Heading1">
    <w:name w:val="Heading 1"/>
    <w:basedOn w:val="Normal"/>
    <w:rsid w:val="000E6663"/>
    <w:pPr>
      <w:numPr>
        <w:numId w:val="1"/>
      </w:numPr>
    </w:pPr>
  </w:style>
  <w:style w:type="paragraph" w:customStyle="1" w:styleId="Heading2">
    <w:name w:val="Heading 2"/>
    <w:basedOn w:val="Normal"/>
    <w:rsid w:val="000E6663"/>
    <w:pPr>
      <w:numPr>
        <w:ilvl w:val="1"/>
        <w:numId w:val="1"/>
      </w:numPr>
    </w:pPr>
  </w:style>
  <w:style w:type="paragraph" w:customStyle="1" w:styleId="Heading3">
    <w:name w:val="Heading 3"/>
    <w:basedOn w:val="Normal"/>
    <w:rsid w:val="000E6663"/>
    <w:pPr>
      <w:numPr>
        <w:ilvl w:val="2"/>
        <w:numId w:val="1"/>
      </w:numPr>
    </w:pPr>
  </w:style>
  <w:style w:type="paragraph" w:customStyle="1" w:styleId="Heading4">
    <w:name w:val="Heading 4"/>
    <w:basedOn w:val="Normal"/>
    <w:rsid w:val="000E6663"/>
    <w:pPr>
      <w:numPr>
        <w:ilvl w:val="3"/>
        <w:numId w:val="1"/>
      </w:numPr>
    </w:pPr>
  </w:style>
  <w:style w:type="paragraph" w:customStyle="1" w:styleId="Heading5">
    <w:name w:val="Heading 5"/>
    <w:basedOn w:val="Normal"/>
    <w:rsid w:val="000E6663"/>
    <w:pPr>
      <w:numPr>
        <w:ilvl w:val="4"/>
        <w:numId w:val="1"/>
      </w:numPr>
    </w:pPr>
  </w:style>
  <w:style w:type="paragraph" w:customStyle="1" w:styleId="Heading6">
    <w:name w:val="Heading 6"/>
    <w:basedOn w:val="Normal"/>
    <w:rsid w:val="000E6663"/>
    <w:pPr>
      <w:numPr>
        <w:ilvl w:val="5"/>
        <w:numId w:val="1"/>
      </w:numPr>
    </w:pPr>
  </w:style>
  <w:style w:type="paragraph" w:customStyle="1" w:styleId="Heading7">
    <w:name w:val="Heading 7"/>
    <w:basedOn w:val="Normal"/>
    <w:rsid w:val="000E6663"/>
    <w:pPr>
      <w:numPr>
        <w:ilvl w:val="6"/>
        <w:numId w:val="1"/>
      </w:numPr>
    </w:pPr>
  </w:style>
  <w:style w:type="paragraph" w:customStyle="1" w:styleId="Heading8">
    <w:name w:val="Heading 8"/>
    <w:basedOn w:val="Normal"/>
    <w:rsid w:val="000E6663"/>
    <w:pPr>
      <w:numPr>
        <w:ilvl w:val="7"/>
        <w:numId w:val="1"/>
      </w:numPr>
    </w:pPr>
  </w:style>
  <w:style w:type="paragraph" w:customStyle="1" w:styleId="Heading9">
    <w:name w:val="Heading 9"/>
    <w:basedOn w:val="Normal"/>
    <w:rsid w:val="000E6663"/>
    <w:pPr>
      <w:numPr>
        <w:ilvl w:val="8"/>
        <w:numId w:val="1"/>
      </w:numPr>
    </w:pPr>
  </w:style>
  <w:style w:type="paragraph" w:styleId="Textodenotaderodap">
    <w:name w:val="footnote text"/>
    <w:basedOn w:val="Normal"/>
    <w:link w:val="TextodenotaderodapChar"/>
    <w:uiPriority w:val="99"/>
    <w:semiHidden/>
    <w:unhideWhenUsed/>
    <w:rsid w:val="000E6663"/>
    <w:pPr>
      <w:spacing w:line="240" w:lineRule="auto"/>
      <w:ind w:firstLine="0"/>
      <w:jc w:val="left"/>
    </w:pPr>
    <w:rPr>
      <w:sz w:val="20"/>
      <w:szCs w:val="20"/>
    </w:rPr>
  </w:style>
  <w:style w:type="character" w:customStyle="1" w:styleId="TextodenotaderodapChar">
    <w:name w:val="Texto de nota de rodapé Char"/>
    <w:basedOn w:val="Fontepargpadro"/>
    <w:link w:val="Textodenotaderodap"/>
    <w:uiPriority w:val="99"/>
    <w:semiHidden/>
    <w:rsid w:val="000E6663"/>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rsid w:val="000E6663"/>
    <w:rPr>
      <w:vertAlign w:val="superscript"/>
    </w:rPr>
  </w:style>
  <w:style w:type="paragraph" w:styleId="Citao">
    <w:name w:val="Quote"/>
    <w:basedOn w:val="NormalWeb"/>
    <w:next w:val="Normal"/>
    <w:link w:val="CitaoChar"/>
    <w:uiPriority w:val="29"/>
    <w:qFormat/>
    <w:rsid w:val="000E6663"/>
    <w:pPr>
      <w:spacing w:line="240" w:lineRule="auto"/>
      <w:ind w:left="2268" w:firstLine="0"/>
    </w:pPr>
    <w:rPr>
      <w:rFonts w:eastAsia="Times New Roman"/>
      <w:sz w:val="20"/>
      <w:szCs w:val="20"/>
      <w:lang w:eastAsia="pt-BR"/>
    </w:rPr>
  </w:style>
  <w:style w:type="character" w:customStyle="1" w:styleId="CitaoChar">
    <w:name w:val="Citação Char"/>
    <w:basedOn w:val="Fontepargpadro"/>
    <w:link w:val="Citao"/>
    <w:uiPriority w:val="29"/>
    <w:rsid w:val="000E6663"/>
    <w:rPr>
      <w:rFonts w:ascii="Times New Roman" w:eastAsia="Times New Roman" w:hAnsi="Times New Roman" w:cs="Times New Roman"/>
      <w:color w:val="000000"/>
      <w:sz w:val="20"/>
      <w:szCs w:val="20"/>
      <w:lang w:eastAsia="pt-BR"/>
    </w:rPr>
  </w:style>
  <w:style w:type="character" w:styleId="RefernciaSutil">
    <w:name w:val="Subtle Reference"/>
    <w:uiPriority w:val="31"/>
    <w:qFormat/>
    <w:rsid w:val="000E6663"/>
  </w:style>
  <w:style w:type="paragraph" w:styleId="NormalWeb">
    <w:name w:val="Normal (Web)"/>
    <w:basedOn w:val="Normal"/>
    <w:uiPriority w:val="99"/>
    <w:semiHidden/>
    <w:unhideWhenUsed/>
    <w:rsid w:val="000E666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6267</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IMOBILIARIA 2</dc:creator>
  <cp:lastModifiedBy>IMOBILIARIA 2</cp:lastModifiedBy>
  <cp:revision>1</cp:revision>
  <dcterms:created xsi:type="dcterms:W3CDTF">2013-11-13T15:32:00Z</dcterms:created>
  <dcterms:modified xsi:type="dcterms:W3CDTF">2013-11-13T15:33:00Z</dcterms:modified>
</cp:coreProperties>
</file>