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Garamond" w:hAnsi="Garamond" w:cs="Times New Roman"/>
          <w:noProof/>
          <w:sz w:val="24"/>
          <w:szCs w:val="24"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haracter">
              <wp:posOffset>-127635</wp:posOffset>
            </wp:positionH>
            <wp:positionV relativeFrom="line">
              <wp:posOffset>-276860</wp:posOffset>
            </wp:positionV>
            <wp:extent cx="1438275" cy="619125"/>
            <wp:effectExtent l="19050" t="0" r="9525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Times New Roman"/>
          <w:sz w:val="24"/>
          <w:szCs w:val="24"/>
        </w:rPr>
        <w:t xml:space="preserve">  </w:t>
      </w:r>
      <w:r>
        <w:rPr>
          <w:rFonts w:ascii="Garamond" w:hAnsi="Garamond" w:cs="Times New Roman"/>
          <w:sz w:val="24"/>
          <w:szCs w:val="24"/>
        </w:rPr>
        <w:t xml:space="preserve">FUNDAÇÃO DE </w:t>
      </w:r>
      <w:r>
        <w:rPr>
          <w:rFonts w:ascii="Garamond" w:hAnsi="Garamond" w:cs="Times New Roman"/>
          <w:sz w:val="24"/>
          <w:szCs w:val="24"/>
        </w:rPr>
        <w:t xml:space="preserve">ENSINO SUPERIOR DE CAJAZEIRAS – </w:t>
      </w:r>
      <w:r>
        <w:rPr>
          <w:rFonts w:ascii="Garamond" w:hAnsi="Garamond" w:cs="Times New Roman"/>
          <w:sz w:val="24"/>
          <w:szCs w:val="24"/>
        </w:rPr>
        <w:t>FESC</w:t>
      </w:r>
    </w:p>
    <w:p w:rsidR="001233DD" w:rsidRDefault="00E01241">
      <w:pPr>
        <w:pStyle w:val="Estilopadro"/>
        <w:spacing w:after="0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 xml:space="preserve">FACULDADE DE FILOSOFIA, CIÊNCIAS E LETRAS DE            </w:t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  <w:proofErr w:type="gramStart"/>
      <w:r>
        <w:rPr>
          <w:rFonts w:ascii="Garamond" w:hAnsi="Garamond" w:cs="Times New Roman"/>
          <w:sz w:val="24"/>
          <w:szCs w:val="24"/>
        </w:rPr>
        <w:t xml:space="preserve">    </w:t>
      </w:r>
      <w:proofErr w:type="gramEnd"/>
      <w:r>
        <w:rPr>
          <w:rFonts w:ascii="Garamond" w:hAnsi="Garamond" w:cs="Times New Roman"/>
          <w:sz w:val="24"/>
          <w:szCs w:val="24"/>
        </w:rPr>
        <w:t>CAJAZEIRAS – FAFIC</w:t>
      </w:r>
    </w:p>
    <w:p w:rsidR="001233DD" w:rsidRDefault="00E01241">
      <w:pPr>
        <w:pStyle w:val="Estilopadro"/>
        <w:spacing w:after="0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>BACHARELADO EM CIÊNCIAS JURÍDICAS E SOCIAIS – DIREITO</w:t>
      </w:r>
    </w:p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>DISCIPLINA: DIREITO CONSTITUCIONAL II</w:t>
      </w:r>
    </w:p>
    <w:p w:rsidR="001233DD" w:rsidRDefault="00E01241">
      <w:pPr>
        <w:pStyle w:val="Estilopadro"/>
        <w:spacing w:after="0" w:line="100" w:lineRule="atLeast"/>
        <w:ind w:firstLine="0"/>
        <w:jc w:val="left"/>
      </w:pPr>
      <w:proofErr w:type="gramStart"/>
      <w:r>
        <w:rPr>
          <w:rFonts w:ascii="Garamond" w:hAnsi="Garamond" w:cs="Times New Roman"/>
          <w:sz w:val="24"/>
          <w:szCs w:val="24"/>
        </w:rPr>
        <w:t>PROF.</w:t>
      </w:r>
      <w:proofErr w:type="gramEnd"/>
      <w:r>
        <w:rPr>
          <w:rFonts w:ascii="Garamond" w:hAnsi="Garamond" w:cs="Times New Roman"/>
          <w:sz w:val="24"/>
          <w:szCs w:val="24"/>
        </w:rPr>
        <w:t xml:space="preserve">º MS. GERALDO BATISTA </w:t>
      </w:r>
      <w:r>
        <w:rPr>
          <w:rFonts w:ascii="Garamond" w:hAnsi="Garamond" w:cs="Times New Roman"/>
          <w:sz w:val="24"/>
          <w:szCs w:val="24"/>
        </w:rPr>
        <w:t>JUNIOR</w:t>
      </w: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E01241">
      <w:pPr>
        <w:pStyle w:val="Estilopadro"/>
        <w:spacing w:after="0" w:line="360" w:lineRule="auto"/>
        <w:ind w:firstLine="0"/>
        <w:jc w:val="center"/>
      </w:pPr>
      <w:r>
        <w:rPr>
          <w:rFonts w:ascii="Palatino Linotype" w:hAnsi="Palatino Linotype" w:cs="Times New Roman"/>
          <w:b/>
          <w:sz w:val="24"/>
          <w:szCs w:val="24"/>
        </w:rPr>
        <w:t>A ESTABILIDADE DOS SERVIDORES PÚBLICOS</w:t>
      </w: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E01241">
      <w:pPr>
        <w:pStyle w:val="Estilopadro"/>
        <w:spacing w:after="0" w:line="100" w:lineRule="atLeast"/>
        <w:ind w:firstLine="0"/>
        <w:jc w:val="center"/>
      </w:pPr>
      <w:r>
        <w:rPr>
          <w:rFonts w:ascii="Palatino Linotype" w:hAnsi="Palatino Linotype" w:cs="Times New Roman"/>
          <w:sz w:val="24"/>
          <w:szCs w:val="24"/>
        </w:rPr>
        <w:t>WEMERSON LEANDRO DE LUNA</w:t>
      </w:r>
    </w:p>
    <w:p w:rsidR="001233DD" w:rsidRDefault="00E01241">
      <w:pPr>
        <w:pStyle w:val="Estilopadro"/>
        <w:spacing w:after="0" w:line="360" w:lineRule="auto"/>
        <w:ind w:firstLine="0"/>
        <w:jc w:val="center"/>
      </w:pPr>
      <w:r>
        <w:rPr>
          <w:rFonts w:ascii="Palatino Linotype" w:hAnsi="Palatino Linotype" w:cs="Times New Roman"/>
          <w:sz w:val="24"/>
          <w:szCs w:val="24"/>
        </w:rPr>
        <w:t>Cajazeiras, setembro/2013</w:t>
      </w: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1233DD">
      <w:pPr>
        <w:pStyle w:val="Estilopadro"/>
        <w:spacing w:after="0" w:line="100" w:lineRule="atLeast"/>
        <w:ind w:firstLine="0"/>
        <w:jc w:val="left"/>
      </w:pPr>
    </w:p>
    <w:p w:rsidR="001233DD" w:rsidRDefault="001233DD">
      <w:pPr>
        <w:pStyle w:val="Estilopadro"/>
        <w:spacing w:after="0" w:line="100" w:lineRule="atLeast"/>
        <w:ind w:firstLine="0"/>
        <w:jc w:val="left"/>
      </w:pPr>
    </w:p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>FUNDAÇÃO DE ENSINO SUPERIOR DE CAJAZEIRAS – FESC</w:t>
      </w:r>
    </w:p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>FACULDADE DE FILOSOFIA, CIÊNCIAS E LETRAS DE CAJAZEIRAS - FAFIC</w:t>
      </w:r>
    </w:p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>BACHARELADO EM CIÊNCIAS</w:t>
      </w:r>
      <w:r>
        <w:rPr>
          <w:rFonts w:ascii="Garamond" w:hAnsi="Garamond" w:cs="Times New Roman"/>
          <w:sz w:val="24"/>
          <w:szCs w:val="24"/>
        </w:rPr>
        <w:t xml:space="preserve"> JURÍDICAS E SOCIAIS – DIREITO</w:t>
      </w:r>
    </w:p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Garamond" w:hAnsi="Garamond" w:cs="Times New Roman"/>
          <w:sz w:val="24"/>
          <w:szCs w:val="24"/>
        </w:rPr>
        <w:t xml:space="preserve">DISCIPLINA: DIREITO CONSTITUCIONAL - </w:t>
      </w:r>
      <w:proofErr w:type="gramStart"/>
      <w:r>
        <w:rPr>
          <w:rFonts w:ascii="Garamond" w:hAnsi="Garamond" w:cs="Times New Roman"/>
          <w:sz w:val="24"/>
          <w:szCs w:val="24"/>
        </w:rPr>
        <w:t>PROF.</w:t>
      </w:r>
      <w:proofErr w:type="gramEnd"/>
      <w:r>
        <w:rPr>
          <w:rFonts w:ascii="Garamond" w:hAnsi="Garamond" w:cs="Times New Roman"/>
          <w:sz w:val="24"/>
          <w:szCs w:val="24"/>
        </w:rPr>
        <w:t>º MS. GERALDO BATISTA JUNIOR</w:t>
      </w:r>
    </w:p>
    <w:p w:rsidR="001233DD" w:rsidRDefault="00E01241">
      <w:pPr>
        <w:pStyle w:val="Estilopadro"/>
        <w:spacing w:after="0" w:line="100" w:lineRule="atLeast"/>
        <w:ind w:firstLine="0"/>
        <w:jc w:val="left"/>
      </w:pPr>
      <w:r>
        <w:rPr>
          <w:rFonts w:ascii="Palatino Linotype" w:hAnsi="Palatino Linotype" w:cs="Times New Roman"/>
          <w:sz w:val="24"/>
          <w:szCs w:val="24"/>
        </w:rPr>
        <w:t>DISCENTE: WEMERSON LEANDRO DE LUNA</w:t>
      </w:r>
    </w:p>
    <w:p w:rsidR="001233DD" w:rsidRDefault="001233DD">
      <w:pPr>
        <w:pStyle w:val="Estilopadro"/>
        <w:spacing w:after="0" w:line="360" w:lineRule="auto"/>
        <w:ind w:firstLine="0"/>
        <w:jc w:val="left"/>
      </w:pPr>
    </w:p>
    <w:p w:rsidR="001233DD" w:rsidRDefault="00E01241">
      <w:pPr>
        <w:pStyle w:val="Estilopadro"/>
        <w:spacing w:after="0" w:line="360" w:lineRule="auto"/>
        <w:ind w:firstLine="0"/>
        <w:jc w:val="center"/>
      </w:pPr>
      <w:r>
        <w:rPr>
          <w:rFonts w:ascii="Palatino Linotype" w:hAnsi="Palatino Linotype" w:cs="Times New Roman"/>
          <w:b/>
          <w:sz w:val="24"/>
          <w:szCs w:val="24"/>
        </w:rPr>
        <w:t>A ESTABILIDADE DOS SERVIDORES PÚBLICOS</w:t>
      </w:r>
    </w:p>
    <w:p w:rsidR="001233DD" w:rsidRDefault="00E01241">
      <w:pPr>
        <w:pStyle w:val="Ttulo1"/>
        <w:numPr>
          <w:ilvl w:val="0"/>
          <w:numId w:val="1"/>
        </w:numPr>
      </w:pPr>
      <w:r>
        <w:rPr>
          <w:rFonts w:ascii="Palatino Linotype" w:hAnsi="Palatino Linotype"/>
          <w:color w:val="00000A"/>
          <w:sz w:val="24"/>
          <w:szCs w:val="24"/>
        </w:rPr>
        <w:t>INTRODUÇÃO</w:t>
      </w:r>
    </w:p>
    <w:p w:rsidR="001233DD" w:rsidRDefault="001233DD">
      <w:pPr>
        <w:pStyle w:val="Estilopadro"/>
        <w:spacing w:after="0" w:line="360" w:lineRule="auto"/>
        <w:jc w:val="left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A estabilidade pode ser entendida como a qualidade que os servidore</w:t>
      </w:r>
      <w:r>
        <w:rPr>
          <w:rFonts w:ascii="Palatino Linotype" w:hAnsi="Palatino Linotype" w:cs="Times New Roman"/>
          <w:sz w:val="24"/>
          <w:szCs w:val="24"/>
        </w:rPr>
        <w:t xml:space="preserve">s públicos estatutários detém de permanecer no cargo, ou seja, no serviço público, depois de cumpridos os requisitos estabelecidos na Constituição Federal e na legislação específica, principalmente na Lei nº 8.112 de 1990. </w:t>
      </w:r>
    </w:p>
    <w:p w:rsidR="001233DD" w:rsidRDefault="00E01241">
      <w:pPr>
        <w:pStyle w:val="Ttulo1"/>
        <w:numPr>
          <w:ilvl w:val="0"/>
          <w:numId w:val="1"/>
        </w:numPr>
      </w:pPr>
      <w:r>
        <w:rPr>
          <w:rFonts w:ascii="Palatino Linotype" w:hAnsi="Palatino Linotype"/>
          <w:color w:val="00000A"/>
          <w:sz w:val="24"/>
          <w:szCs w:val="24"/>
        </w:rPr>
        <w:t>FUNDAMENTAÇÃO TEÓRICA.</w:t>
      </w:r>
    </w:p>
    <w:p w:rsidR="001233DD" w:rsidRDefault="00E01241">
      <w:pPr>
        <w:pStyle w:val="Ttulo2"/>
        <w:numPr>
          <w:ilvl w:val="1"/>
          <w:numId w:val="1"/>
        </w:numPr>
      </w:pPr>
      <w:r>
        <w:rPr>
          <w:rFonts w:ascii="Palatino Linotype" w:hAnsi="Palatino Linotype"/>
          <w:color w:val="00000A"/>
          <w:sz w:val="24"/>
          <w:szCs w:val="24"/>
        </w:rPr>
        <w:t>Requisito</w:t>
      </w:r>
      <w:r>
        <w:rPr>
          <w:rFonts w:ascii="Palatino Linotype" w:hAnsi="Palatino Linotype"/>
          <w:color w:val="00000A"/>
          <w:sz w:val="24"/>
          <w:szCs w:val="24"/>
        </w:rPr>
        <w:t>s para aquisição e perda da estabilidade.</w:t>
      </w:r>
    </w:p>
    <w:p w:rsidR="001233DD" w:rsidRDefault="001233DD">
      <w:pPr>
        <w:pStyle w:val="PargrafodaLista"/>
        <w:spacing w:after="0" w:line="360" w:lineRule="auto"/>
        <w:ind w:left="1571" w:firstLine="0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Os requisitos para a aquisição da estabilidade estão elencados no artigo 41 da Constituição Federal que assim dispõe os seguintes: o ingresso deve ser dar por concurso público; nomeação para cargo público efetivo;</w:t>
      </w:r>
      <w:r>
        <w:rPr>
          <w:rFonts w:ascii="Palatino Linotype" w:hAnsi="Palatino Linotype" w:cs="Times New Roman"/>
          <w:sz w:val="24"/>
          <w:szCs w:val="24"/>
        </w:rPr>
        <w:t xml:space="preserve"> três anos de efetivo exercício e avaliação especial de desempenho por comissão instituída para essa finalidade. Para o servidor adquirir estabilidade deve estar presentes todos os requisitos supracitados.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Segundo Vicente Paulo e Marcelo Alexandrino “se q</w:t>
      </w:r>
      <w:r>
        <w:rPr>
          <w:rFonts w:ascii="Palatino Linotype" w:hAnsi="Palatino Linotype" w:cs="Times New Roman"/>
          <w:sz w:val="24"/>
          <w:szCs w:val="24"/>
        </w:rPr>
        <w:t>ualquer desses requisitos não estiver presente, não há possibilidade de o servidor adquirir estabilidade.” Desta forma depreende-se que a enumeração estabelecida no artigo é taxativa.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Os mesmos autores também citam exemplo interessante: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100" w:lineRule="atLeast"/>
        <w:ind w:left="2268" w:firstLine="0"/>
      </w:pPr>
      <w:r>
        <w:rPr>
          <w:rFonts w:ascii="Palatino Linotype" w:hAnsi="Palatino Linotype" w:cs="Times New Roman"/>
          <w:sz w:val="20"/>
          <w:szCs w:val="24"/>
        </w:rPr>
        <w:t>“Se uma pessoa, n</w:t>
      </w:r>
      <w:r>
        <w:rPr>
          <w:rFonts w:ascii="Palatino Linotype" w:hAnsi="Palatino Linotype" w:cs="Times New Roman"/>
          <w:sz w:val="20"/>
          <w:szCs w:val="24"/>
        </w:rPr>
        <w:t xml:space="preserve">a vigência da Constituição de 1988, ingressou em um cargo público efetivo municipal sem ter realizado concurso, ainda que tenha sido oficialmente nomeada (é evidente que o ato de nomeação é nulo), e permaneça efetivamente exercendo o cargo por </w:t>
      </w:r>
      <w:r>
        <w:rPr>
          <w:rFonts w:ascii="Palatino Linotype" w:hAnsi="Palatino Linotype" w:cs="Times New Roman"/>
          <w:sz w:val="20"/>
          <w:szCs w:val="24"/>
        </w:rPr>
        <w:lastRenderedPageBreak/>
        <w:t xml:space="preserve">vinte anos, </w:t>
      </w:r>
      <w:r>
        <w:rPr>
          <w:rFonts w:ascii="Palatino Linotype" w:hAnsi="Palatino Linotype" w:cs="Times New Roman"/>
          <w:sz w:val="20"/>
          <w:szCs w:val="24"/>
        </w:rPr>
        <w:t xml:space="preserve">e até mesmo se tiver sido avaliada conforme previsto no item </w:t>
      </w:r>
      <w:proofErr w:type="gramStart"/>
      <w:r>
        <w:rPr>
          <w:rFonts w:ascii="Palatino Linotype" w:hAnsi="Palatino Linotype" w:cs="Times New Roman"/>
          <w:sz w:val="20"/>
          <w:szCs w:val="24"/>
        </w:rPr>
        <w:t>4</w:t>
      </w:r>
      <w:proofErr w:type="gramEnd"/>
      <w:r>
        <w:rPr>
          <w:rFonts w:ascii="Palatino Linotype" w:hAnsi="Palatino Linotype" w:cs="Times New Roman"/>
          <w:sz w:val="20"/>
          <w:szCs w:val="24"/>
        </w:rPr>
        <w:t xml:space="preserve">, acima [ avaliação por comissão], não adquirirá estabilidade.” </w:t>
      </w:r>
      <w:r>
        <w:rPr>
          <w:rStyle w:val="ncoradanotaderodap"/>
          <w:rFonts w:ascii="Palatino Linotype" w:hAnsi="Palatino Linotype" w:cs="Times New Roman"/>
          <w:sz w:val="20"/>
          <w:szCs w:val="24"/>
        </w:rPr>
        <w:footnoteReference w:id="2"/>
      </w:r>
    </w:p>
    <w:p w:rsidR="001233DD" w:rsidRDefault="001233DD">
      <w:pPr>
        <w:pStyle w:val="Estilopadro"/>
        <w:spacing w:after="0" w:line="360" w:lineRule="auto"/>
        <w:ind w:left="2268" w:firstLine="0"/>
      </w:pP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Após a aquisição da estabilidade, esta não pode ser perdida por decisão arbitrária, ou seja, o servidor público não poderá ser</w:t>
      </w:r>
      <w:r>
        <w:rPr>
          <w:rFonts w:ascii="Palatino Linotype" w:hAnsi="Palatino Linotype" w:cs="Times New Roman"/>
          <w:sz w:val="24"/>
          <w:szCs w:val="24"/>
        </w:rPr>
        <w:t xml:space="preserve"> excluído dos quadros sem que sejam observados requisitos essenciais. Sendo assim só poderá perder o cargo em uma destas hipóteses: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b/>
          <w:sz w:val="24"/>
          <w:szCs w:val="24"/>
        </w:rPr>
        <w:t>Sentença judicial transitada em julgado</w:t>
      </w:r>
      <w:r>
        <w:rPr>
          <w:rFonts w:ascii="Palatino Linotype" w:hAnsi="Palatino Linotype" w:cs="Times New Roman"/>
          <w:sz w:val="24"/>
          <w:szCs w:val="24"/>
        </w:rPr>
        <w:t xml:space="preserve"> caso o servidor cometa algum ato irregular, só poderá perder o cargo depois de o pr</w:t>
      </w:r>
      <w:r>
        <w:rPr>
          <w:rFonts w:ascii="Palatino Linotype" w:hAnsi="Palatino Linotype" w:cs="Times New Roman"/>
          <w:sz w:val="24"/>
          <w:szCs w:val="24"/>
        </w:rPr>
        <w:t>ocesso judicial transitar em julgado, desta forma assegura-se ao servidor o devido processo legal e as demais garantias processuais.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b/>
          <w:sz w:val="24"/>
          <w:szCs w:val="24"/>
        </w:rPr>
        <w:t>Processo administrativo disciplinar</w:t>
      </w:r>
      <w:r>
        <w:rPr>
          <w:rFonts w:ascii="Palatino Linotype" w:hAnsi="Palatino Linotype" w:cs="Times New Roman"/>
          <w:sz w:val="24"/>
          <w:szCs w:val="24"/>
        </w:rPr>
        <w:t>, assegurada ampla defesa, o processo administrativo também será meio para que o servid</w:t>
      </w:r>
      <w:r>
        <w:rPr>
          <w:rFonts w:ascii="Palatino Linotype" w:hAnsi="Palatino Linotype" w:cs="Times New Roman"/>
          <w:sz w:val="24"/>
          <w:szCs w:val="24"/>
        </w:rPr>
        <w:t xml:space="preserve">or perda o seu cargo, mas deve ter seguimento análogo ao processo judicial, assegurando </w:t>
      </w:r>
      <w:proofErr w:type="gramStart"/>
      <w:r>
        <w:rPr>
          <w:rFonts w:ascii="Palatino Linotype" w:hAnsi="Palatino Linotype" w:cs="Times New Roman"/>
          <w:sz w:val="24"/>
          <w:szCs w:val="24"/>
        </w:rPr>
        <w:t>ampla defesa e contraditório nas investigações e decisões</w:t>
      </w:r>
      <w:proofErr w:type="gramEnd"/>
      <w:r>
        <w:rPr>
          <w:rFonts w:ascii="Palatino Linotype" w:hAnsi="Palatino Linotype" w:cs="Times New Roman"/>
          <w:sz w:val="24"/>
          <w:szCs w:val="24"/>
        </w:rPr>
        <w:t>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proofErr w:type="gramStart"/>
      <w:r>
        <w:rPr>
          <w:rFonts w:ascii="Palatino Linotype" w:hAnsi="Palatino Linotype" w:cs="Times New Roman"/>
          <w:b/>
          <w:sz w:val="24"/>
          <w:szCs w:val="24"/>
        </w:rPr>
        <w:t>Avaliação periódica de desempenho</w:t>
      </w:r>
      <w:r>
        <w:rPr>
          <w:rFonts w:ascii="Palatino Linotype" w:hAnsi="Palatino Linotype" w:cs="Times New Roman"/>
          <w:sz w:val="24"/>
          <w:szCs w:val="24"/>
        </w:rPr>
        <w:t>, na forma de lei específica, aqui serão</w:t>
      </w:r>
      <w:proofErr w:type="gramEnd"/>
      <w:r>
        <w:rPr>
          <w:rFonts w:ascii="Palatino Linotype" w:hAnsi="Palatino Linotype" w:cs="Times New Roman"/>
          <w:sz w:val="24"/>
          <w:szCs w:val="24"/>
        </w:rPr>
        <w:t xml:space="preserve"> verificados condutas irregulares, </w:t>
      </w:r>
      <w:r>
        <w:rPr>
          <w:rFonts w:ascii="Palatino Linotype" w:hAnsi="Palatino Linotype" w:cs="Times New Roman"/>
          <w:sz w:val="24"/>
          <w:szCs w:val="24"/>
        </w:rPr>
        <w:t>dispêndios e falta de compromisso com o serviço público.</w:t>
      </w: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 xml:space="preserve">E </w:t>
      </w:r>
      <w:r>
        <w:rPr>
          <w:rFonts w:ascii="Palatino Linotype" w:hAnsi="Palatino Linotype" w:cs="Times New Roman"/>
          <w:i/>
          <w:sz w:val="24"/>
          <w:szCs w:val="24"/>
        </w:rPr>
        <w:t xml:space="preserve">per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fenire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quando houver </w:t>
      </w:r>
      <w:r>
        <w:rPr>
          <w:rFonts w:ascii="Palatino Linotype" w:hAnsi="Palatino Linotype" w:cs="Times New Roman"/>
          <w:b/>
          <w:sz w:val="24"/>
          <w:szCs w:val="24"/>
        </w:rPr>
        <w:t>excesso de despesa com pessoal,</w:t>
      </w:r>
      <w:r>
        <w:rPr>
          <w:rFonts w:ascii="Palatino Linotype" w:hAnsi="Palatino Linotype" w:cs="Times New Roman"/>
          <w:sz w:val="24"/>
          <w:szCs w:val="24"/>
        </w:rPr>
        <w:t xml:space="preserve"> nos termos do art. 169, §4.º da CF.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Ttulo2"/>
        <w:numPr>
          <w:ilvl w:val="1"/>
          <w:numId w:val="1"/>
        </w:numPr>
      </w:pPr>
      <w:r>
        <w:rPr>
          <w:rFonts w:ascii="Palatino Linotype" w:hAnsi="Palatino Linotype"/>
          <w:color w:val="00000A"/>
          <w:sz w:val="24"/>
          <w:szCs w:val="24"/>
        </w:rPr>
        <w:t>Relação da estabilidade dos servidores com outros cargos.</w:t>
      </w:r>
    </w:p>
    <w:p w:rsidR="001233DD" w:rsidRDefault="001233DD">
      <w:pPr>
        <w:pStyle w:val="PargrafodaLista"/>
        <w:spacing w:after="0" w:line="360" w:lineRule="auto"/>
        <w:ind w:left="1571" w:firstLine="0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 xml:space="preserve">Importante destacar que a estabilidade de </w:t>
      </w:r>
      <w:r>
        <w:rPr>
          <w:rFonts w:ascii="Palatino Linotype" w:hAnsi="Palatino Linotype" w:cs="Times New Roman"/>
          <w:sz w:val="24"/>
          <w:szCs w:val="24"/>
        </w:rPr>
        <w:t xml:space="preserve">que se trata aqui é dos servidores públicos que ingressaram no cargo mediante concurso público de </w:t>
      </w:r>
      <w:r>
        <w:rPr>
          <w:rFonts w:ascii="Palatino Linotype" w:hAnsi="Palatino Linotype" w:cs="Times New Roman"/>
          <w:sz w:val="24"/>
          <w:szCs w:val="24"/>
        </w:rPr>
        <w:lastRenderedPageBreak/>
        <w:t>provas, ou de provas e títulos, não se confundindo com a chamada “estabilidade” de outros setores.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 xml:space="preserve">A Constituição estabeleceu, excepcionalmente, que conferiria estabilidade a servidores que não foram contratados mediante concurso público, desde que estivessem em exercício na data da promulgação da Constituição há pelo menos cinco anos contínuos. 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Assim</w:t>
      </w:r>
      <w:r>
        <w:rPr>
          <w:rFonts w:ascii="Palatino Linotype" w:hAnsi="Palatino Linotype" w:cs="Times New Roman"/>
          <w:sz w:val="24"/>
          <w:szCs w:val="24"/>
        </w:rPr>
        <w:t xml:space="preserve"> verifica-se que muitos servidores que estão no setor público possuem estabilidade sem ter o requisito trazido a baila logo acima, qual </w:t>
      </w:r>
      <w:proofErr w:type="gramStart"/>
      <w:r>
        <w:rPr>
          <w:rFonts w:ascii="Palatino Linotype" w:hAnsi="Palatino Linotype" w:cs="Times New Roman"/>
          <w:sz w:val="24"/>
          <w:szCs w:val="24"/>
        </w:rPr>
        <w:t>seja,</w:t>
      </w:r>
      <w:proofErr w:type="gramEnd"/>
      <w:r>
        <w:rPr>
          <w:rFonts w:ascii="Palatino Linotype" w:hAnsi="Palatino Linotype" w:cs="Times New Roman"/>
          <w:sz w:val="24"/>
          <w:szCs w:val="24"/>
        </w:rPr>
        <w:t xml:space="preserve"> o do ingresso no serviço público através de concurso.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A norma do art. 19 da ADCT excluiu do benefício anterior os</w:t>
      </w:r>
      <w:r>
        <w:rPr>
          <w:rFonts w:ascii="Palatino Linotype" w:hAnsi="Palatino Linotype" w:cs="Times New Roman"/>
          <w:sz w:val="24"/>
          <w:szCs w:val="24"/>
        </w:rPr>
        <w:t xml:space="preserve"> empregados das fundações de direito privado, empresas públicas e sociedades de economia mista, sendo que os abrigados foram o da administração direta, autarquias e fundações públicas.</w:t>
      </w:r>
    </w:p>
    <w:p w:rsidR="001233DD" w:rsidRDefault="00E01241">
      <w:pPr>
        <w:pStyle w:val="Ttulo2"/>
        <w:numPr>
          <w:ilvl w:val="1"/>
          <w:numId w:val="1"/>
        </w:numPr>
      </w:pPr>
      <w:r>
        <w:rPr>
          <w:rFonts w:ascii="Palatino Linotype" w:hAnsi="Palatino Linotype"/>
          <w:color w:val="00000A"/>
          <w:sz w:val="24"/>
          <w:szCs w:val="24"/>
        </w:rPr>
        <w:t xml:space="preserve">Modificações constitucionais e </w:t>
      </w:r>
      <w:proofErr w:type="spellStart"/>
      <w:r>
        <w:rPr>
          <w:rFonts w:ascii="Palatino Linotype" w:hAnsi="Palatino Linotype"/>
          <w:color w:val="00000A"/>
          <w:sz w:val="24"/>
          <w:szCs w:val="24"/>
        </w:rPr>
        <w:t>legisferantes</w:t>
      </w:r>
      <w:proofErr w:type="spellEnd"/>
      <w:r>
        <w:rPr>
          <w:rFonts w:ascii="Palatino Linotype" w:hAnsi="Palatino Linotype"/>
          <w:color w:val="00000A"/>
          <w:sz w:val="24"/>
          <w:szCs w:val="24"/>
        </w:rPr>
        <w:t>.</w:t>
      </w:r>
    </w:p>
    <w:p w:rsidR="001233DD" w:rsidRDefault="001233DD">
      <w:pPr>
        <w:pStyle w:val="PargrafodaLista"/>
        <w:spacing w:after="0" w:line="360" w:lineRule="auto"/>
        <w:ind w:left="1571" w:firstLine="0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É importante salientar q</w:t>
      </w:r>
      <w:r>
        <w:rPr>
          <w:rFonts w:ascii="Palatino Linotype" w:hAnsi="Palatino Linotype" w:cs="Times New Roman"/>
          <w:sz w:val="24"/>
          <w:szCs w:val="24"/>
        </w:rPr>
        <w:t>ue o tema ora em análise, teve modificações importantes, provocadas especialmente por meio da Emenda nº 19/98, chamada de “</w:t>
      </w:r>
      <w:proofErr w:type="spellStart"/>
      <w:r>
        <w:rPr>
          <w:rFonts w:ascii="Palatino Linotype" w:hAnsi="Palatino Linotype" w:cs="Times New Roman"/>
          <w:sz w:val="24"/>
          <w:szCs w:val="24"/>
        </w:rPr>
        <w:t>Emendão</w:t>
      </w:r>
      <w:proofErr w:type="spellEnd"/>
      <w:r>
        <w:rPr>
          <w:rFonts w:ascii="Palatino Linotype" w:hAnsi="Palatino Linotype" w:cs="Times New Roman"/>
          <w:sz w:val="24"/>
          <w:szCs w:val="24"/>
        </w:rPr>
        <w:t>”.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A emenda de número 19 aumentou o tempo para que seja concedida a estabilidade aos servidores públicos, que passou de dois,</w:t>
      </w:r>
      <w:r>
        <w:rPr>
          <w:rFonts w:ascii="Palatino Linotype" w:hAnsi="Palatino Linotype" w:cs="Times New Roman"/>
          <w:sz w:val="24"/>
          <w:szCs w:val="24"/>
        </w:rPr>
        <w:t xml:space="preserve"> para três anos. Período esse chamado de estágio probatório.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 xml:space="preserve">A importância desse período de estágio probatório é defendida para que seja verificada a capacidade que o servidor tem para com o cargo, ou nas palavras de DI PIETRO: 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100" w:lineRule="atLeast"/>
        <w:ind w:left="2268" w:firstLine="0"/>
      </w:pPr>
      <w:r>
        <w:rPr>
          <w:rFonts w:ascii="Palatino Linotype" w:hAnsi="Palatino Linotype" w:cs="Times New Roman"/>
          <w:sz w:val="20"/>
          <w:szCs w:val="20"/>
        </w:rPr>
        <w:lastRenderedPageBreak/>
        <w:t>“A estabilidade somente s</w:t>
      </w:r>
      <w:r>
        <w:rPr>
          <w:rFonts w:ascii="Palatino Linotype" w:hAnsi="Palatino Linotype" w:cs="Times New Roman"/>
          <w:sz w:val="20"/>
          <w:szCs w:val="20"/>
        </w:rPr>
        <w:t>e adquire depois de três anos, o período compreendido entre o início do exercício e a aquisição da estabilidade é denominada de estágio probatório e tem por finalidade apurar se o servidor apresenta condições para o exercício do cargo, referentes à moralid</w:t>
      </w:r>
      <w:r>
        <w:rPr>
          <w:rFonts w:ascii="Palatino Linotype" w:hAnsi="Palatino Linotype" w:cs="Times New Roman"/>
          <w:sz w:val="20"/>
          <w:szCs w:val="20"/>
        </w:rPr>
        <w:t>ade, assiduidade, disciplina e eficiência.”</w:t>
      </w:r>
    </w:p>
    <w:p w:rsidR="001233DD" w:rsidRDefault="001233DD">
      <w:pPr>
        <w:pStyle w:val="Estilopadro"/>
        <w:spacing w:after="0" w:line="360" w:lineRule="auto"/>
        <w:ind w:left="2268" w:firstLine="0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Somente depois de cumprido este lapso temporal é que o servidor será examinado por uma comissão especial, formada para este fim.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É de bom alvitre lembrar também que há posições contrárias, afirmando que o tempo</w:t>
      </w:r>
      <w:r>
        <w:rPr>
          <w:rFonts w:ascii="Palatino Linotype" w:hAnsi="Palatino Linotype" w:cs="Times New Roman"/>
          <w:sz w:val="24"/>
          <w:szCs w:val="24"/>
        </w:rPr>
        <w:t xml:space="preserve"> do estágio probatório é de 24 meses (dois anos) e não </w:t>
      </w:r>
      <w:proofErr w:type="gramStart"/>
      <w:r>
        <w:rPr>
          <w:rFonts w:ascii="Palatino Linotype" w:hAnsi="Palatino Linotype" w:cs="Times New Roman"/>
          <w:sz w:val="24"/>
          <w:szCs w:val="24"/>
        </w:rPr>
        <w:t>3</w:t>
      </w:r>
      <w:proofErr w:type="gramEnd"/>
      <w:r>
        <w:rPr>
          <w:rFonts w:ascii="Palatino Linotype" w:hAnsi="Palatino Linotype" w:cs="Times New Roman"/>
          <w:sz w:val="24"/>
          <w:szCs w:val="24"/>
        </w:rPr>
        <w:t>. Diz-se que o ano restante tem natureza jurídica de expectativa de aquisição ao direito à estabilidade. Esta é a posição de AUGUSTO VINÍCIUS FONSECA E SILVA.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No caso dos servidores públicos federais</w:t>
      </w:r>
      <w:r>
        <w:rPr>
          <w:rFonts w:ascii="Palatino Linotype" w:hAnsi="Palatino Linotype" w:cs="Times New Roman"/>
          <w:sz w:val="24"/>
          <w:szCs w:val="24"/>
        </w:rPr>
        <w:t xml:space="preserve">, modificação trazida pela Lei </w:t>
      </w:r>
      <w:proofErr w:type="gramStart"/>
      <w:r>
        <w:rPr>
          <w:rFonts w:ascii="Palatino Linotype" w:hAnsi="Palatino Linotype" w:cs="Times New Roman"/>
          <w:sz w:val="24"/>
          <w:szCs w:val="24"/>
        </w:rPr>
        <w:t>nº11.</w:t>
      </w:r>
      <w:proofErr w:type="gramEnd"/>
      <w:r>
        <w:rPr>
          <w:rFonts w:ascii="Palatino Linotype" w:hAnsi="Palatino Linotype" w:cs="Times New Roman"/>
          <w:sz w:val="24"/>
          <w:szCs w:val="24"/>
        </w:rPr>
        <w:t>784/08 que alterou o art. 20 da Lei 8.112/90, deve ser homologado por autoridade competente os resultados de desempenho dos servidores avaliadas pela comissão instituída para este fim.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>Caso se verifique o descumprimento</w:t>
      </w:r>
      <w:r>
        <w:rPr>
          <w:rFonts w:ascii="Palatino Linotype" w:hAnsi="Palatino Linotype" w:cs="Times New Roman"/>
          <w:sz w:val="24"/>
          <w:szCs w:val="24"/>
        </w:rPr>
        <w:t xml:space="preserve"> dos requisitos, caberá exoneração </w:t>
      </w:r>
      <w:r>
        <w:rPr>
          <w:rFonts w:ascii="Palatino Linotype" w:hAnsi="Palatino Linotype" w:cs="Times New Roman"/>
          <w:i/>
          <w:sz w:val="24"/>
          <w:szCs w:val="24"/>
        </w:rPr>
        <w:t xml:space="preserve">ex </w:t>
      </w:r>
      <w:proofErr w:type="spellStart"/>
      <w:r>
        <w:rPr>
          <w:rFonts w:ascii="Palatino Linotype" w:hAnsi="Palatino Linotype" w:cs="Times New Roman"/>
          <w:i/>
          <w:sz w:val="24"/>
          <w:szCs w:val="24"/>
        </w:rPr>
        <w:t>officio</w:t>
      </w:r>
      <w:proofErr w:type="spellEnd"/>
      <w:r>
        <w:rPr>
          <w:rFonts w:ascii="Palatino Linotype" w:hAnsi="Palatino Linotype" w:cs="Times New Roman"/>
          <w:sz w:val="24"/>
          <w:szCs w:val="24"/>
        </w:rPr>
        <w:t>, com aplicação da ampla defesa no procedimento que almejar tal finalidade.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  <w:ind w:firstLine="0"/>
      </w:pPr>
      <w:r>
        <w:rPr>
          <w:rFonts w:ascii="Palatino Linotype" w:hAnsi="Palatino Linotype" w:cs="Times New Roman"/>
          <w:b/>
          <w:bCs/>
          <w:sz w:val="24"/>
          <w:szCs w:val="24"/>
        </w:rPr>
        <w:t>3. CONCLUSÃO.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</w:pPr>
      <w:r>
        <w:rPr>
          <w:rFonts w:ascii="Palatino Linotype" w:hAnsi="Palatino Linotype" w:cs="Times New Roman"/>
          <w:sz w:val="24"/>
          <w:szCs w:val="24"/>
        </w:rPr>
        <w:t xml:space="preserve">Desta forma, podemos concluir que a estabilidade é instituto basilar quando se trata dos servidores públicos, devendo </w:t>
      </w:r>
      <w:r>
        <w:rPr>
          <w:rFonts w:ascii="Palatino Linotype" w:hAnsi="Palatino Linotype" w:cs="Times New Roman"/>
          <w:sz w:val="24"/>
          <w:szCs w:val="24"/>
        </w:rPr>
        <w:t>haver uma análise detida para não se incorrer em erros grosseiros da matéria.</w:t>
      </w:r>
    </w:p>
    <w:p w:rsidR="001233DD" w:rsidRDefault="001233DD">
      <w:pPr>
        <w:pStyle w:val="Estilopadro"/>
        <w:spacing w:after="0" w:line="360" w:lineRule="auto"/>
      </w:pPr>
    </w:p>
    <w:p w:rsidR="001233DD" w:rsidRDefault="00E01241">
      <w:pPr>
        <w:pStyle w:val="Estilopadro"/>
        <w:spacing w:after="0" w:line="360" w:lineRule="auto"/>
        <w:ind w:firstLine="0"/>
      </w:pPr>
      <w:r>
        <w:rPr>
          <w:rFonts w:ascii="Palatino Linotype" w:hAnsi="Palatino Linotype" w:cs="Times New Roman"/>
          <w:sz w:val="24"/>
          <w:szCs w:val="24"/>
        </w:rPr>
        <w:t xml:space="preserve">4. REFERÊNCIAS: </w:t>
      </w:r>
    </w:p>
    <w:p w:rsidR="001233DD" w:rsidRDefault="001233DD">
      <w:pPr>
        <w:pStyle w:val="Estilopadro"/>
        <w:spacing w:after="0" w:line="100" w:lineRule="atLeast"/>
      </w:pPr>
    </w:p>
    <w:p w:rsidR="001233DD" w:rsidRDefault="00E01241">
      <w:pPr>
        <w:pStyle w:val="Estilopadro"/>
        <w:spacing w:after="0" w:line="100" w:lineRule="atLeast"/>
        <w:ind w:firstLine="0"/>
      </w:pPr>
      <w:r>
        <w:rPr>
          <w:rFonts w:ascii="Palatino Linotype" w:hAnsi="Palatino Linotype" w:cs="Times New Roman"/>
          <w:sz w:val="24"/>
          <w:szCs w:val="24"/>
        </w:rPr>
        <w:t xml:space="preserve">DI PIETRO. M. S. Z. </w:t>
      </w:r>
      <w:r>
        <w:rPr>
          <w:rFonts w:ascii="Palatino Linotype" w:hAnsi="Palatino Linotype" w:cs="Times New Roman"/>
          <w:i/>
          <w:sz w:val="24"/>
          <w:szCs w:val="24"/>
          <w:u w:val="single"/>
        </w:rPr>
        <w:t xml:space="preserve">Direito </w:t>
      </w:r>
      <w:proofErr w:type="gramStart"/>
      <w:r>
        <w:rPr>
          <w:rFonts w:ascii="Palatino Linotype" w:hAnsi="Palatino Linotype" w:cs="Times New Roman"/>
          <w:i/>
          <w:sz w:val="24"/>
          <w:szCs w:val="24"/>
          <w:u w:val="single"/>
        </w:rPr>
        <w:t>Administrativo</w:t>
      </w:r>
      <w:r>
        <w:rPr>
          <w:rFonts w:ascii="Palatino Linotype" w:hAnsi="Palatino Linotype" w:cs="Times New Roman"/>
          <w:sz w:val="24"/>
          <w:szCs w:val="24"/>
        </w:rPr>
        <w:t>, 23</w:t>
      </w:r>
      <w:proofErr w:type="gram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Pr="00E01241">
        <w:rPr>
          <w:rFonts w:ascii="Palatino Linotype" w:hAnsi="Palatino Linotype" w:cs="Times New Roman"/>
          <w:sz w:val="24"/>
          <w:szCs w:val="24"/>
        </w:rPr>
        <w:t>Ed. Atlas, 2010.</w:t>
      </w:r>
    </w:p>
    <w:p w:rsidR="001233DD" w:rsidRDefault="00E01241">
      <w:pPr>
        <w:pStyle w:val="Estilopadro"/>
        <w:spacing w:after="0" w:line="100" w:lineRule="atLeast"/>
        <w:ind w:firstLine="0"/>
      </w:pPr>
      <w:r>
        <w:rPr>
          <w:rFonts w:ascii="Palatino Linotype" w:hAnsi="Palatino Linotype" w:cs="Times New Roman"/>
          <w:sz w:val="24"/>
          <w:szCs w:val="24"/>
        </w:rPr>
        <w:lastRenderedPageBreak/>
        <w:t xml:space="preserve">MELLO, C. A. B., </w:t>
      </w:r>
      <w:r>
        <w:rPr>
          <w:rFonts w:ascii="Palatino Linotype" w:hAnsi="Palatino Linotype" w:cs="Times New Roman"/>
          <w:i/>
          <w:sz w:val="24"/>
          <w:szCs w:val="24"/>
          <w:u w:val="single"/>
        </w:rPr>
        <w:t>Curso de direito administrativo</w:t>
      </w:r>
      <w:r>
        <w:rPr>
          <w:rFonts w:ascii="Palatino Linotype" w:hAnsi="Palatino Linotype" w:cs="Times New Roman"/>
          <w:sz w:val="24"/>
          <w:szCs w:val="24"/>
        </w:rPr>
        <w:t>, 28 ed.</w:t>
      </w:r>
    </w:p>
    <w:p w:rsidR="001233DD" w:rsidRDefault="00E01241">
      <w:pPr>
        <w:pStyle w:val="Estilopadro"/>
        <w:spacing w:after="0" w:line="100" w:lineRule="atLeast"/>
        <w:ind w:firstLine="0"/>
      </w:pPr>
      <w:r>
        <w:rPr>
          <w:rFonts w:ascii="Palatino Linotype" w:hAnsi="Palatino Linotype" w:cs="Times New Roman"/>
          <w:sz w:val="24"/>
          <w:szCs w:val="24"/>
        </w:rPr>
        <w:t xml:space="preserve">SILVA, A. V. F. </w:t>
      </w:r>
      <w:r>
        <w:rPr>
          <w:rFonts w:ascii="Palatino Linotype" w:hAnsi="Palatino Linotype" w:cs="Times New Roman"/>
          <w:i/>
          <w:sz w:val="24"/>
          <w:szCs w:val="24"/>
          <w:u w:val="single"/>
        </w:rPr>
        <w:t>Estabilidade e estági</w:t>
      </w:r>
      <w:r>
        <w:rPr>
          <w:rFonts w:ascii="Palatino Linotype" w:hAnsi="Palatino Linotype" w:cs="Times New Roman"/>
          <w:i/>
          <w:sz w:val="24"/>
          <w:szCs w:val="24"/>
          <w:u w:val="single"/>
        </w:rPr>
        <w:t>o probatório</w:t>
      </w:r>
      <w:r>
        <w:rPr>
          <w:rFonts w:ascii="Palatino Linotype" w:hAnsi="Palatino Linotype" w:cs="Times New Roman"/>
          <w:sz w:val="24"/>
          <w:szCs w:val="24"/>
        </w:rPr>
        <w:t xml:space="preserve">: íntima ligação, necessária distinção. Disponível em: &lt; </w:t>
      </w:r>
      <w:hyperlink r:id="rId8">
        <w:r>
          <w:rPr>
            <w:rStyle w:val="LinkdaInternet"/>
            <w:rFonts w:ascii="Palatino Linotype" w:hAnsi="Palatino Linotype" w:cs="Times New Roman"/>
            <w:color w:val="00000A"/>
            <w:sz w:val="24"/>
            <w:szCs w:val="24"/>
          </w:rPr>
          <w:t>www.jurisway.com.br</w:t>
        </w:r>
      </w:hyperlink>
      <w:r>
        <w:rPr>
          <w:rFonts w:ascii="Palatino Linotype" w:hAnsi="Palatino Linotype" w:cs="Times New Roman"/>
          <w:sz w:val="24"/>
          <w:szCs w:val="24"/>
        </w:rPr>
        <w:t xml:space="preserve"> &gt; Acesso em: 27/09/2013.</w:t>
      </w:r>
    </w:p>
    <w:p w:rsidR="001233DD" w:rsidRDefault="001233DD">
      <w:pPr>
        <w:pStyle w:val="Estilopadro"/>
        <w:spacing w:after="0" w:line="360" w:lineRule="auto"/>
      </w:pPr>
    </w:p>
    <w:p w:rsidR="001233DD" w:rsidRDefault="001233DD">
      <w:pPr>
        <w:pStyle w:val="Estilopadro"/>
        <w:spacing w:after="0" w:line="360" w:lineRule="auto"/>
      </w:pPr>
    </w:p>
    <w:sectPr w:rsidR="001233DD" w:rsidSect="001233DD">
      <w:pgSz w:w="11906" w:h="16838"/>
      <w:pgMar w:top="1276" w:right="1700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3DD" w:rsidRDefault="001233DD" w:rsidP="001233DD">
      <w:pPr>
        <w:spacing w:after="0" w:line="240" w:lineRule="auto"/>
      </w:pPr>
      <w:r>
        <w:separator/>
      </w:r>
    </w:p>
  </w:endnote>
  <w:endnote w:type="continuationSeparator" w:id="1">
    <w:p w:rsidR="001233DD" w:rsidRDefault="001233DD" w:rsidP="0012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3DD" w:rsidRDefault="00E01241">
      <w:r>
        <w:separator/>
      </w:r>
    </w:p>
  </w:footnote>
  <w:footnote w:type="continuationSeparator" w:id="1">
    <w:p w:rsidR="001233DD" w:rsidRDefault="00E01241">
      <w:r>
        <w:continuationSeparator/>
      </w:r>
    </w:p>
  </w:footnote>
  <w:footnote w:id="2">
    <w:p w:rsidR="001233DD" w:rsidRDefault="00E01241">
      <w:pPr>
        <w:pStyle w:val="Textodenotaderodap"/>
      </w:pPr>
      <w:r>
        <w:rPr>
          <w:rStyle w:val="Refdenotaderodap"/>
        </w:rPr>
        <w:footnoteRef/>
      </w:r>
      <w:r>
        <w:rPr>
          <w:rStyle w:val="Refdenotaderodap"/>
        </w:rPr>
        <w:tab/>
      </w:r>
      <w:r>
        <w:t xml:space="preserve"> Vicente Paulo e </w:t>
      </w:r>
      <w:r>
        <w:t>Marcelo Alexandrino. Resumo de Direito Administrativo descomplicado. 2010.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C3F31"/>
    <w:multiLevelType w:val="multilevel"/>
    <w:tmpl w:val="1A28BF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EE28C1"/>
    <w:multiLevelType w:val="multilevel"/>
    <w:tmpl w:val="87B249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33DD"/>
    <w:rsid w:val="001233DD"/>
    <w:rsid w:val="00E0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Estilopadro"/>
    <w:rsid w:val="001233DD"/>
    <w:pPr>
      <w:keepNext/>
      <w:keepLines/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Estilopadro"/>
    <w:rsid w:val="001233DD"/>
    <w:pPr>
      <w:keepNext/>
      <w:keepLines/>
      <w:spacing w:before="200" w:after="0"/>
      <w:ind w:left="432" w:hanging="432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Estilopadro"/>
    <w:rsid w:val="001233DD"/>
    <w:pPr>
      <w:keepNext/>
      <w:keepLines/>
      <w:spacing w:before="200" w:after="0"/>
      <w:ind w:left="432" w:hanging="432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Estilopadro"/>
    <w:rsid w:val="001233DD"/>
    <w:pPr>
      <w:keepNext/>
      <w:keepLines/>
      <w:spacing w:before="200" w:after="0"/>
      <w:ind w:left="432" w:hanging="432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Estilopadro"/>
    <w:rsid w:val="001233DD"/>
    <w:pPr>
      <w:keepNext/>
      <w:keepLines/>
      <w:spacing w:before="200" w:after="0"/>
      <w:ind w:left="432" w:hanging="432"/>
      <w:outlineLvl w:val="4"/>
    </w:pPr>
    <w:rPr>
      <w:rFonts w:ascii="Cambria" w:hAnsi="Cambria"/>
      <w:color w:val="243F60"/>
    </w:rPr>
  </w:style>
  <w:style w:type="paragraph" w:styleId="Ttulo6">
    <w:name w:val="heading 6"/>
    <w:basedOn w:val="Estilopadro"/>
    <w:rsid w:val="001233DD"/>
    <w:pPr>
      <w:keepNext/>
      <w:keepLines/>
      <w:spacing w:before="200" w:after="0"/>
      <w:ind w:left="432" w:hanging="43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Estilopadro"/>
    <w:rsid w:val="001233DD"/>
    <w:pPr>
      <w:keepNext/>
      <w:keepLines/>
      <w:spacing w:before="200" w:after="0"/>
      <w:ind w:left="432" w:hanging="432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Estilopadro"/>
    <w:rsid w:val="001233DD"/>
    <w:pPr>
      <w:keepNext/>
      <w:keepLines/>
      <w:spacing w:before="200" w:after="0"/>
      <w:ind w:left="432" w:hanging="432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Estilopadro"/>
    <w:rsid w:val="001233DD"/>
    <w:pPr>
      <w:keepNext/>
      <w:keepLines/>
      <w:spacing w:before="200" w:after="0"/>
      <w:ind w:left="432" w:hanging="432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1233DD"/>
    <w:pPr>
      <w:suppressAutoHyphens/>
      <w:ind w:firstLine="851"/>
      <w:jc w:val="both"/>
    </w:pPr>
    <w:rPr>
      <w:rFonts w:ascii="Calibri" w:eastAsia="DejaVu Sans" w:hAnsi="Calibri" w:cs="Calibri"/>
      <w:lang w:eastAsia="en-US"/>
    </w:rPr>
  </w:style>
  <w:style w:type="character" w:customStyle="1" w:styleId="TextodenotaderodapChar">
    <w:name w:val="Texto de nota de rodapé Char"/>
    <w:basedOn w:val="Fontepargpadro"/>
    <w:rsid w:val="001233DD"/>
    <w:rPr>
      <w:sz w:val="20"/>
      <w:szCs w:val="20"/>
    </w:rPr>
  </w:style>
  <w:style w:type="character" w:styleId="Refdenotaderodap">
    <w:name w:val="footnote reference"/>
    <w:basedOn w:val="Fontepargpadro"/>
    <w:rsid w:val="001233DD"/>
    <w:rPr>
      <w:vertAlign w:val="superscript"/>
    </w:rPr>
  </w:style>
  <w:style w:type="character" w:customStyle="1" w:styleId="Ttulo1Char">
    <w:name w:val="Título 1 Char"/>
    <w:basedOn w:val="Fontepargpadro"/>
    <w:rsid w:val="001233DD"/>
    <w:rPr>
      <w:rFonts w:ascii="Cambria" w:hAnsi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sid w:val="001233DD"/>
    <w:rPr>
      <w:rFonts w:ascii="Cambria" w:hAnsi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rsid w:val="001233DD"/>
    <w:rPr>
      <w:rFonts w:ascii="Cambria" w:hAnsi="Cambria"/>
      <w:b/>
      <w:bCs/>
      <w:color w:val="4F81BD"/>
    </w:rPr>
  </w:style>
  <w:style w:type="character" w:customStyle="1" w:styleId="Ttulo4Char">
    <w:name w:val="Título 4 Char"/>
    <w:basedOn w:val="Fontepargpadro"/>
    <w:rsid w:val="001233DD"/>
    <w:rPr>
      <w:rFonts w:ascii="Cambria" w:hAnsi="Cambria"/>
      <w:b/>
      <w:bCs/>
      <w:i/>
      <w:iCs/>
      <w:color w:val="4F81BD"/>
    </w:rPr>
  </w:style>
  <w:style w:type="character" w:customStyle="1" w:styleId="Ttulo5Char">
    <w:name w:val="Título 5 Char"/>
    <w:basedOn w:val="Fontepargpadro"/>
    <w:rsid w:val="001233DD"/>
    <w:rPr>
      <w:rFonts w:ascii="Cambria" w:hAnsi="Cambria"/>
      <w:color w:val="243F60"/>
    </w:rPr>
  </w:style>
  <w:style w:type="character" w:customStyle="1" w:styleId="Ttulo6Char">
    <w:name w:val="Título 6 Char"/>
    <w:basedOn w:val="Fontepargpadro"/>
    <w:rsid w:val="001233DD"/>
    <w:rPr>
      <w:rFonts w:ascii="Cambria" w:hAnsi="Cambria"/>
      <w:i/>
      <w:iCs/>
      <w:color w:val="243F60"/>
    </w:rPr>
  </w:style>
  <w:style w:type="character" w:customStyle="1" w:styleId="Ttulo7Char">
    <w:name w:val="Título 7 Char"/>
    <w:basedOn w:val="Fontepargpadro"/>
    <w:rsid w:val="001233DD"/>
    <w:rPr>
      <w:rFonts w:ascii="Cambria" w:hAnsi="Cambria"/>
      <w:i/>
      <w:iCs/>
      <w:color w:val="404040"/>
    </w:rPr>
  </w:style>
  <w:style w:type="character" w:customStyle="1" w:styleId="Ttulo8Char">
    <w:name w:val="Título 8 Char"/>
    <w:basedOn w:val="Fontepargpadro"/>
    <w:rsid w:val="001233DD"/>
    <w:rPr>
      <w:rFonts w:ascii="Cambria" w:hAnsi="Cambria"/>
      <w:color w:val="404040"/>
      <w:sz w:val="20"/>
      <w:szCs w:val="20"/>
    </w:rPr>
  </w:style>
  <w:style w:type="character" w:customStyle="1" w:styleId="Ttulo9Char">
    <w:name w:val="Título 9 Char"/>
    <w:basedOn w:val="Fontepargpadro"/>
    <w:rsid w:val="001233DD"/>
    <w:rPr>
      <w:rFonts w:ascii="Cambria" w:hAnsi="Cambria"/>
      <w:i/>
      <w:iCs/>
      <w:color w:val="404040"/>
      <w:sz w:val="20"/>
      <w:szCs w:val="20"/>
    </w:rPr>
  </w:style>
  <w:style w:type="character" w:customStyle="1" w:styleId="LinkdaInternet">
    <w:name w:val="Link da Internet"/>
    <w:basedOn w:val="Fontepargpadro"/>
    <w:rsid w:val="001233DD"/>
    <w:rPr>
      <w:color w:val="0000FF"/>
      <w:u w:val="single"/>
    </w:rPr>
  </w:style>
  <w:style w:type="character" w:customStyle="1" w:styleId="Caracteresdenotaderodap">
    <w:name w:val="Caracteres de nota de rodapé"/>
    <w:rsid w:val="001233DD"/>
  </w:style>
  <w:style w:type="character" w:customStyle="1" w:styleId="ncoradanotaderodap">
    <w:name w:val="Âncora da nota de rodapé"/>
    <w:rsid w:val="001233DD"/>
    <w:rPr>
      <w:vertAlign w:val="superscript"/>
    </w:rPr>
  </w:style>
  <w:style w:type="character" w:customStyle="1" w:styleId="ncoradanotadefim">
    <w:name w:val="Âncora da nota de fim"/>
    <w:rsid w:val="001233DD"/>
    <w:rPr>
      <w:vertAlign w:val="superscript"/>
    </w:rPr>
  </w:style>
  <w:style w:type="character" w:customStyle="1" w:styleId="Caracteresdenotadefim">
    <w:name w:val="Caracteres de nota de fim"/>
    <w:rsid w:val="001233DD"/>
  </w:style>
  <w:style w:type="paragraph" w:styleId="Ttulo">
    <w:name w:val="Title"/>
    <w:basedOn w:val="Estilopadro"/>
    <w:next w:val="Corpodotexto"/>
    <w:rsid w:val="001233DD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Corpodotexto">
    <w:name w:val="Corpo do texto"/>
    <w:basedOn w:val="Estilopadro"/>
    <w:rsid w:val="001233DD"/>
    <w:pPr>
      <w:spacing w:after="120"/>
    </w:pPr>
  </w:style>
  <w:style w:type="paragraph" w:styleId="Lista">
    <w:name w:val="List"/>
    <w:basedOn w:val="Corpodotexto"/>
    <w:rsid w:val="001233DD"/>
    <w:rPr>
      <w:rFonts w:cs="Lohit Hindi"/>
    </w:rPr>
  </w:style>
  <w:style w:type="paragraph" w:styleId="Legenda">
    <w:name w:val="caption"/>
    <w:basedOn w:val="Estilopadro"/>
    <w:rsid w:val="001233D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Estilopadro"/>
    <w:rsid w:val="001233DD"/>
    <w:pPr>
      <w:suppressLineNumbers/>
    </w:pPr>
    <w:rPr>
      <w:rFonts w:cs="Lohit Hindi"/>
    </w:rPr>
  </w:style>
  <w:style w:type="paragraph" w:styleId="PargrafodaLista">
    <w:name w:val="List Paragraph"/>
    <w:basedOn w:val="Estilopadro"/>
    <w:rsid w:val="001233DD"/>
    <w:pPr>
      <w:ind w:left="720"/>
      <w:contextualSpacing/>
    </w:pPr>
  </w:style>
  <w:style w:type="paragraph" w:styleId="Textodenotaderodap">
    <w:name w:val="footnote text"/>
    <w:basedOn w:val="Estilopadro"/>
    <w:rsid w:val="001233DD"/>
    <w:pPr>
      <w:spacing w:after="0" w:line="100" w:lineRule="atLeast"/>
    </w:pPr>
    <w:rPr>
      <w:sz w:val="20"/>
      <w:szCs w:val="20"/>
    </w:rPr>
  </w:style>
  <w:style w:type="paragraph" w:customStyle="1" w:styleId="Notaderodap">
    <w:name w:val="Nota de rodapé"/>
    <w:basedOn w:val="Estilopadro"/>
    <w:rsid w:val="001233D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isway.com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1015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Wemerson</dc:creator>
  <cp:keywords>Wemerson Direito</cp:keywords>
  <cp:lastModifiedBy>Familia</cp:lastModifiedBy>
  <cp:revision>3</cp:revision>
  <dcterms:created xsi:type="dcterms:W3CDTF">2013-09-30T01:19:00Z</dcterms:created>
  <dcterms:modified xsi:type="dcterms:W3CDTF">2013-10-11T20:00:00Z</dcterms:modified>
</cp:coreProperties>
</file>