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4D0F" w:rsidRDefault="006131B0">
      <w:pPr>
        <w:rPr>
          <w:rFonts w:ascii="Times New Roman" w:hAnsi="Times New Roman" w:cs="Times New Roman"/>
          <w:sz w:val="28"/>
        </w:rPr>
      </w:pPr>
      <w:r w:rsidRPr="00CE3A04">
        <w:rPr>
          <w:rFonts w:ascii="Times New Roman" w:hAnsi="Times New Roman" w:cs="Times New Roman"/>
          <w:sz w:val="28"/>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29.45pt" o:ole="" fillcolor="window">
            <v:imagedata r:id="rId9" o:title=""/>
          </v:shape>
          <o:OLEObject Type="Embed" ProgID="Msxml2.SAXXMLReader.5.0" ShapeID="_x0000_i1025" DrawAspect="Content" ObjectID="_1437305201" r:id="rId10"/>
        </w:object>
      </w:r>
    </w:p>
    <w:p w:rsidR="006131B0" w:rsidRDefault="006131B0">
      <w:pPr>
        <w:rPr>
          <w:rFonts w:ascii="Times New Roman" w:hAnsi="Times New Roman" w:cs="Times New Roman"/>
          <w:sz w:val="28"/>
        </w:rPr>
      </w:pPr>
    </w:p>
    <w:p w:rsidR="006131B0" w:rsidRDefault="006131B0" w:rsidP="006131B0">
      <w:pPr>
        <w:jc w:val="center"/>
        <w:rPr>
          <w:rFonts w:ascii="Times New Roman" w:hAnsi="Times New Roman" w:cs="Times New Roman"/>
          <w:b/>
          <w:bCs/>
          <w:sz w:val="28"/>
          <w:szCs w:val="28"/>
        </w:rPr>
      </w:pPr>
      <w:r>
        <w:rPr>
          <w:rFonts w:ascii="Times New Roman" w:hAnsi="Times New Roman" w:cs="Times New Roman"/>
          <w:b/>
          <w:bCs/>
          <w:sz w:val="28"/>
          <w:szCs w:val="28"/>
        </w:rPr>
        <w:t>A relevância do consentimento nos crimes contra a liberdade sexual e a violência presumida</w:t>
      </w:r>
      <w:r w:rsidR="00104AAE">
        <w:rPr>
          <w:rStyle w:val="Refdenotaderodap"/>
          <w:rFonts w:ascii="Times New Roman" w:hAnsi="Times New Roman" w:cs="Times New Roman"/>
          <w:b/>
          <w:bCs/>
          <w:sz w:val="28"/>
          <w:szCs w:val="28"/>
        </w:rPr>
        <w:footnoteReference w:id="1"/>
      </w:r>
    </w:p>
    <w:p w:rsidR="006131B0" w:rsidRDefault="006131B0" w:rsidP="006131B0">
      <w:pPr>
        <w:jc w:val="center"/>
        <w:rPr>
          <w:rFonts w:ascii="Times New Roman" w:hAnsi="Times New Roman" w:cs="Times New Roman"/>
          <w:b/>
          <w:bCs/>
          <w:sz w:val="28"/>
          <w:szCs w:val="28"/>
        </w:rPr>
      </w:pPr>
    </w:p>
    <w:p w:rsidR="006131B0" w:rsidRPr="00CE3A04" w:rsidRDefault="006131B0" w:rsidP="006131B0">
      <w:pPr>
        <w:jc w:val="right"/>
        <w:rPr>
          <w:rFonts w:ascii="Times New Roman" w:hAnsi="Times New Roman" w:cs="Times New Roman"/>
          <w:bCs/>
          <w:i/>
          <w:sz w:val="24"/>
          <w:szCs w:val="24"/>
        </w:rPr>
      </w:pPr>
      <w:r w:rsidRPr="00CE3A04">
        <w:rPr>
          <w:rFonts w:ascii="Times New Roman" w:hAnsi="Times New Roman" w:cs="Times New Roman"/>
          <w:bCs/>
          <w:i/>
          <w:sz w:val="24"/>
          <w:szCs w:val="24"/>
        </w:rPr>
        <w:t>Anderson dos Santos Guimarães e Carlos Alberto Braga Diniz Neto</w:t>
      </w:r>
      <w:r w:rsidR="00104AAE">
        <w:rPr>
          <w:rStyle w:val="Refdenotaderodap"/>
          <w:rFonts w:ascii="Times New Roman" w:hAnsi="Times New Roman" w:cs="Times New Roman"/>
          <w:bCs/>
          <w:i/>
          <w:sz w:val="24"/>
          <w:szCs w:val="24"/>
        </w:rPr>
        <w:footnoteReference w:id="2"/>
      </w:r>
    </w:p>
    <w:p w:rsidR="006131B0" w:rsidRDefault="00255870" w:rsidP="006131B0">
      <w:pPr>
        <w:jc w:val="right"/>
        <w:rPr>
          <w:rFonts w:ascii="Times New Roman" w:hAnsi="Times New Roman" w:cs="Times New Roman"/>
          <w:bCs/>
          <w:i/>
          <w:sz w:val="24"/>
          <w:szCs w:val="24"/>
        </w:rPr>
      </w:pPr>
      <w:proofErr w:type="spellStart"/>
      <w:r>
        <w:rPr>
          <w:rFonts w:ascii="Times New Roman" w:hAnsi="Times New Roman" w:cs="Times New Roman"/>
          <w:bCs/>
          <w:i/>
          <w:sz w:val="24"/>
          <w:szCs w:val="24"/>
        </w:rPr>
        <w:t>Cleo</w:t>
      </w:r>
      <w:r w:rsidR="006131B0">
        <w:rPr>
          <w:rFonts w:ascii="Times New Roman" w:hAnsi="Times New Roman" w:cs="Times New Roman"/>
          <w:bCs/>
          <w:i/>
          <w:sz w:val="24"/>
          <w:szCs w:val="24"/>
        </w:rPr>
        <w:t>pa</w:t>
      </w:r>
      <w:r w:rsidR="006131B0" w:rsidRPr="00CE3A04">
        <w:rPr>
          <w:rFonts w:ascii="Times New Roman" w:hAnsi="Times New Roman" w:cs="Times New Roman"/>
          <w:bCs/>
          <w:i/>
          <w:sz w:val="24"/>
          <w:szCs w:val="24"/>
        </w:rPr>
        <w:t>s</w:t>
      </w:r>
      <w:proofErr w:type="spellEnd"/>
      <w:r w:rsidR="006131B0">
        <w:rPr>
          <w:rFonts w:ascii="Times New Roman" w:hAnsi="Times New Roman" w:cs="Times New Roman"/>
          <w:bCs/>
          <w:i/>
          <w:sz w:val="24"/>
          <w:szCs w:val="24"/>
        </w:rPr>
        <w:t xml:space="preserve"> Isaías</w:t>
      </w:r>
      <w:r w:rsidR="00104AAE">
        <w:rPr>
          <w:rStyle w:val="Refdenotaderodap"/>
          <w:rFonts w:ascii="Times New Roman" w:hAnsi="Times New Roman" w:cs="Times New Roman"/>
          <w:bCs/>
          <w:i/>
          <w:sz w:val="24"/>
          <w:szCs w:val="24"/>
        </w:rPr>
        <w:footnoteReference w:id="3"/>
      </w:r>
    </w:p>
    <w:p w:rsidR="006131B0" w:rsidRDefault="006131B0" w:rsidP="006131B0">
      <w:pPr>
        <w:jc w:val="right"/>
        <w:rPr>
          <w:rFonts w:ascii="Times New Roman" w:hAnsi="Times New Roman" w:cs="Times New Roman"/>
          <w:bCs/>
          <w:i/>
          <w:sz w:val="24"/>
          <w:szCs w:val="24"/>
        </w:rPr>
      </w:pPr>
    </w:p>
    <w:p w:rsidR="006131B0" w:rsidRDefault="006131B0" w:rsidP="006131B0">
      <w:pPr>
        <w:pStyle w:val="PargrafodaLista"/>
        <w:spacing w:line="240" w:lineRule="auto"/>
        <w:ind w:left="2835"/>
        <w:jc w:val="both"/>
        <w:rPr>
          <w:rFonts w:ascii="Times New Roman" w:hAnsi="Times New Roman" w:cs="Times New Roman"/>
          <w:sz w:val="24"/>
          <w:szCs w:val="24"/>
        </w:rPr>
      </w:pPr>
      <w:r w:rsidRPr="00CE3A04">
        <w:rPr>
          <w:rFonts w:ascii="Times New Roman" w:hAnsi="Times New Roman" w:cs="Times New Roman"/>
          <w:b/>
          <w:bCs/>
          <w:sz w:val="24"/>
          <w:szCs w:val="24"/>
        </w:rPr>
        <w:t xml:space="preserve">SUMÁRIO: </w:t>
      </w:r>
      <w:r w:rsidRPr="00CE3A04">
        <w:rPr>
          <w:rFonts w:ascii="Times New Roman" w:hAnsi="Times New Roman" w:cs="Times New Roman"/>
          <w:bCs/>
          <w:sz w:val="24"/>
          <w:szCs w:val="24"/>
        </w:rPr>
        <w:t xml:space="preserve">Considerações Introdutórias; </w:t>
      </w:r>
      <w:proofErr w:type="gramStart"/>
      <w:r w:rsidRPr="00CE3A04">
        <w:rPr>
          <w:rFonts w:ascii="Times New Roman" w:hAnsi="Times New Roman" w:cs="Times New Roman"/>
          <w:bCs/>
          <w:sz w:val="24"/>
          <w:szCs w:val="24"/>
        </w:rPr>
        <w:t>2</w:t>
      </w:r>
      <w:proofErr w:type="gramEnd"/>
      <w:r w:rsidRPr="00CE3A04">
        <w:rPr>
          <w:rFonts w:ascii="Times New Roman" w:hAnsi="Times New Roman" w:cs="Times New Roman"/>
          <w:bCs/>
          <w:sz w:val="24"/>
          <w:szCs w:val="24"/>
        </w:rPr>
        <w:t xml:space="preserve">. </w:t>
      </w:r>
      <w:r>
        <w:rPr>
          <w:rFonts w:ascii="Times New Roman" w:hAnsi="Times New Roman" w:cs="Times New Roman"/>
          <w:sz w:val="24"/>
          <w:szCs w:val="24"/>
        </w:rPr>
        <w:t xml:space="preserve">O consentimento no Direito Penal;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A relevância do consentimento nos crimes contra a liberdade sexual; 3.1. A fixação de uma idade mínima</w:t>
      </w:r>
      <w:r w:rsidRPr="00CE3A04">
        <w:rPr>
          <w:rFonts w:ascii="Times New Roman" w:hAnsi="Times New Roman" w:cs="Times New Roman"/>
          <w:sz w:val="24"/>
          <w:szCs w:val="24"/>
        </w:rPr>
        <w:t>; 3.2. A</w:t>
      </w:r>
      <w:r>
        <w:rPr>
          <w:rFonts w:ascii="Times New Roman" w:hAnsi="Times New Roman" w:cs="Times New Roman"/>
          <w:sz w:val="24"/>
          <w:szCs w:val="24"/>
        </w:rPr>
        <w:t xml:space="preserve"> relativização da idade mínima pelo </w:t>
      </w:r>
      <w:r>
        <w:rPr>
          <w:rFonts w:ascii="Times New Roman" w:hAnsi="Times New Roman" w:cs="Times New Roman"/>
          <w:i/>
          <w:sz w:val="24"/>
          <w:szCs w:val="24"/>
        </w:rPr>
        <w:t xml:space="preserve">Habeas Corpus </w:t>
      </w:r>
      <w:r>
        <w:rPr>
          <w:rFonts w:ascii="Times New Roman" w:hAnsi="Times New Roman" w:cs="Times New Roman"/>
          <w:sz w:val="24"/>
          <w:szCs w:val="24"/>
        </w:rPr>
        <w:t>73.662</w:t>
      </w:r>
      <w:r w:rsidRPr="00CE3A04">
        <w:rPr>
          <w:rFonts w:ascii="Times New Roman" w:hAnsi="Times New Roman" w:cs="Times New Roman"/>
          <w:sz w:val="24"/>
          <w:szCs w:val="24"/>
        </w:rPr>
        <w:t>; Considerações Finais; Referências.</w:t>
      </w:r>
    </w:p>
    <w:p w:rsidR="006131B0" w:rsidRPr="00CE3A04" w:rsidRDefault="006131B0" w:rsidP="006131B0">
      <w:pPr>
        <w:pStyle w:val="PargrafodaLista"/>
        <w:spacing w:line="240" w:lineRule="auto"/>
        <w:ind w:left="2835"/>
        <w:jc w:val="both"/>
        <w:rPr>
          <w:rFonts w:ascii="Times New Roman" w:hAnsi="Times New Roman" w:cs="Times New Roman"/>
          <w:sz w:val="24"/>
          <w:szCs w:val="24"/>
        </w:rPr>
      </w:pPr>
    </w:p>
    <w:p w:rsidR="006131B0" w:rsidRDefault="006131B0" w:rsidP="006131B0">
      <w:pPr>
        <w:spacing w:after="0" w:line="360" w:lineRule="auto"/>
        <w:jc w:val="center"/>
        <w:rPr>
          <w:rFonts w:ascii="Times New Roman" w:hAnsi="Times New Roman" w:cs="Times New Roman"/>
          <w:b/>
          <w:bCs/>
          <w:sz w:val="24"/>
          <w:szCs w:val="24"/>
        </w:rPr>
      </w:pPr>
      <w:r w:rsidRPr="00CE3A04">
        <w:rPr>
          <w:rFonts w:ascii="Times New Roman" w:hAnsi="Times New Roman" w:cs="Times New Roman"/>
          <w:b/>
          <w:bCs/>
          <w:sz w:val="24"/>
          <w:szCs w:val="24"/>
        </w:rPr>
        <w:t>RESUMO</w:t>
      </w:r>
    </w:p>
    <w:p w:rsidR="006131B0" w:rsidRPr="00671EB8" w:rsidRDefault="00104AAE" w:rsidP="009032F4">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partir de uma análise “dedutiva”, </w:t>
      </w:r>
      <w:r w:rsidR="00AF5150">
        <w:rPr>
          <w:rFonts w:ascii="Times New Roman" w:hAnsi="Times New Roman" w:cs="Times New Roman"/>
          <w:bCs/>
          <w:sz w:val="24"/>
          <w:szCs w:val="24"/>
        </w:rPr>
        <w:t xml:space="preserve">foi feito um estudo acerca do consentimento no Direito Penal em geral e, posteriormente, de maneira mais particular nos crimes contra a liberdade sexual. Reside, nesta última investigação, conteúdo polêmico: se há uma idade mínima para consentir, qual seria esta e se tal idade tem caráter absoluto ou relativo. A relevância das respostas a essas perguntas encontra-se na questão da violência presumida – necessariamente ligada à fixação e relativização ou não da idade.  </w:t>
      </w:r>
      <w:r w:rsidR="009032F4">
        <w:rPr>
          <w:rFonts w:ascii="Times New Roman" w:hAnsi="Times New Roman" w:cs="Times New Roman"/>
          <w:bCs/>
          <w:sz w:val="24"/>
          <w:szCs w:val="24"/>
        </w:rPr>
        <w:t xml:space="preserve">Além das questões fáticas e jurídicas mais evidentes, indubitavelmente há uma série de princípios constitucionais, penais e garantias fundamentais atinentes tanto à vítima quando ao agressor – fato este que eleva a polêmica. Pacificar as divergências fundamentadamente </w:t>
      </w:r>
      <w:r w:rsidR="00C44FC1">
        <w:rPr>
          <w:rFonts w:ascii="Times New Roman" w:hAnsi="Times New Roman" w:cs="Times New Roman"/>
          <w:bCs/>
          <w:sz w:val="24"/>
          <w:szCs w:val="24"/>
        </w:rPr>
        <w:t>é objeto desse trabalho.</w:t>
      </w:r>
      <w:r w:rsidR="009032F4">
        <w:rPr>
          <w:rFonts w:ascii="Times New Roman" w:hAnsi="Times New Roman" w:cs="Times New Roman"/>
          <w:bCs/>
          <w:sz w:val="24"/>
          <w:szCs w:val="24"/>
        </w:rPr>
        <w:t xml:space="preserve"> </w:t>
      </w:r>
    </w:p>
    <w:p w:rsidR="006131B0" w:rsidRPr="00CE3A04" w:rsidRDefault="006131B0" w:rsidP="006131B0">
      <w:pPr>
        <w:spacing w:after="0" w:line="360" w:lineRule="auto"/>
        <w:ind w:firstLine="1134"/>
        <w:jc w:val="both"/>
        <w:rPr>
          <w:rFonts w:ascii="Times New Roman" w:hAnsi="Times New Roman" w:cs="Times New Roman"/>
          <w:bCs/>
          <w:sz w:val="24"/>
          <w:szCs w:val="24"/>
        </w:rPr>
      </w:pPr>
    </w:p>
    <w:p w:rsidR="006131B0" w:rsidRDefault="006131B0" w:rsidP="006131B0">
      <w:pPr>
        <w:spacing w:after="0" w:line="360" w:lineRule="auto"/>
        <w:jc w:val="both"/>
        <w:rPr>
          <w:rFonts w:ascii="Times New Roman" w:hAnsi="Times New Roman" w:cs="Times New Roman"/>
          <w:sz w:val="24"/>
          <w:szCs w:val="24"/>
        </w:rPr>
      </w:pPr>
      <w:r w:rsidRPr="00CE3A04">
        <w:rPr>
          <w:rFonts w:ascii="Times New Roman" w:hAnsi="Times New Roman" w:cs="Times New Roman"/>
          <w:b/>
          <w:sz w:val="24"/>
          <w:szCs w:val="24"/>
        </w:rPr>
        <w:t xml:space="preserve">Palavras-chave: </w:t>
      </w:r>
      <w:r>
        <w:rPr>
          <w:rFonts w:ascii="Times New Roman" w:hAnsi="Times New Roman" w:cs="Times New Roman"/>
          <w:sz w:val="24"/>
          <w:szCs w:val="24"/>
        </w:rPr>
        <w:t>Crimes contra a liberdade sexual</w:t>
      </w:r>
      <w:r w:rsidRPr="00CE3A04">
        <w:rPr>
          <w:rFonts w:ascii="Times New Roman" w:hAnsi="Times New Roman" w:cs="Times New Roman"/>
          <w:sz w:val="24"/>
          <w:szCs w:val="24"/>
        </w:rPr>
        <w:t>; Direit</w:t>
      </w:r>
      <w:r>
        <w:rPr>
          <w:rFonts w:ascii="Times New Roman" w:hAnsi="Times New Roman" w:cs="Times New Roman"/>
          <w:sz w:val="24"/>
          <w:szCs w:val="24"/>
        </w:rPr>
        <w:t>o Penal; Consentimento</w:t>
      </w:r>
      <w:r w:rsidRPr="00CE3A04">
        <w:rPr>
          <w:rFonts w:ascii="Times New Roman" w:hAnsi="Times New Roman" w:cs="Times New Roman"/>
          <w:sz w:val="24"/>
          <w:szCs w:val="24"/>
        </w:rPr>
        <w:t xml:space="preserve">; </w:t>
      </w:r>
      <w:r>
        <w:rPr>
          <w:rFonts w:ascii="Times New Roman" w:hAnsi="Times New Roman" w:cs="Times New Roman"/>
          <w:sz w:val="24"/>
          <w:szCs w:val="24"/>
        </w:rPr>
        <w:t>Direito Constitucional; Idade mínima</w:t>
      </w:r>
      <w:r w:rsidRPr="00CE3A04">
        <w:rPr>
          <w:rFonts w:ascii="Times New Roman" w:hAnsi="Times New Roman" w:cs="Times New Roman"/>
          <w:sz w:val="24"/>
          <w:szCs w:val="24"/>
        </w:rPr>
        <w:t>.</w:t>
      </w:r>
    </w:p>
    <w:p w:rsidR="00104AAE" w:rsidRDefault="00104AAE" w:rsidP="006131B0">
      <w:pPr>
        <w:spacing w:after="0" w:line="360" w:lineRule="auto"/>
        <w:jc w:val="both"/>
        <w:rPr>
          <w:rFonts w:ascii="Times New Roman" w:hAnsi="Times New Roman" w:cs="Times New Roman"/>
          <w:sz w:val="24"/>
          <w:szCs w:val="24"/>
        </w:rPr>
      </w:pPr>
    </w:p>
    <w:p w:rsidR="00104AAE" w:rsidRDefault="00104AAE" w:rsidP="00104AAE">
      <w:pPr>
        <w:pStyle w:val="Pargrafoda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CONSIDERAÇÕES INTRODUTÓRIAS</w:t>
      </w:r>
    </w:p>
    <w:p w:rsidR="00104AAE" w:rsidRDefault="00104AAE" w:rsidP="00104AAE">
      <w:pPr>
        <w:pStyle w:val="PargrafodaLista"/>
        <w:spacing w:after="0" w:line="360" w:lineRule="auto"/>
        <w:ind w:left="0" w:firstLine="1134"/>
        <w:jc w:val="both"/>
        <w:rPr>
          <w:rFonts w:ascii="Times New Roman" w:hAnsi="Times New Roman" w:cs="Times New Roman"/>
          <w:sz w:val="24"/>
          <w:szCs w:val="24"/>
        </w:rPr>
      </w:pPr>
      <w:r w:rsidRPr="00104AAE">
        <w:rPr>
          <w:rFonts w:ascii="Times New Roman" w:hAnsi="Times New Roman" w:cs="Times New Roman"/>
          <w:sz w:val="24"/>
          <w:szCs w:val="24"/>
        </w:rPr>
        <w:t>Nos crimes contra a liberdade sexual, sabe-se que o elemento subjetivo é dolo. Entretanto, a exteriorização da vontade, em tais crimes, poderá, eventualmente, partir da vítima. Faz-se necessário analisar uma questão de suma importância: o consentimento da vítima, traduzido na vontade expressa desta. Uma das questões discutidas sobre o assunto faz referência a idade mínima para consentir. O STF afirmou, no HC 73.662, que a capacidade para consentir, teoricamente estabelecida aos 14 anos, é relativa. Tal relativização permite ao autor alegar erro de tipo ou até mesmo erro de proibição. Esse conjunto de consentimento, flexibilização da idade e alegação de erro será analisada no caso concreto devido ao grau de ameaça e</w:t>
      </w:r>
      <w:r w:rsidRPr="000064D2">
        <w:sym w:font="Symbol" w:char="F02F"/>
      </w:r>
      <w:r w:rsidRPr="00104AAE">
        <w:rPr>
          <w:rFonts w:ascii="Times New Roman" w:hAnsi="Times New Roman" w:cs="Times New Roman"/>
          <w:sz w:val="24"/>
          <w:szCs w:val="24"/>
        </w:rPr>
        <w:t>ou violência utilizadas nas condutas delituosas e se, levando em consideração a idade da vítima, se estas podem ser entendidas como presumidas. A partir das decisões mais importantes proferidas pelos tribunais pátrios, é possível criar uma linha de pensamento capaz de fundamentar as questões fulcrais sobre o tema, quais sejam: se o consentimento é capaz de tornar a conduta atípica, se a violência prevalece sobre o consentimento, se a relativização da idade é algo moral e juridicamente aceitável, se esta pode fundamentar os erros de tipo e de proibição e, a partir disso, analisar a qual idade etária cabe estabelecer a violência presumida.</w:t>
      </w:r>
    </w:p>
    <w:p w:rsidR="00710A76" w:rsidRDefault="00710A76" w:rsidP="00104AAE">
      <w:pPr>
        <w:pStyle w:val="PargrafodaLista"/>
        <w:spacing w:after="0" w:line="360" w:lineRule="auto"/>
        <w:ind w:left="0" w:firstLine="1134"/>
        <w:jc w:val="both"/>
        <w:rPr>
          <w:rFonts w:ascii="Times New Roman" w:hAnsi="Times New Roman" w:cs="Times New Roman"/>
          <w:sz w:val="24"/>
          <w:szCs w:val="24"/>
        </w:rPr>
      </w:pPr>
    </w:p>
    <w:p w:rsidR="00E009C7" w:rsidRPr="00E009C7" w:rsidRDefault="00E009C7" w:rsidP="00E009C7">
      <w:pPr>
        <w:pStyle w:val="Pargrafoda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CONSENTIMENTO NO DIREITO PENAL</w:t>
      </w:r>
    </w:p>
    <w:p w:rsidR="0096167D" w:rsidRDefault="00192EA6" w:rsidP="00104AA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consentimento, regido pelo princípio da </w:t>
      </w:r>
      <w:proofErr w:type="spellStart"/>
      <w:r w:rsidRPr="0096167D">
        <w:rPr>
          <w:rFonts w:ascii="Times New Roman" w:hAnsi="Times New Roman" w:cs="Times New Roman"/>
          <w:i/>
          <w:sz w:val="24"/>
          <w:szCs w:val="24"/>
        </w:rPr>
        <w:t>volenti</w:t>
      </w:r>
      <w:proofErr w:type="spellEnd"/>
      <w:r w:rsidRPr="0096167D">
        <w:rPr>
          <w:rFonts w:ascii="Times New Roman" w:hAnsi="Times New Roman" w:cs="Times New Roman"/>
          <w:i/>
          <w:sz w:val="24"/>
          <w:szCs w:val="24"/>
        </w:rPr>
        <w:t xml:space="preserve"> non </w:t>
      </w:r>
      <w:proofErr w:type="spellStart"/>
      <w:r w:rsidRPr="0096167D">
        <w:rPr>
          <w:rFonts w:ascii="Times New Roman" w:hAnsi="Times New Roman" w:cs="Times New Roman"/>
          <w:i/>
          <w:sz w:val="24"/>
          <w:szCs w:val="24"/>
        </w:rPr>
        <w:t>fit</w:t>
      </w:r>
      <w:proofErr w:type="spellEnd"/>
      <w:r w:rsidRPr="0096167D">
        <w:rPr>
          <w:rFonts w:ascii="Times New Roman" w:hAnsi="Times New Roman" w:cs="Times New Roman"/>
          <w:i/>
          <w:sz w:val="24"/>
          <w:szCs w:val="24"/>
        </w:rPr>
        <w:t xml:space="preserve"> injuria</w:t>
      </w:r>
      <w:r w:rsidR="0096167D">
        <w:rPr>
          <w:rFonts w:ascii="Times New Roman" w:hAnsi="Times New Roman" w:cs="Times New Roman"/>
          <w:sz w:val="24"/>
          <w:szCs w:val="24"/>
        </w:rPr>
        <w:t xml:space="preserve"> (a quem consente não se faz injúria), é</w:t>
      </w:r>
      <w:r w:rsidR="00E009C7">
        <w:rPr>
          <w:rFonts w:ascii="Times New Roman" w:hAnsi="Times New Roman" w:cs="Times New Roman"/>
          <w:sz w:val="24"/>
          <w:szCs w:val="24"/>
        </w:rPr>
        <w:t xml:space="preserve"> traduzido na vontade expressa do sujeito passivo, o qual deverá concordar</w:t>
      </w:r>
      <w:r w:rsidR="007C2FEF">
        <w:rPr>
          <w:rFonts w:ascii="Times New Roman" w:hAnsi="Times New Roman" w:cs="Times New Roman"/>
          <w:sz w:val="24"/>
          <w:szCs w:val="24"/>
        </w:rPr>
        <w:t>, de forma prévia,</w:t>
      </w:r>
      <w:r w:rsidR="00E009C7">
        <w:rPr>
          <w:rFonts w:ascii="Times New Roman" w:hAnsi="Times New Roman" w:cs="Times New Roman"/>
          <w:sz w:val="24"/>
          <w:szCs w:val="24"/>
        </w:rPr>
        <w:t xml:space="preserve"> com a realização da conduta por parte do agente</w:t>
      </w:r>
      <w:r>
        <w:rPr>
          <w:rFonts w:ascii="Times New Roman" w:hAnsi="Times New Roman" w:cs="Times New Roman"/>
          <w:sz w:val="24"/>
          <w:szCs w:val="24"/>
        </w:rPr>
        <w:t>, tendo como resultado a afetação do bem jurídico do qual ele próprio é titular</w:t>
      </w:r>
      <w:r w:rsidR="00C629F0">
        <w:rPr>
          <w:rFonts w:ascii="Times New Roman" w:hAnsi="Times New Roman" w:cs="Times New Roman"/>
          <w:sz w:val="24"/>
          <w:szCs w:val="24"/>
        </w:rPr>
        <w:t>. O consentimento, se realizado na forma apropriada</w:t>
      </w:r>
      <w:r w:rsidR="00710A76">
        <w:rPr>
          <w:rFonts w:ascii="Times New Roman" w:hAnsi="Times New Roman" w:cs="Times New Roman"/>
          <w:sz w:val="24"/>
          <w:szCs w:val="24"/>
        </w:rPr>
        <w:t xml:space="preserve"> – o chamado consentimento genuíno</w:t>
      </w:r>
      <w:r w:rsidR="0096167D">
        <w:rPr>
          <w:rFonts w:ascii="Times New Roman" w:hAnsi="Times New Roman" w:cs="Times New Roman"/>
          <w:sz w:val="24"/>
          <w:szCs w:val="24"/>
        </w:rPr>
        <w:t xml:space="preserve"> –, </w:t>
      </w:r>
    </w:p>
    <w:p w:rsidR="00104AAE" w:rsidRDefault="0096167D" w:rsidP="0096167D">
      <w:pPr>
        <w:pStyle w:val="PargrafodaLista"/>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poderá</w:t>
      </w:r>
      <w:proofErr w:type="gramEnd"/>
      <w:r w:rsidR="00C629F0">
        <w:rPr>
          <w:rFonts w:ascii="Times New Roman" w:hAnsi="Times New Roman" w:cs="Times New Roman"/>
          <w:sz w:val="24"/>
          <w:szCs w:val="24"/>
        </w:rPr>
        <w:t xml:space="preserve"> constituir causa de exclusão da antijuridicidade</w:t>
      </w:r>
      <w:r w:rsidR="007C2FEF">
        <w:rPr>
          <w:rFonts w:ascii="Times New Roman" w:hAnsi="Times New Roman" w:cs="Times New Roman"/>
          <w:sz w:val="24"/>
          <w:szCs w:val="24"/>
        </w:rPr>
        <w:t>, visto que a prática do tipo se realiza, mas no âmbito da juridicidade</w:t>
      </w:r>
      <w:r w:rsidR="00C629F0">
        <w:rPr>
          <w:rFonts w:ascii="Times New Roman" w:hAnsi="Times New Roman" w:cs="Times New Roman"/>
          <w:sz w:val="24"/>
          <w:szCs w:val="24"/>
        </w:rPr>
        <w:t>. Alguns autores</w:t>
      </w:r>
      <w:r w:rsidR="009048FE">
        <w:rPr>
          <w:rFonts w:ascii="Times New Roman" w:hAnsi="Times New Roman" w:cs="Times New Roman"/>
          <w:sz w:val="24"/>
          <w:szCs w:val="24"/>
        </w:rPr>
        <w:t xml:space="preserve">, como </w:t>
      </w:r>
      <w:proofErr w:type="spellStart"/>
      <w:r w:rsidR="009048FE">
        <w:rPr>
          <w:rFonts w:ascii="Times New Roman" w:hAnsi="Times New Roman" w:cs="Times New Roman"/>
          <w:sz w:val="24"/>
          <w:szCs w:val="24"/>
        </w:rPr>
        <w:t>Claus</w:t>
      </w:r>
      <w:proofErr w:type="spellEnd"/>
      <w:r w:rsidR="009048FE">
        <w:rPr>
          <w:rFonts w:ascii="Times New Roman" w:hAnsi="Times New Roman" w:cs="Times New Roman"/>
          <w:sz w:val="24"/>
          <w:szCs w:val="24"/>
        </w:rPr>
        <w:t xml:space="preserve"> </w:t>
      </w:r>
      <w:proofErr w:type="spellStart"/>
      <w:r w:rsidR="009048FE">
        <w:rPr>
          <w:rFonts w:ascii="Times New Roman" w:hAnsi="Times New Roman" w:cs="Times New Roman"/>
          <w:sz w:val="24"/>
          <w:szCs w:val="24"/>
        </w:rPr>
        <w:t>Roxin</w:t>
      </w:r>
      <w:proofErr w:type="spellEnd"/>
      <w:r w:rsidR="009048FE">
        <w:rPr>
          <w:rFonts w:ascii="Times New Roman" w:hAnsi="Times New Roman" w:cs="Times New Roman"/>
          <w:sz w:val="24"/>
          <w:szCs w:val="24"/>
        </w:rPr>
        <w:t xml:space="preserve"> (ROXIN</w:t>
      </w:r>
      <w:r w:rsidR="00FE6764">
        <w:rPr>
          <w:rFonts w:ascii="Times New Roman" w:hAnsi="Times New Roman" w:cs="Times New Roman"/>
          <w:sz w:val="24"/>
          <w:szCs w:val="24"/>
        </w:rPr>
        <w:t>, 1997</w:t>
      </w:r>
      <w:r w:rsidR="009048FE">
        <w:rPr>
          <w:rFonts w:ascii="Times New Roman" w:hAnsi="Times New Roman" w:cs="Times New Roman"/>
          <w:sz w:val="24"/>
          <w:szCs w:val="24"/>
        </w:rPr>
        <w:t xml:space="preserve"> apud FRAGOSO</w:t>
      </w:r>
      <w:r w:rsidR="00192EA6">
        <w:rPr>
          <w:rFonts w:ascii="Times New Roman" w:hAnsi="Times New Roman" w:cs="Times New Roman"/>
          <w:sz w:val="24"/>
          <w:szCs w:val="24"/>
        </w:rPr>
        <w:t>, p. 1</w:t>
      </w:r>
      <w:r w:rsidR="009048FE">
        <w:rPr>
          <w:rFonts w:ascii="Times New Roman" w:hAnsi="Times New Roman" w:cs="Times New Roman"/>
          <w:sz w:val="24"/>
          <w:szCs w:val="24"/>
        </w:rPr>
        <w:t>)</w:t>
      </w:r>
      <w:r w:rsidR="00C629F0">
        <w:rPr>
          <w:rFonts w:ascii="Times New Roman" w:hAnsi="Times New Roman" w:cs="Times New Roman"/>
          <w:sz w:val="24"/>
          <w:szCs w:val="24"/>
        </w:rPr>
        <w:t xml:space="preserve"> ain</w:t>
      </w:r>
      <w:r w:rsidR="00710A76">
        <w:rPr>
          <w:rFonts w:ascii="Times New Roman" w:hAnsi="Times New Roman" w:cs="Times New Roman"/>
          <w:sz w:val="24"/>
          <w:szCs w:val="24"/>
        </w:rPr>
        <w:t>da afirmam que poderá se enquadrar</w:t>
      </w:r>
      <w:r w:rsidR="009048FE">
        <w:rPr>
          <w:rFonts w:ascii="Times New Roman" w:hAnsi="Times New Roman" w:cs="Times New Roman"/>
          <w:sz w:val="24"/>
          <w:szCs w:val="24"/>
        </w:rPr>
        <w:t xml:space="preserve"> sempre</w:t>
      </w:r>
      <w:r w:rsidR="00710A76">
        <w:rPr>
          <w:rFonts w:ascii="Times New Roman" w:hAnsi="Times New Roman" w:cs="Times New Roman"/>
          <w:sz w:val="24"/>
          <w:szCs w:val="24"/>
        </w:rPr>
        <w:t xml:space="preserve"> na hipótese</w:t>
      </w:r>
      <w:r w:rsidR="00C629F0">
        <w:rPr>
          <w:rFonts w:ascii="Times New Roman" w:hAnsi="Times New Roman" w:cs="Times New Roman"/>
          <w:sz w:val="24"/>
          <w:szCs w:val="24"/>
        </w:rPr>
        <w:t xml:space="preserve"> de exclusão da tipicidade, sendo chamado ainda de acordo. </w:t>
      </w:r>
    </w:p>
    <w:p w:rsidR="00450317" w:rsidRDefault="00450317" w:rsidP="00104AA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consentimento é abordado, no Direito Penal, nos mais variados âmbitos, devido </w:t>
      </w:r>
      <w:r w:rsidR="002750DA">
        <w:rPr>
          <w:rFonts w:ascii="Times New Roman" w:hAnsi="Times New Roman" w:cs="Times New Roman"/>
          <w:sz w:val="24"/>
          <w:szCs w:val="24"/>
        </w:rPr>
        <w:t>à</w:t>
      </w:r>
      <w:r>
        <w:rPr>
          <w:rFonts w:ascii="Times New Roman" w:hAnsi="Times New Roman" w:cs="Times New Roman"/>
          <w:sz w:val="24"/>
          <w:szCs w:val="24"/>
        </w:rPr>
        <w:t xml:space="preserve"> amplitude e a generalidade de que trata a vontade humana</w:t>
      </w:r>
      <w:r w:rsidR="009352DF">
        <w:rPr>
          <w:rFonts w:ascii="Times New Roman" w:hAnsi="Times New Roman" w:cs="Times New Roman"/>
          <w:sz w:val="24"/>
          <w:szCs w:val="24"/>
        </w:rPr>
        <w:t>. O c</w:t>
      </w:r>
      <w:r w:rsidR="002750DA">
        <w:rPr>
          <w:rFonts w:ascii="Times New Roman" w:hAnsi="Times New Roman" w:cs="Times New Roman"/>
          <w:sz w:val="24"/>
          <w:szCs w:val="24"/>
        </w:rPr>
        <w:t>onsentimento</w:t>
      </w:r>
      <w:r w:rsidR="00E91F87">
        <w:rPr>
          <w:rFonts w:ascii="Times New Roman" w:hAnsi="Times New Roman" w:cs="Times New Roman"/>
          <w:sz w:val="24"/>
          <w:szCs w:val="24"/>
        </w:rPr>
        <w:t>,</w:t>
      </w:r>
      <w:r w:rsidR="002750DA">
        <w:rPr>
          <w:rFonts w:ascii="Times New Roman" w:hAnsi="Times New Roman" w:cs="Times New Roman"/>
          <w:sz w:val="24"/>
          <w:szCs w:val="24"/>
        </w:rPr>
        <w:t xml:space="preserve"> em intervenções cirúrgicas, em relações sexuais,</w:t>
      </w:r>
      <w:r w:rsidR="00E91F87">
        <w:rPr>
          <w:rFonts w:ascii="Times New Roman" w:hAnsi="Times New Roman" w:cs="Times New Roman"/>
          <w:sz w:val="24"/>
          <w:szCs w:val="24"/>
        </w:rPr>
        <w:t xml:space="preserve"> em lesões corporais,</w:t>
      </w:r>
      <w:r w:rsidR="002750DA">
        <w:rPr>
          <w:rFonts w:ascii="Times New Roman" w:hAnsi="Times New Roman" w:cs="Times New Roman"/>
          <w:sz w:val="24"/>
          <w:szCs w:val="24"/>
        </w:rPr>
        <w:t xml:space="preserve"> em quase todos os crimes em que o bem jurídico protegido</w:t>
      </w:r>
      <w:r w:rsidR="009352DF">
        <w:rPr>
          <w:rFonts w:ascii="Times New Roman" w:hAnsi="Times New Roman" w:cs="Times New Roman"/>
          <w:sz w:val="24"/>
          <w:szCs w:val="24"/>
        </w:rPr>
        <w:t xml:space="preserve"> e</w:t>
      </w:r>
      <w:r w:rsidR="002750DA">
        <w:rPr>
          <w:rFonts w:ascii="Times New Roman" w:hAnsi="Times New Roman" w:cs="Times New Roman"/>
          <w:sz w:val="24"/>
          <w:szCs w:val="24"/>
        </w:rPr>
        <w:t xml:space="preserve"> </w:t>
      </w:r>
      <w:r w:rsidR="009048FE">
        <w:rPr>
          <w:rFonts w:ascii="Times New Roman" w:hAnsi="Times New Roman" w:cs="Times New Roman"/>
          <w:sz w:val="24"/>
          <w:szCs w:val="24"/>
        </w:rPr>
        <w:t>afetado pertence ao sujeito passivo</w:t>
      </w:r>
      <w:r w:rsidR="002750DA">
        <w:rPr>
          <w:rFonts w:ascii="Times New Roman" w:hAnsi="Times New Roman" w:cs="Times New Roman"/>
          <w:sz w:val="24"/>
          <w:szCs w:val="24"/>
        </w:rPr>
        <w:t>, exclui a possibilidade de caracterização</w:t>
      </w:r>
      <w:r w:rsidR="009652BD">
        <w:rPr>
          <w:rFonts w:ascii="Times New Roman" w:hAnsi="Times New Roman" w:cs="Times New Roman"/>
          <w:sz w:val="24"/>
          <w:szCs w:val="24"/>
        </w:rPr>
        <w:t xml:space="preserve"> por</w:t>
      </w:r>
      <w:r w:rsidR="009048FE">
        <w:rPr>
          <w:rFonts w:ascii="Times New Roman" w:hAnsi="Times New Roman" w:cs="Times New Roman"/>
          <w:sz w:val="24"/>
          <w:szCs w:val="24"/>
        </w:rPr>
        <w:t xml:space="preserve"> crime. No entanto, por vezes, o consentimento se </w:t>
      </w:r>
      <w:r w:rsidR="009048FE">
        <w:rPr>
          <w:rFonts w:ascii="Times New Roman" w:hAnsi="Times New Roman" w:cs="Times New Roman"/>
          <w:sz w:val="24"/>
          <w:szCs w:val="24"/>
        </w:rPr>
        <w:lastRenderedPageBreak/>
        <w:t>encontra como</w:t>
      </w:r>
      <w:r w:rsidR="009352DF">
        <w:rPr>
          <w:rFonts w:ascii="Times New Roman" w:hAnsi="Times New Roman" w:cs="Times New Roman"/>
          <w:sz w:val="24"/>
          <w:szCs w:val="24"/>
        </w:rPr>
        <w:t xml:space="preserve"> própria</w:t>
      </w:r>
      <w:r w:rsidR="009048FE">
        <w:rPr>
          <w:rFonts w:ascii="Times New Roman" w:hAnsi="Times New Roman" w:cs="Times New Roman"/>
          <w:sz w:val="24"/>
          <w:szCs w:val="24"/>
        </w:rPr>
        <w:t xml:space="preserve"> elementar do crime</w:t>
      </w:r>
      <w:r w:rsidR="00710A76">
        <w:rPr>
          <w:rFonts w:ascii="Times New Roman" w:hAnsi="Times New Roman" w:cs="Times New Roman"/>
          <w:sz w:val="24"/>
          <w:szCs w:val="24"/>
        </w:rPr>
        <w:t>, como é o caso do aborto consentido pela gestante</w:t>
      </w:r>
      <w:r w:rsidR="009352DF">
        <w:rPr>
          <w:rFonts w:ascii="Times New Roman" w:hAnsi="Times New Roman" w:cs="Times New Roman"/>
          <w:sz w:val="24"/>
          <w:szCs w:val="24"/>
        </w:rPr>
        <w:t xml:space="preserve"> (art. 126, CP)</w:t>
      </w:r>
      <w:r w:rsidR="00710A76">
        <w:rPr>
          <w:rFonts w:ascii="Times New Roman" w:hAnsi="Times New Roman" w:cs="Times New Roman"/>
          <w:sz w:val="24"/>
          <w:szCs w:val="24"/>
        </w:rPr>
        <w:t>, de forma</w:t>
      </w:r>
      <w:r w:rsidR="009048FE">
        <w:rPr>
          <w:rFonts w:ascii="Times New Roman" w:hAnsi="Times New Roman" w:cs="Times New Roman"/>
          <w:sz w:val="24"/>
          <w:szCs w:val="24"/>
        </w:rPr>
        <w:t xml:space="preserve"> que, mesmo sendo informado, não excluirá a prática da conduta delituosa</w:t>
      </w:r>
      <w:r w:rsidR="009352DF">
        <w:rPr>
          <w:rFonts w:ascii="Times New Roman" w:hAnsi="Times New Roman" w:cs="Times New Roman"/>
          <w:sz w:val="24"/>
          <w:szCs w:val="24"/>
        </w:rPr>
        <w:t>.</w:t>
      </w:r>
      <w:r w:rsidR="002750DA">
        <w:rPr>
          <w:rFonts w:ascii="Times New Roman" w:hAnsi="Times New Roman" w:cs="Times New Roman"/>
          <w:sz w:val="24"/>
          <w:szCs w:val="24"/>
        </w:rPr>
        <w:t xml:space="preserve"> </w:t>
      </w:r>
      <w:r w:rsidR="00710A76">
        <w:rPr>
          <w:rFonts w:ascii="Times New Roman" w:hAnsi="Times New Roman" w:cs="Times New Roman"/>
          <w:sz w:val="24"/>
          <w:szCs w:val="24"/>
        </w:rPr>
        <w:t xml:space="preserve"> </w:t>
      </w:r>
    </w:p>
    <w:p w:rsidR="00230D42" w:rsidRDefault="007A34A2" w:rsidP="009B3EA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w:t>
      </w:r>
      <w:r w:rsidR="00450834">
        <w:rPr>
          <w:rFonts w:ascii="Times New Roman" w:hAnsi="Times New Roman" w:cs="Times New Roman"/>
          <w:sz w:val="24"/>
          <w:szCs w:val="24"/>
        </w:rPr>
        <w:t xml:space="preserve">citar que quando houver </w:t>
      </w:r>
      <w:r w:rsidR="009B3EA9">
        <w:rPr>
          <w:rFonts w:ascii="Times New Roman" w:hAnsi="Times New Roman" w:cs="Times New Roman"/>
          <w:sz w:val="24"/>
          <w:szCs w:val="24"/>
        </w:rPr>
        <w:t>violência</w:t>
      </w:r>
      <w:r w:rsidR="00450834">
        <w:rPr>
          <w:rFonts w:ascii="Times New Roman" w:hAnsi="Times New Roman" w:cs="Times New Roman"/>
          <w:sz w:val="24"/>
          <w:szCs w:val="24"/>
        </w:rPr>
        <w:t xml:space="preserve"> presumida não será possível a alegação do consentimento. Esse tipo de </w:t>
      </w:r>
      <w:r w:rsidR="009B3EA9">
        <w:rPr>
          <w:rFonts w:ascii="Times New Roman" w:hAnsi="Times New Roman" w:cs="Times New Roman"/>
          <w:sz w:val="24"/>
          <w:szCs w:val="24"/>
        </w:rPr>
        <w:t>violência</w:t>
      </w:r>
      <w:r w:rsidR="00450834">
        <w:rPr>
          <w:rFonts w:ascii="Times New Roman" w:hAnsi="Times New Roman" w:cs="Times New Roman"/>
          <w:sz w:val="24"/>
          <w:szCs w:val="24"/>
        </w:rPr>
        <w:t xml:space="preserve"> somente ocorrerá quando o sujeito passivo não possuir idade suficiente para consentir ou quando este for alienado ou débil mental</w:t>
      </w:r>
      <w:r w:rsidR="00B8490A">
        <w:rPr>
          <w:rFonts w:ascii="Times New Roman" w:hAnsi="Times New Roman" w:cs="Times New Roman"/>
          <w:sz w:val="24"/>
          <w:szCs w:val="24"/>
        </w:rPr>
        <w:t>.</w:t>
      </w:r>
      <w:r w:rsidR="00914A92">
        <w:rPr>
          <w:rFonts w:ascii="Times New Roman" w:hAnsi="Times New Roman" w:cs="Times New Roman"/>
          <w:sz w:val="24"/>
          <w:szCs w:val="24"/>
        </w:rPr>
        <w:t xml:space="preserve"> </w:t>
      </w:r>
    </w:p>
    <w:p w:rsidR="006131B0" w:rsidRDefault="00914A92" w:rsidP="009B3EA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Não seria possível deixar de assegurar que o bem</w:t>
      </w:r>
      <w:r w:rsidR="00230D42">
        <w:rPr>
          <w:rFonts w:ascii="Times New Roman" w:hAnsi="Times New Roman" w:cs="Times New Roman"/>
          <w:sz w:val="24"/>
          <w:szCs w:val="24"/>
        </w:rPr>
        <w:t xml:space="preserve"> tutelado</w:t>
      </w:r>
      <w:r>
        <w:rPr>
          <w:rFonts w:ascii="Times New Roman" w:hAnsi="Times New Roman" w:cs="Times New Roman"/>
          <w:sz w:val="24"/>
          <w:szCs w:val="24"/>
        </w:rPr>
        <w:t xml:space="preserv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teria de ser obrigatoriamente disponível visto que o indivíduo, ao consentir, renuncia de tal direito em </w:t>
      </w:r>
      <w:r w:rsidR="00230D42">
        <w:rPr>
          <w:rFonts w:ascii="Times New Roman" w:hAnsi="Times New Roman" w:cs="Times New Roman"/>
          <w:sz w:val="24"/>
          <w:szCs w:val="24"/>
        </w:rPr>
        <w:t>seu próprio detrimento. Portanto, é inválido o consentimento nos crimes contra a vida.</w:t>
      </w:r>
      <w:r w:rsidR="00E91F87">
        <w:rPr>
          <w:rFonts w:ascii="Times New Roman" w:hAnsi="Times New Roman" w:cs="Times New Roman"/>
          <w:sz w:val="24"/>
          <w:szCs w:val="24"/>
        </w:rPr>
        <w:t xml:space="preserve"> </w:t>
      </w:r>
    </w:p>
    <w:p w:rsidR="00E91F87" w:rsidRDefault="00E91F87" w:rsidP="009B3EA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Ainda, o consentimento só se mostra presente nos crimes que afetam bens de ordem privada, tendo, também, em vista a possibilidade de disponibilidade do bem, anteriormente citada. </w:t>
      </w:r>
    </w:p>
    <w:p w:rsidR="00D07D05" w:rsidRDefault="00D07D05" w:rsidP="009B3EA9">
      <w:pPr>
        <w:pStyle w:val="PargrafodaLista"/>
        <w:spacing w:after="0" w:line="360" w:lineRule="auto"/>
        <w:ind w:left="0" w:firstLine="1134"/>
        <w:jc w:val="both"/>
        <w:rPr>
          <w:rFonts w:ascii="Times New Roman" w:hAnsi="Times New Roman" w:cs="Times New Roman"/>
          <w:sz w:val="24"/>
          <w:szCs w:val="24"/>
        </w:rPr>
      </w:pPr>
    </w:p>
    <w:p w:rsidR="0079632E" w:rsidRPr="0079632E" w:rsidRDefault="0079632E" w:rsidP="0079632E">
      <w:pPr>
        <w:pStyle w:val="Pargrafoda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RELEV</w:t>
      </w:r>
      <w:r w:rsidR="00D07D05">
        <w:rPr>
          <w:rFonts w:ascii="Times New Roman" w:hAnsi="Times New Roman" w:cs="Times New Roman"/>
          <w:b/>
          <w:sz w:val="24"/>
          <w:szCs w:val="24"/>
        </w:rPr>
        <w:t>Â</w:t>
      </w:r>
      <w:r>
        <w:rPr>
          <w:rFonts w:ascii="Times New Roman" w:hAnsi="Times New Roman" w:cs="Times New Roman"/>
          <w:b/>
          <w:sz w:val="24"/>
          <w:szCs w:val="24"/>
        </w:rPr>
        <w:t>NCIA DO CONSENTIMENTO NOS CRIMES CONTRA A LIBERDADE SEXUAL</w:t>
      </w:r>
    </w:p>
    <w:p w:rsidR="006131B0" w:rsidRDefault="009A69D1" w:rsidP="00104AA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Os crimes tipificados no Capítulo I do Título </w:t>
      </w:r>
      <w:proofErr w:type="gramStart"/>
      <w:r>
        <w:rPr>
          <w:rFonts w:ascii="Times New Roman" w:hAnsi="Times New Roman" w:cs="Times New Roman"/>
          <w:sz w:val="24"/>
          <w:szCs w:val="24"/>
        </w:rPr>
        <w:t>VI</w:t>
      </w:r>
      <w:proofErr w:type="gramEnd"/>
      <w:r>
        <w:rPr>
          <w:rFonts w:ascii="Times New Roman" w:hAnsi="Times New Roman" w:cs="Times New Roman"/>
          <w:sz w:val="24"/>
          <w:szCs w:val="24"/>
        </w:rPr>
        <w:t xml:space="preserve"> do Código Penal brasileiro possuem, como elementares, termos que explicitam a necessidade do dissenso da vítima para a configuração do crime, tais como: “constranger”, “mediante violência ou grave ameaça”, “mediante fraude ou outro meio que impeça ou dificulte a livre manifestação de vontade da vítima”.</w:t>
      </w:r>
      <w:r w:rsidR="000E6BEB">
        <w:rPr>
          <w:rFonts w:ascii="Times New Roman" w:hAnsi="Times New Roman" w:cs="Times New Roman"/>
          <w:sz w:val="24"/>
          <w:szCs w:val="24"/>
        </w:rPr>
        <w:t xml:space="preserve"> De fato, o bem jurídico protegido em tais crimes é, alem da integridade física, a liberdade sexual, traduzido no “direito de cada indivíduo de dispor de seu corpo com relação aos atos de natureza sexual</w:t>
      </w:r>
      <w:r w:rsidR="001310EB">
        <w:rPr>
          <w:rFonts w:ascii="Times New Roman" w:hAnsi="Times New Roman" w:cs="Times New Roman"/>
          <w:sz w:val="24"/>
          <w:szCs w:val="24"/>
        </w:rPr>
        <w:t>, como aspecto essencial da dignidade humana” (MIRABETE; FAB</w:t>
      </w:r>
      <w:r w:rsidR="00216409">
        <w:rPr>
          <w:rFonts w:ascii="Times New Roman" w:hAnsi="Times New Roman" w:cs="Times New Roman"/>
          <w:sz w:val="24"/>
          <w:szCs w:val="24"/>
        </w:rPr>
        <w:t>B</w:t>
      </w:r>
      <w:r w:rsidR="001310EB">
        <w:rPr>
          <w:rFonts w:ascii="Times New Roman" w:hAnsi="Times New Roman" w:cs="Times New Roman"/>
          <w:sz w:val="24"/>
          <w:szCs w:val="24"/>
        </w:rPr>
        <w:t>RINI, 2011, p. 1338).</w:t>
      </w:r>
    </w:p>
    <w:p w:rsidR="000E6BEB" w:rsidRDefault="00FD1E22" w:rsidP="00104AA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 entanto, ao presumir a violência quando a vítima é menor de 14 anos e, mesmo assim, consente, o Estado começa a exercer sua feição paternalista. Dessa forma, penaliza-se uma conduta que não é típica e que é praticada tendo em vista a mera vontade do indivíduo de dispor do seu próprio corpo, utilizando-se de seu livre arbítrio, sem coação de nenhum tipo, tendo como finalidade de manter relação sexual. No entanto a matéria sobre a fixação da idade mínima será tratada aprofundadamente no próximo tópico.</w:t>
      </w:r>
    </w:p>
    <w:p w:rsidR="00EE054B" w:rsidRPr="00EE054B" w:rsidRDefault="004D1610" w:rsidP="00EE054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problema aqui almejado é que o Poder Público interfere na vontade do indivíduo de dispor de um bem seu, que é o próprio corpo, para manter relações que, </w:t>
      </w:r>
      <w:r>
        <w:rPr>
          <w:rFonts w:ascii="Times New Roman" w:hAnsi="Times New Roman" w:cs="Times New Roman"/>
          <w:sz w:val="24"/>
          <w:szCs w:val="24"/>
        </w:rPr>
        <w:lastRenderedPageBreak/>
        <w:t xml:space="preserve">nesta visão benéfica, traria o sentimento de prazer ou mesmo realização, visto que muitas vezes o indivíduo pode amar intensamente o outro. </w:t>
      </w:r>
      <w:r w:rsidR="004943EB">
        <w:rPr>
          <w:rFonts w:ascii="Times New Roman" w:hAnsi="Times New Roman" w:cs="Times New Roman"/>
          <w:sz w:val="24"/>
          <w:szCs w:val="24"/>
        </w:rPr>
        <w:t xml:space="preserve"> Proíbe-se um dos sentimentos mais admiráveis e gloriosos do ser humano que é o amor, quando este é o motivo da realização da conduta sexua</w:t>
      </w:r>
      <w:r w:rsidR="00EE054B">
        <w:rPr>
          <w:rFonts w:ascii="Times New Roman" w:hAnsi="Times New Roman" w:cs="Times New Roman"/>
          <w:sz w:val="24"/>
          <w:szCs w:val="24"/>
        </w:rPr>
        <w:t>l.</w:t>
      </w:r>
    </w:p>
    <w:p w:rsidR="00EE054B" w:rsidRPr="00EE054B" w:rsidRDefault="00EE054B" w:rsidP="00EE054B">
      <w:pPr>
        <w:spacing w:after="0" w:line="360" w:lineRule="auto"/>
        <w:jc w:val="both"/>
        <w:rPr>
          <w:rFonts w:ascii="Times New Roman" w:hAnsi="Times New Roman" w:cs="Times New Roman"/>
          <w:b/>
          <w:sz w:val="24"/>
          <w:szCs w:val="24"/>
        </w:rPr>
      </w:pPr>
    </w:p>
    <w:p w:rsidR="00EE054B" w:rsidRPr="00EE054B" w:rsidRDefault="00EE054B" w:rsidP="00EE054B">
      <w:pPr>
        <w:pStyle w:val="PargrafodaLista"/>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 FIXAÇÃO DE UMA IDADE MÍNIMA</w:t>
      </w:r>
    </w:p>
    <w:p w:rsidR="00EE054B" w:rsidRDefault="00EE054B" w:rsidP="00EE054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Antes de se fazer quaisquer considerações acerca da fixação de uma idade mínima para consentir, </w:t>
      </w:r>
      <w:proofErr w:type="gramStart"/>
      <w:r>
        <w:rPr>
          <w:rFonts w:ascii="Times New Roman" w:hAnsi="Times New Roman" w:cs="Times New Roman"/>
          <w:sz w:val="24"/>
          <w:szCs w:val="24"/>
        </w:rPr>
        <w:t>é necessário</w:t>
      </w:r>
      <w:proofErr w:type="gramEnd"/>
      <w:r>
        <w:rPr>
          <w:rFonts w:ascii="Times New Roman" w:hAnsi="Times New Roman" w:cs="Times New Roman"/>
          <w:sz w:val="24"/>
          <w:szCs w:val="24"/>
        </w:rPr>
        <w:t xml:space="preserve"> analisar as mudanças ocorridas na exegese do Código Penal Brasileiro. Transformações significativas ocorreram com o advento da Lei 12.015</w:t>
      </w:r>
      <w:r>
        <w:rPr>
          <w:rFonts w:ascii="Times New Roman" w:hAnsi="Times New Roman" w:cs="Times New Roman"/>
          <w:sz w:val="24"/>
          <w:szCs w:val="24"/>
        </w:rPr>
        <w:sym w:font="Symbol" w:char="F02F"/>
      </w:r>
      <w:r>
        <w:rPr>
          <w:rFonts w:ascii="Times New Roman" w:hAnsi="Times New Roman" w:cs="Times New Roman"/>
          <w:sz w:val="24"/>
          <w:szCs w:val="24"/>
        </w:rPr>
        <w:t xml:space="preserve">09, que revogou e deu nova redação e entendimento, sobretudo, nos crimes contra a liberdade sexual. Antes de 2009, o Título VI da Parte Especial da legislação supra trazia: “Dos crimes contra os costumes” – aqui reside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primeira alteração, pós 2009, a redação é “Dos crimes contra a dignidade sexual”.</w:t>
      </w:r>
    </w:p>
    <w:p w:rsidR="00EE054B" w:rsidRDefault="00EE054B" w:rsidP="00EE054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Dentro desse Título, é de suma importância a modificação do art. 213. A </w:t>
      </w:r>
      <w:r w:rsidRPr="00C93E9A">
        <w:rPr>
          <w:rFonts w:ascii="Times New Roman" w:hAnsi="Times New Roman" w:cs="Times New Roman"/>
          <w:sz w:val="24"/>
          <w:szCs w:val="24"/>
        </w:rPr>
        <w:t>letra anterior do dispositivo afirmava “Constranger mulher à conjunção carnal, mediante violência ou grave ameaça” e, com a alteração, passou dispor “Constranger alguém, mediante violência ou grave ameaça, a ter conjunção carnal ou a praticar ou permitir que com ele se pratique outro ato libidinoso</w:t>
      </w:r>
      <w:r>
        <w:rPr>
          <w:rFonts w:ascii="Times New Roman" w:hAnsi="Times New Roman" w:cs="Times New Roman"/>
          <w:sz w:val="24"/>
          <w:szCs w:val="24"/>
        </w:rPr>
        <w:t xml:space="preserve">”. Houve, portanto, uma junção do crime de estupro com o crime de atentado violento ao pudor, anteriormente previsto no art. 214 do Código. Mais ainda, ampliou o rol de possibilidades no pólo passivo, alterando o objeto direto da frase de “mulher” para “alguém”. Dessa forma, o que ocorre </w:t>
      </w:r>
      <w:r w:rsidRPr="00F34C38">
        <w:rPr>
          <w:rFonts w:ascii="Times New Roman" w:hAnsi="Times New Roman" w:cs="Times New Roman"/>
          <w:sz w:val="24"/>
          <w:szCs w:val="24"/>
        </w:rPr>
        <w:t xml:space="preserve">hodiernamente é </w:t>
      </w:r>
      <w:r>
        <w:rPr>
          <w:rFonts w:ascii="Times New Roman" w:hAnsi="Times New Roman" w:cs="Times New Roman"/>
          <w:sz w:val="24"/>
          <w:szCs w:val="24"/>
        </w:rPr>
        <w:t xml:space="preserve">que </w:t>
      </w:r>
      <w:r w:rsidRPr="00F34C38">
        <w:rPr>
          <w:rFonts w:ascii="Times New Roman" w:hAnsi="Times New Roman" w:cs="Times New Roman"/>
          <w:sz w:val="24"/>
          <w:szCs w:val="24"/>
        </w:rPr>
        <w:t>“se alguém praticar conjunção carnal, sexo oral, sexo anal, beijo lascivo ou qualquer ato que fira a liberdade sexual de uma pessoa, seja homem ou mulher, estar</w:t>
      </w:r>
      <w:r>
        <w:rPr>
          <w:rFonts w:ascii="Times New Roman" w:hAnsi="Times New Roman" w:cs="Times New Roman"/>
          <w:sz w:val="24"/>
          <w:szCs w:val="24"/>
        </w:rPr>
        <w:t>á consumando o crime de estupro</w:t>
      </w:r>
      <w:r w:rsidRPr="00F34C38">
        <w:rPr>
          <w:rFonts w:ascii="Times New Roman" w:hAnsi="Times New Roman" w:cs="Times New Roman"/>
          <w:sz w:val="24"/>
          <w:szCs w:val="24"/>
        </w:rPr>
        <w:t>”</w:t>
      </w:r>
      <w:r>
        <w:rPr>
          <w:rFonts w:ascii="Times New Roman" w:hAnsi="Times New Roman" w:cs="Times New Roman"/>
          <w:sz w:val="24"/>
          <w:szCs w:val="24"/>
        </w:rPr>
        <w:t xml:space="preserve"> (BLASZAK, Carolina). Outra curiosidade a esse respeito é </w:t>
      </w:r>
    </w:p>
    <w:p w:rsidR="00EE054B" w:rsidRPr="00F34C38" w:rsidRDefault="00EE054B" w:rsidP="00EE054B">
      <w:pPr>
        <w:pStyle w:val="PargrafodaLista"/>
        <w:spacing w:after="0" w:line="240" w:lineRule="auto"/>
        <w:ind w:left="2268"/>
        <w:jc w:val="both"/>
        <w:rPr>
          <w:rFonts w:ascii="Times New Roman" w:hAnsi="Times New Roman" w:cs="Times New Roman"/>
          <w:sz w:val="20"/>
          <w:szCs w:val="20"/>
        </w:rPr>
      </w:pPr>
    </w:p>
    <w:p w:rsidR="00EE054B" w:rsidRDefault="00EE054B" w:rsidP="00EE054B">
      <w:pPr>
        <w:pStyle w:val="PargrafodaLista"/>
        <w:spacing w:after="0" w:line="240" w:lineRule="auto"/>
        <w:ind w:left="2268"/>
        <w:jc w:val="both"/>
        <w:rPr>
          <w:rFonts w:ascii="Times New Roman" w:hAnsi="Times New Roman" w:cs="Times New Roman"/>
          <w:sz w:val="20"/>
          <w:szCs w:val="20"/>
        </w:rPr>
      </w:pPr>
      <w:proofErr w:type="gramStart"/>
      <w:r w:rsidRPr="00F34C38">
        <w:rPr>
          <w:rFonts w:ascii="Times New Roman" w:hAnsi="Times New Roman" w:cs="Times New Roman"/>
          <w:sz w:val="20"/>
          <w:szCs w:val="20"/>
        </w:rPr>
        <w:t>que</w:t>
      </w:r>
      <w:proofErr w:type="gramEnd"/>
      <w:r w:rsidRPr="00F34C38">
        <w:rPr>
          <w:rFonts w:ascii="Times New Roman" w:hAnsi="Times New Roman" w:cs="Times New Roman"/>
          <w:sz w:val="20"/>
          <w:szCs w:val="20"/>
        </w:rPr>
        <w:t xml:space="preserve"> o artigo 214 do Código Penal foi revogado, porém, não houve o fenômeno de “</w:t>
      </w:r>
      <w:proofErr w:type="spellStart"/>
      <w:r w:rsidRPr="00F34C38">
        <w:rPr>
          <w:rFonts w:ascii="Times New Roman" w:hAnsi="Times New Roman" w:cs="Times New Roman"/>
          <w:sz w:val="20"/>
          <w:szCs w:val="20"/>
        </w:rPr>
        <w:t>abilitio</w:t>
      </w:r>
      <w:proofErr w:type="spellEnd"/>
      <w:r w:rsidRPr="00F34C38">
        <w:rPr>
          <w:rFonts w:ascii="Times New Roman" w:hAnsi="Times New Roman" w:cs="Times New Roman"/>
          <w:sz w:val="20"/>
          <w:szCs w:val="20"/>
        </w:rPr>
        <w:t xml:space="preserve"> criminis”, ou seja, quando uma lei deixa de considerar crime determinado ato. O ato descrito anteriormente como atentado violento ao pudor foi incorporado ao crime de estupro, portanto, o que era proibido ainda continua proibido. (BLASZAK, Carolina).</w:t>
      </w:r>
    </w:p>
    <w:p w:rsidR="00EE054B" w:rsidRPr="00F34C38" w:rsidRDefault="00EE054B" w:rsidP="00EE054B">
      <w:pPr>
        <w:pStyle w:val="PargrafodaLista"/>
        <w:spacing w:after="0" w:line="360" w:lineRule="auto"/>
        <w:ind w:left="2268"/>
        <w:jc w:val="both"/>
        <w:rPr>
          <w:rFonts w:ascii="Times New Roman" w:hAnsi="Times New Roman" w:cs="Times New Roman"/>
          <w:sz w:val="20"/>
          <w:szCs w:val="20"/>
        </w:rPr>
      </w:pPr>
    </w:p>
    <w:p w:rsidR="00EE054B" w:rsidRDefault="00EE054B" w:rsidP="00EE054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Além disso, a nova lei aumentou a pena mínima de quatro para seis anos e incluiu os parágrafos 1º e 2º, com suas respectivas penas. O mais relevante, nesse </w:t>
      </w:r>
      <w:r w:rsidRPr="00C93E9A">
        <w:rPr>
          <w:rFonts w:ascii="Times New Roman" w:hAnsi="Times New Roman" w:cs="Times New Roman"/>
          <w:sz w:val="24"/>
          <w:szCs w:val="24"/>
        </w:rPr>
        <w:t xml:space="preserve">momento, é a análise da segunda parte do §1º, este diz que “Se da conduta resulta lesão corporal de natureza grave ou se a vítima é menor de 18 (dezoito) ou maior de 14 </w:t>
      </w:r>
      <w:r w:rsidRPr="00C93E9A">
        <w:rPr>
          <w:rFonts w:ascii="Times New Roman" w:hAnsi="Times New Roman" w:cs="Times New Roman"/>
          <w:sz w:val="24"/>
          <w:szCs w:val="24"/>
        </w:rPr>
        <w:lastRenderedPageBreak/>
        <w:t>(catorze) anos</w:t>
      </w:r>
      <w:r>
        <w:rPr>
          <w:rFonts w:ascii="Times New Roman" w:hAnsi="Times New Roman" w:cs="Times New Roman"/>
          <w:sz w:val="24"/>
          <w:szCs w:val="24"/>
        </w:rPr>
        <w:t>” e comina a pena no intervalo de oito a doze anos de reclusão. Por este novo dispositivo, é possível extrair que a pena é aumentada se a vítima tem idade etária entre 14 e 18 anos e isso se deve ao fato do sujeito passivo for menor de idade e do legislador ter entendido que a idade de 14 anos seria a idade mínima. Aqui entra o consentimento, pois tal idade seria a mínima para consentir expressamente – única hipótese de consentimento que exclui a antijuridicidade e, por conseguinte, o crime.</w:t>
      </w:r>
    </w:p>
    <w:p w:rsidR="00EE054B" w:rsidRPr="007060D2" w:rsidRDefault="00EE054B" w:rsidP="007060D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O Código, capítulo dos crimes contra a liberdade sexual é silente quanto aos crimes cuja vítima tem menos de 14 anos e, mais ainda, a Lei 12.015</w:t>
      </w:r>
      <w:r>
        <w:rPr>
          <w:rFonts w:ascii="Times New Roman" w:hAnsi="Times New Roman" w:cs="Times New Roman"/>
          <w:sz w:val="24"/>
          <w:szCs w:val="24"/>
        </w:rPr>
        <w:sym w:font="Symbol" w:char="F02F"/>
      </w:r>
      <w:r>
        <w:rPr>
          <w:rFonts w:ascii="Times New Roman" w:hAnsi="Times New Roman" w:cs="Times New Roman"/>
          <w:sz w:val="24"/>
          <w:szCs w:val="24"/>
        </w:rPr>
        <w:t xml:space="preserve">09 revogou o art. 224, que </w:t>
      </w:r>
      <w:r w:rsidRPr="00523B9A">
        <w:rPr>
          <w:rFonts w:ascii="Times New Roman" w:hAnsi="Times New Roman" w:cs="Times New Roman"/>
          <w:sz w:val="24"/>
          <w:szCs w:val="24"/>
        </w:rPr>
        <w:t>tratava da presunção de violência. Contudo, por meio de uma leitura sistemática ou mesmo uma mera aplicação, o art. 217-A tutela exatamente essa questão ao tipificar a ação de “Ter conjunção carnal ou praticar outro ato libidinoso com menor de 14 (catorze) anos</w:t>
      </w:r>
      <w:r>
        <w:rPr>
          <w:rFonts w:ascii="Times New Roman" w:hAnsi="Times New Roman" w:cs="Times New Roman"/>
          <w:sz w:val="24"/>
          <w:szCs w:val="24"/>
        </w:rPr>
        <w:t xml:space="preserve">”. Ocorre que o fundamento deste é o mesmo daquele: a presunção de violência. A revogação se deu muito pela polêmica que havia acerca da constitucionalidade do art. 224, que foi sanada pelo art. 217-A e manteve a caracterização da violência presumida. Confirma isso Carolina </w:t>
      </w:r>
      <w:proofErr w:type="spellStart"/>
      <w:r>
        <w:rPr>
          <w:rFonts w:ascii="Times New Roman" w:hAnsi="Times New Roman" w:cs="Times New Roman"/>
          <w:sz w:val="24"/>
          <w:szCs w:val="24"/>
        </w:rPr>
        <w:t>Blaszak</w:t>
      </w:r>
      <w:proofErr w:type="spellEnd"/>
      <w:r>
        <w:rPr>
          <w:rFonts w:ascii="Times New Roman" w:hAnsi="Times New Roman" w:cs="Times New Roman"/>
          <w:sz w:val="24"/>
          <w:szCs w:val="24"/>
        </w:rPr>
        <w:t xml:space="preserve"> ao afirmar que</w:t>
      </w:r>
    </w:p>
    <w:p w:rsidR="00EE054B" w:rsidRDefault="00EE054B" w:rsidP="00EE054B">
      <w:pPr>
        <w:pStyle w:val="PargrafodaLista"/>
        <w:spacing w:after="0" w:line="240" w:lineRule="auto"/>
        <w:ind w:left="2268"/>
        <w:jc w:val="both"/>
        <w:rPr>
          <w:rFonts w:ascii="Times New Roman" w:hAnsi="Times New Roman" w:cs="Times New Roman"/>
          <w:sz w:val="20"/>
          <w:szCs w:val="20"/>
        </w:rPr>
      </w:pPr>
      <w:r w:rsidRPr="0053382D">
        <w:rPr>
          <w:rFonts w:ascii="Times New Roman" w:hAnsi="Times New Roman" w:cs="Times New Roman"/>
          <w:sz w:val="20"/>
          <w:szCs w:val="20"/>
        </w:rPr>
        <w:t>O artigo 224 foi revogado, o que trouxe um desfecho às discussões doutrinárias quanto a sua constitucionalidade, pois afirmav</w:t>
      </w:r>
      <w:r>
        <w:rPr>
          <w:rFonts w:ascii="Times New Roman" w:hAnsi="Times New Roman" w:cs="Times New Roman"/>
          <w:sz w:val="20"/>
          <w:szCs w:val="20"/>
        </w:rPr>
        <w:t xml:space="preserve">am ser este artigo </w:t>
      </w:r>
      <w:proofErr w:type="spellStart"/>
      <w:r>
        <w:rPr>
          <w:rFonts w:ascii="Times New Roman" w:hAnsi="Times New Roman" w:cs="Times New Roman"/>
          <w:sz w:val="20"/>
          <w:szCs w:val="20"/>
        </w:rPr>
        <w:t>incondizente</w:t>
      </w:r>
      <w:proofErr w:type="spellEnd"/>
      <w:r>
        <w:rPr>
          <w:rFonts w:ascii="Times New Roman" w:hAnsi="Times New Roman" w:cs="Times New Roman"/>
          <w:sz w:val="20"/>
          <w:szCs w:val="20"/>
        </w:rPr>
        <w:t xml:space="preserve"> </w:t>
      </w:r>
      <w:r w:rsidRPr="0053382D">
        <w:rPr>
          <w:rFonts w:ascii="Times New Roman" w:hAnsi="Times New Roman" w:cs="Times New Roman"/>
          <w:sz w:val="20"/>
          <w:szCs w:val="20"/>
        </w:rPr>
        <w:t>com nosso</w:t>
      </w:r>
      <w:r>
        <w:rPr>
          <w:rFonts w:ascii="Times New Roman" w:hAnsi="Times New Roman" w:cs="Times New Roman"/>
          <w:sz w:val="20"/>
          <w:szCs w:val="20"/>
        </w:rPr>
        <w:t xml:space="preserve"> Estado Democrático de Direito. </w:t>
      </w:r>
      <w:r w:rsidRPr="0053382D">
        <w:rPr>
          <w:rFonts w:ascii="Times New Roman" w:hAnsi="Times New Roman" w:cs="Times New Roman"/>
          <w:sz w:val="20"/>
          <w:szCs w:val="20"/>
        </w:rPr>
        <w:t xml:space="preserve">O texto legal do novo artigo é mais plausível aos nossos valores democráticos, pois a presunção de violência possui uma denotação carregada de subjetivismo. O texto do novo artigo 217-A traduz uma conduta positiva descritiva, tornando o enunciado encorpado de alguns princípios gerais do direito penal, quais sejam, princípio da legalidade e da anterioridade </w:t>
      </w:r>
      <w:r w:rsidRPr="00F34C38">
        <w:rPr>
          <w:rFonts w:ascii="Times New Roman" w:hAnsi="Times New Roman" w:cs="Times New Roman"/>
          <w:sz w:val="20"/>
          <w:szCs w:val="20"/>
        </w:rPr>
        <w:t>(BLASZAK, Carolina).</w:t>
      </w:r>
    </w:p>
    <w:p w:rsidR="00EE054B" w:rsidRDefault="00EE054B" w:rsidP="00EE054B">
      <w:pPr>
        <w:pStyle w:val="PargrafodaLista"/>
        <w:spacing w:after="0" w:line="360" w:lineRule="auto"/>
        <w:ind w:left="2268"/>
        <w:jc w:val="both"/>
        <w:rPr>
          <w:rFonts w:ascii="Times New Roman" w:hAnsi="Times New Roman" w:cs="Times New Roman"/>
          <w:sz w:val="20"/>
          <w:szCs w:val="20"/>
        </w:rPr>
      </w:pPr>
    </w:p>
    <w:p w:rsidR="00EE054B" w:rsidRPr="007060D2" w:rsidRDefault="00EE054B" w:rsidP="007060D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Portanto, o que se apreende disso é que a prática do crime de estupro cuja vítima não tenha alcançado os 14 anos, mas houver consentimento desta, o autor comete crime de estupro – não há a caracterização de uma excludente de antijuridicidade, pois, por ser menor de 14 anos, a violência é presumida e, por conseguinte, o consentimento é irrelevante. Prova disso se tem com jurisprudência do Superior Tribunal de Justiça: </w:t>
      </w:r>
    </w:p>
    <w:p w:rsidR="00EE054B" w:rsidRPr="009119A6" w:rsidRDefault="00EE054B" w:rsidP="00EE054B">
      <w:pPr>
        <w:spacing w:after="0" w:line="240" w:lineRule="auto"/>
        <w:ind w:left="2268"/>
        <w:jc w:val="both"/>
        <w:outlineLvl w:val="4"/>
        <w:rPr>
          <w:rFonts w:ascii="Times New Roman" w:eastAsia="Times New Roman" w:hAnsi="Times New Roman" w:cs="Times New Roman"/>
          <w:bCs/>
          <w:color w:val="000000"/>
          <w:sz w:val="20"/>
          <w:szCs w:val="20"/>
          <w:lang w:eastAsia="pt-BR"/>
        </w:rPr>
      </w:pPr>
      <w:r w:rsidRPr="009119A6">
        <w:rPr>
          <w:rFonts w:ascii="Times New Roman" w:eastAsia="Times New Roman" w:hAnsi="Times New Roman" w:cs="Times New Roman"/>
          <w:bCs/>
          <w:color w:val="000000"/>
          <w:sz w:val="20"/>
          <w:szCs w:val="20"/>
          <w:lang w:eastAsia="pt-BR"/>
        </w:rPr>
        <w:t xml:space="preserve">EMBARGOS INFRINGENTES E DE NULIDADE. CRIMES CONTRA A LIBERDADE SEXUAL. </w:t>
      </w:r>
    </w:p>
    <w:p w:rsidR="00EE054B" w:rsidRDefault="00EE054B" w:rsidP="00EE054B">
      <w:pPr>
        <w:spacing w:after="0" w:line="240" w:lineRule="auto"/>
        <w:ind w:left="2268"/>
        <w:jc w:val="both"/>
        <w:outlineLvl w:val="4"/>
        <w:rPr>
          <w:rFonts w:ascii="Times New Roman" w:eastAsia="Times New Roman" w:hAnsi="Times New Roman" w:cs="Times New Roman"/>
          <w:bCs/>
          <w:color w:val="000000"/>
          <w:sz w:val="20"/>
          <w:szCs w:val="20"/>
          <w:lang w:eastAsia="pt-BR"/>
        </w:rPr>
      </w:pPr>
      <w:r w:rsidRPr="009119A6">
        <w:rPr>
          <w:rFonts w:ascii="Times New Roman" w:eastAsia="Times New Roman" w:hAnsi="Times New Roman" w:cs="Times New Roman"/>
          <w:bCs/>
          <w:color w:val="000000"/>
          <w:sz w:val="20"/>
          <w:szCs w:val="20"/>
          <w:lang w:eastAsia="pt-BR"/>
        </w:rPr>
        <w:t xml:space="preserve">Estupro e atentado violento ao pudor. Voto vencido no sentido da absolvição, por entender comprovado o sexo consentido da menor e por ter a mesma, em estudo social, aceitado o acusado como tutor, o que seria incompatível com a acusação. Conjunto probatório suficiente a embasar um decreto condenatório. Não há que se cogitar de absolvição se as provas constantes dos autos demonstram, de forma clara e inequívoca, que o agente, com consciência e vontade, constrangeu a vítima, sua enteada, menor de idade, praticando com ela conjunção carnal e outros atos libidinosos diversos da conjunção carnal. Não há que falar em sexo consentido, já que a vítima contava com apenas 11 (onze) anos de idade quando os abusos sexuais se iniciaram, sendo ela, ainda, constrangida e obrigada pelo acusado a manter relações sexuais com outros rapazes. As provas dos autos são seguras em afirmar que o acusado ameaçou a vítima e a influenciou a aceitá-lo como tutor perante o Juízo da Vara de </w:t>
      </w:r>
      <w:r w:rsidRPr="009119A6">
        <w:rPr>
          <w:rFonts w:ascii="Times New Roman" w:eastAsia="Times New Roman" w:hAnsi="Times New Roman" w:cs="Times New Roman"/>
          <w:bCs/>
          <w:color w:val="000000"/>
          <w:sz w:val="20"/>
          <w:szCs w:val="20"/>
          <w:lang w:eastAsia="pt-BR"/>
        </w:rPr>
        <w:lastRenderedPageBreak/>
        <w:t>Família. Os delitos de estupro e atentado violento ao pudor, na maioria das vezes, são praticados na clandestinidade, onde não se tem a presença de testemunhas de modo a confirmar a palavra da vítima, razão pela qual aquilo que ela afirmou ter sofrido deve ser levado em grande consideração, principalmente quando as demais provas coligidas aos autos se conformam aos seus relatos. Na espécie, o voto vencedor analisou de forma percuciente cada depoimento, sendo evidente e tranquila a prova da autoria. Reforma na dosimetria. Não obstante a nova definição jurídica da conduta (artigo 217- A do CP)</w:t>
      </w:r>
      <w:proofErr w:type="gramStart"/>
      <w:r w:rsidRPr="009119A6">
        <w:rPr>
          <w:rFonts w:ascii="Times New Roman" w:eastAsia="Times New Roman" w:hAnsi="Times New Roman" w:cs="Times New Roman"/>
          <w:bCs/>
          <w:color w:val="000000"/>
          <w:sz w:val="20"/>
          <w:szCs w:val="20"/>
          <w:lang w:eastAsia="pt-BR"/>
        </w:rPr>
        <w:t>, deverá</w:t>
      </w:r>
      <w:proofErr w:type="gramEnd"/>
      <w:r w:rsidRPr="009119A6">
        <w:rPr>
          <w:rFonts w:ascii="Times New Roman" w:eastAsia="Times New Roman" w:hAnsi="Times New Roman" w:cs="Times New Roman"/>
          <w:bCs/>
          <w:color w:val="000000"/>
          <w:sz w:val="20"/>
          <w:szCs w:val="20"/>
          <w:lang w:eastAsia="pt-BR"/>
        </w:rPr>
        <w:t xml:space="preserve"> ser adotado o preceito secundário do artigo 213 do CP, conforme vigente à época dos fatos. Embargos parcialmente providos.</w:t>
      </w:r>
    </w:p>
    <w:p w:rsidR="00EE054B" w:rsidRDefault="00EE054B" w:rsidP="00EE054B">
      <w:pPr>
        <w:spacing w:after="0" w:line="360" w:lineRule="auto"/>
        <w:ind w:left="2268"/>
        <w:jc w:val="both"/>
        <w:outlineLvl w:val="4"/>
        <w:rPr>
          <w:rFonts w:ascii="Times New Roman" w:eastAsia="Times New Roman" w:hAnsi="Times New Roman" w:cs="Times New Roman"/>
          <w:bCs/>
          <w:color w:val="000000"/>
          <w:sz w:val="20"/>
          <w:szCs w:val="20"/>
          <w:lang w:eastAsia="pt-BR"/>
        </w:rPr>
      </w:pPr>
    </w:p>
    <w:p w:rsidR="00EE054B" w:rsidRDefault="00EE054B" w:rsidP="00EE054B">
      <w:pPr>
        <w:spacing w:after="0" w:line="360" w:lineRule="auto"/>
        <w:ind w:firstLine="1134"/>
        <w:jc w:val="both"/>
        <w:outlineLvl w:val="4"/>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Ocorre que o próprio Código Penal faz referência a idade mínima para consentir. Esta é de 14 anos e isso se verifica na análise do art. 213, art. 217-A e a jurisprudência acerca da matéria aplica tal disposição corretamente, pois é uma fixação extremamente razoável. </w:t>
      </w:r>
    </w:p>
    <w:p w:rsidR="00EE054B" w:rsidRDefault="00EE054B" w:rsidP="00EE054B">
      <w:pPr>
        <w:spacing w:after="0" w:line="360" w:lineRule="auto"/>
        <w:ind w:firstLine="1134"/>
        <w:jc w:val="both"/>
        <w:outlineLvl w:val="4"/>
        <w:rPr>
          <w:rFonts w:ascii="Times New Roman" w:eastAsia="Times New Roman" w:hAnsi="Times New Roman" w:cs="Times New Roman"/>
          <w:bCs/>
          <w:color w:val="000000"/>
          <w:sz w:val="24"/>
          <w:szCs w:val="24"/>
          <w:lang w:eastAsia="pt-BR"/>
        </w:rPr>
      </w:pPr>
    </w:p>
    <w:p w:rsidR="00EE054B" w:rsidRPr="00EE054B" w:rsidRDefault="00EE054B" w:rsidP="00EE054B">
      <w:pPr>
        <w:pStyle w:val="PargrafodaLista"/>
        <w:numPr>
          <w:ilvl w:val="1"/>
          <w:numId w:val="5"/>
        </w:numPr>
        <w:spacing w:after="0" w:line="360" w:lineRule="auto"/>
        <w:jc w:val="both"/>
        <w:outlineLvl w:val="4"/>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 A RELATIVIZAÇÃO DA IDADE MÍNINA </w:t>
      </w:r>
      <w:proofErr w:type="gramStart"/>
      <w:r>
        <w:rPr>
          <w:rFonts w:ascii="Times New Roman" w:eastAsia="Times New Roman" w:hAnsi="Times New Roman" w:cs="Times New Roman"/>
          <w:b/>
          <w:bCs/>
          <w:color w:val="000000"/>
          <w:sz w:val="24"/>
          <w:szCs w:val="24"/>
          <w:lang w:eastAsia="pt-BR"/>
        </w:rPr>
        <w:t xml:space="preserve">PELO </w:t>
      </w:r>
      <w:r>
        <w:rPr>
          <w:rFonts w:ascii="Times New Roman" w:eastAsia="Times New Roman" w:hAnsi="Times New Roman" w:cs="Times New Roman"/>
          <w:b/>
          <w:bCs/>
          <w:i/>
          <w:color w:val="000000"/>
          <w:sz w:val="24"/>
          <w:szCs w:val="24"/>
          <w:lang w:eastAsia="pt-BR"/>
        </w:rPr>
        <w:t>HABEAS CORPUS</w:t>
      </w:r>
      <w:r>
        <w:rPr>
          <w:rFonts w:ascii="Times New Roman" w:eastAsia="Times New Roman" w:hAnsi="Times New Roman" w:cs="Times New Roman"/>
          <w:b/>
          <w:bCs/>
          <w:color w:val="000000"/>
          <w:sz w:val="24"/>
          <w:szCs w:val="24"/>
          <w:lang w:eastAsia="pt-BR"/>
        </w:rPr>
        <w:t xml:space="preserve"> 73.662</w:t>
      </w:r>
      <w:proofErr w:type="gramEnd"/>
    </w:p>
    <w:p w:rsidR="00EE054B" w:rsidRDefault="00EE054B" w:rsidP="007060D2">
      <w:pPr>
        <w:pStyle w:val="Pr-formataoHTML"/>
        <w:spacing w:line="360" w:lineRule="auto"/>
        <w:ind w:firstLine="1134"/>
        <w:jc w:val="both"/>
        <w:textAlignment w:val="top"/>
        <w:rPr>
          <w:rFonts w:ascii="Times New Roman" w:hAnsi="Times New Roman" w:cs="Times New Roman"/>
          <w:bCs/>
          <w:color w:val="auto"/>
          <w:sz w:val="24"/>
          <w:szCs w:val="24"/>
        </w:rPr>
      </w:pPr>
      <w:r w:rsidRPr="00BE5DF1">
        <w:rPr>
          <w:rFonts w:ascii="Times New Roman" w:hAnsi="Times New Roman" w:cs="Times New Roman"/>
          <w:bCs/>
          <w:color w:val="auto"/>
          <w:sz w:val="24"/>
          <w:szCs w:val="24"/>
        </w:rPr>
        <w:t xml:space="preserve">Apesar de parecer bastante claro e tranquila a fixação da idade mínima em 14 anos, não foi nesse sentido que o Supremo Tribunal Federal julgou o </w:t>
      </w:r>
      <w:r w:rsidRPr="00BE5DF1">
        <w:rPr>
          <w:rFonts w:ascii="Times New Roman" w:hAnsi="Times New Roman" w:cs="Times New Roman"/>
          <w:bCs/>
          <w:i/>
          <w:color w:val="auto"/>
          <w:sz w:val="24"/>
          <w:szCs w:val="24"/>
        </w:rPr>
        <w:t>Habeas Corpus</w:t>
      </w:r>
      <w:r w:rsidRPr="00BE5DF1">
        <w:rPr>
          <w:rFonts w:ascii="Times New Roman" w:hAnsi="Times New Roman" w:cs="Times New Roman"/>
          <w:bCs/>
          <w:color w:val="auto"/>
          <w:sz w:val="24"/>
          <w:szCs w:val="24"/>
        </w:rPr>
        <w:t xml:space="preserve"> 73.662. A Suprema Corte decidiu por relativizar a idade pré-fixada, é o que se identifica no acórdão do HC: </w:t>
      </w:r>
    </w:p>
    <w:p w:rsidR="00EE054B" w:rsidRDefault="00EE054B" w:rsidP="00EE054B">
      <w:pPr>
        <w:pStyle w:val="Pr-formataoHTML"/>
        <w:ind w:left="2268"/>
        <w:jc w:val="both"/>
        <w:textAlignment w:val="top"/>
        <w:rPr>
          <w:rFonts w:ascii="Times New Roman" w:hAnsi="Times New Roman" w:cs="Times New Roman"/>
          <w:bCs/>
          <w:color w:val="000000"/>
          <w:sz w:val="20"/>
          <w:szCs w:val="20"/>
        </w:rPr>
      </w:pPr>
      <w:r w:rsidRPr="00BE5DF1">
        <w:rPr>
          <w:rFonts w:ascii="Times New Roman" w:hAnsi="Times New Roman" w:cs="Times New Roman"/>
          <w:color w:val="auto"/>
          <w:sz w:val="20"/>
          <w:szCs w:val="20"/>
        </w:rPr>
        <w:t>ESTUPRO - CONFIGURAÇÃO - VIOLÊNCIA PRESUMIDA -</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IDADE DA VÍTIMA - NATUREZA. O estupro pressupõe o constrangimento</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de mulher à conjunção carnal, mediante violência ou grave ameaça</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 artigo 213 do Código Penal. A presunção desta última, por ser</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a vítima menor de 14 anos, é relativa. Confessada ou demonstrada</w:t>
      </w:r>
      <w:r>
        <w:rPr>
          <w:rFonts w:ascii="Times New Roman" w:hAnsi="Times New Roman" w:cs="Times New Roman"/>
          <w:color w:val="auto"/>
          <w:sz w:val="20"/>
          <w:szCs w:val="20"/>
        </w:rPr>
        <w:t xml:space="preserve"> </w:t>
      </w:r>
      <w:proofErr w:type="gramStart"/>
      <w:r w:rsidRPr="00BE5DF1">
        <w:rPr>
          <w:rFonts w:ascii="Times New Roman" w:hAnsi="Times New Roman" w:cs="Times New Roman"/>
          <w:color w:val="auto"/>
          <w:sz w:val="20"/>
          <w:szCs w:val="20"/>
        </w:rPr>
        <w:t>a</w:t>
      </w:r>
      <w:proofErr w:type="gramEnd"/>
      <w:r w:rsidRPr="00BE5DF1">
        <w:rPr>
          <w:rFonts w:ascii="Times New Roman" w:hAnsi="Times New Roman" w:cs="Times New Roman"/>
          <w:color w:val="auto"/>
          <w:sz w:val="20"/>
          <w:szCs w:val="20"/>
        </w:rPr>
        <w:t xml:space="preserve"> aquiescência da mulher e exsurgindo da prova dos autos a</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aparência, física ou mental, de tratar-se de pessoa com idade</w:t>
      </w:r>
      <w:r>
        <w:rPr>
          <w:rFonts w:ascii="Times New Roman" w:hAnsi="Times New Roman" w:cs="Times New Roman"/>
          <w:color w:val="auto"/>
          <w:sz w:val="20"/>
          <w:szCs w:val="20"/>
        </w:rPr>
        <w:t xml:space="preserve"> </w:t>
      </w:r>
      <w:r w:rsidRPr="00BE5DF1">
        <w:rPr>
          <w:rFonts w:ascii="Times New Roman" w:hAnsi="Times New Roman" w:cs="Times New Roman"/>
          <w:color w:val="auto"/>
          <w:sz w:val="20"/>
          <w:szCs w:val="20"/>
        </w:rPr>
        <w:t xml:space="preserve">superior aos 14 anos, impõe-se a conclusão sobre a ausência de configuração do tipo penal. Alcance dos artigos 213 e </w:t>
      </w:r>
      <w:proofErr w:type="gramStart"/>
      <w:r w:rsidRPr="00BE5DF1">
        <w:rPr>
          <w:rFonts w:ascii="Times New Roman" w:hAnsi="Times New Roman" w:cs="Times New Roman"/>
          <w:color w:val="auto"/>
          <w:sz w:val="20"/>
          <w:szCs w:val="20"/>
        </w:rPr>
        <w:t>224, alínea</w:t>
      </w:r>
      <w:proofErr w:type="gramEnd"/>
      <w:r w:rsidRPr="00BE5DF1">
        <w:rPr>
          <w:rFonts w:ascii="Times New Roman" w:hAnsi="Times New Roman" w:cs="Times New Roman"/>
          <w:color w:val="auto"/>
          <w:sz w:val="20"/>
          <w:szCs w:val="20"/>
        </w:rPr>
        <w:t xml:space="preserve"> ''a'', do Código Penal.</w:t>
      </w:r>
      <w:r>
        <w:rPr>
          <w:rFonts w:ascii="Times New Roman" w:hAnsi="Times New Roman" w:cs="Times New Roman"/>
          <w:bCs/>
          <w:color w:val="000000"/>
          <w:sz w:val="20"/>
          <w:szCs w:val="20"/>
        </w:rPr>
        <w:t xml:space="preserve"> (STF. </w:t>
      </w:r>
      <w:r w:rsidRPr="00592392">
        <w:rPr>
          <w:rFonts w:ascii="Times New Roman" w:hAnsi="Times New Roman" w:cs="Times New Roman"/>
          <w:bCs/>
          <w:i/>
          <w:color w:val="000000"/>
          <w:sz w:val="20"/>
          <w:szCs w:val="20"/>
        </w:rPr>
        <w:t>Habeas Corpus</w:t>
      </w:r>
      <w:r>
        <w:rPr>
          <w:rFonts w:ascii="Times New Roman" w:hAnsi="Times New Roman" w:cs="Times New Roman"/>
          <w:bCs/>
          <w:color w:val="000000"/>
          <w:sz w:val="20"/>
          <w:szCs w:val="20"/>
        </w:rPr>
        <w:t>, nº 73.662).</w:t>
      </w:r>
    </w:p>
    <w:p w:rsidR="00EE054B" w:rsidRDefault="00EE054B" w:rsidP="00EE054B">
      <w:pPr>
        <w:pStyle w:val="Pr-formataoHTML"/>
        <w:ind w:left="2268"/>
        <w:jc w:val="both"/>
        <w:textAlignment w:val="top"/>
        <w:rPr>
          <w:rFonts w:ascii="Times New Roman" w:hAnsi="Times New Roman" w:cs="Times New Roman"/>
          <w:bCs/>
          <w:color w:val="000000"/>
          <w:sz w:val="20"/>
          <w:szCs w:val="20"/>
        </w:rPr>
      </w:pPr>
    </w:p>
    <w:p w:rsidR="00EE054B" w:rsidRPr="007060D2" w:rsidRDefault="00EE054B" w:rsidP="007060D2">
      <w:pPr>
        <w:pStyle w:val="Pr-formataoHTML"/>
        <w:spacing w:line="360" w:lineRule="auto"/>
        <w:ind w:firstLine="1134"/>
        <w:jc w:val="both"/>
        <w:textAlignment w:val="top"/>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Tal decisão não é isolada, seguiram a mesmo entendimento do Ministro Marco Aurélio (relator do HC supra) o Ministro Luiz </w:t>
      </w:r>
      <w:proofErr w:type="spellStart"/>
      <w:r>
        <w:rPr>
          <w:rFonts w:ascii="Times New Roman" w:hAnsi="Times New Roman" w:cs="Times New Roman"/>
          <w:bCs/>
          <w:color w:val="000000"/>
          <w:sz w:val="24"/>
          <w:szCs w:val="24"/>
        </w:rPr>
        <w:t>Fux</w:t>
      </w:r>
      <w:proofErr w:type="spellEnd"/>
      <w:r>
        <w:rPr>
          <w:rFonts w:ascii="Times New Roman" w:hAnsi="Times New Roman" w:cs="Times New Roman"/>
          <w:bCs/>
          <w:color w:val="000000"/>
          <w:sz w:val="24"/>
          <w:szCs w:val="24"/>
        </w:rPr>
        <w:t>, relator do HC 109.206 e a Ministra Cármen Lúcia, relatora do HC 93.263. Além do STF, o próprio STJ julgou um agravo regimental no recurso especial no sentido da relativização da idade mínima também:</w:t>
      </w:r>
    </w:p>
    <w:p w:rsidR="00EE054B" w:rsidRPr="00F71458" w:rsidRDefault="00EE054B" w:rsidP="00EE054B">
      <w:pPr>
        <w:autoSpaceDE w:val="0"/>
        <w:autoSpaceDN w:val="0"/>
        <w:adjustRightInd w:val="0"/>
        <w:spacing w:after="0" w:line="240" w:lineRule="auto"/>
        <w:ind w:left="2268"/>
        <w:jc w:val="both"/>
        <w:rPr>
          <w:rFonts w:ascii="Times New Roman" w:hAnsi="Times New Roman" w:cs="Times New Roman"/>
          <w:bCs/>
          <w:sz w:val="20"/>
          <w:szCs w:val="20"/>
        </w:rPr>
      </w:pPr>
      <w:r w:rsidRPr="00F71458">
        <w:rPr>
          <w:rFonts w:ascii="Times New Roman" w:hAnsi="Times New Roman" w:cs="Times New Roman"/>
          <w:bCs/>
          <w:sz w:val="20"/>
          <w:szCs w:val="20"/>
        </w:rPr>
        <w:t>EMENTA</w:t>
      </w:r>
    </w:p>
    <w:p w:rsidR="00EE054B" w:rsidRDefault="00EE054B" w:rsidP="00EE054B">
      <w:pPr>
        <w:autoSpaceDE w:val="0"/>
        <w:autoSpaceDN w:val="0"/>
        <w:adjustRightInd w:val="0"/>
        <w:spacing w:after="0" w:line="240" w:lineRule="auto"/>
        <w:ind w:left="2268"/>
        <w:jc w:val="both"/>
        <w:rPr>
          <w:rFonts w:ascii="Times New Roman" w:hAnsi="Times New Roman" w:cs="Times New Roman"/>
          <w:bCs/>
          <w:sz w:val="20"/>
          <w:szCs w:val="20"/>
        </w:rPr>
      </w:pPr>
      <w:r w:rsidRPr="00F71458">
        <w:rPr>
          <w:rFonts w:ascii="Times New Roman" w:hAnsi="Times New Roman" w:cs="Times New Roman"/>
          <w:sz w:val="20"/>
          <w:szCs w:val="20"/>
        </w:rPr>
        <w:t>Crime contra a liberdade sexual (estupro). Menor de 14</w:t>
      </w:r>
      <w:r w:rsidRPr="00F71458">
        <w:rPr>
          <w:rFonts w:ascii="Times New Roman" w:hAnsi="Times New Roman" w:cs="Times New Roman"/>
          <w:bCs/>
          <w:sz w:val="20"/>
          <w:szCs w:val="20"/>
        </w:rPr>
        <w:t xml:space="preserve"> </w:t>
      </w:r>
      <w:r w:rsidRPr="00F71458">
        <w:rPr>
          <w:rFonts w:ascii="Times New Roman" w:hAnsi="Times New Roman" w:cs="Times New Roman"/>
          <w:sz w:val="20"/>
          <w:szCs w:val="20"/>
        </w:rPr>
        <w:t>anos/presunção de violência (relatividade). Consentimento válido da menor (relevância). Agravo regimental improvido.</w:t>
      </w:r>
      <w:r w:rsidRPr="00F71458">
        <w:rPr>
          <w:rFonts w:ascii="Times New Roman" w:hAnsi="Times New Roman" w:cs="Times New Roman"/>
          <w:bCs/>
          <w:sz w:val="20"/>
          <w:szCs w:val="20"/>
        </w:rPr>
        <w:t xml:space="preserve"> </w:t>
      </w:r>
    </w:p>
    <w:p w:rsidR="00EE054B" w:rsidRDefault="00EE054B" w:rsidP="00EE054B">
      <w:pPr>
        <w:autoSpaceDE w:val="0"/>
        <w:autoSpaceDN w:val="0"/>
        <w:adjustRightInd w:val="0"/>
        <w:spacing w:after="0" w:line="240" w:lineRule="auto"/>
        <w:ind w:left="2268"/>
        <w:jc w:val="both"/>
        <w:rPr>
          <w:rFonts w:ascii="Times New Roman" w:hAnsi="Times New Roman" w:cs="Times New Roman"/>
          <w:bCs/>
          <w:sz w:val="20"/>
          <w:szCs w:val="20"/>
        </w:rPr>
      </w:pPr>
    </w:p>
    <w:p w:rsidR="00EE054B" w:rsidRDefault="00EE054B" w:rsidP="00EE054B">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partir do entendimento de que o caráter da fixação da idade mínima é </w:t>
      </w:r>
      <w:proofErr w:type="gramStart"/>
      <w:r>
        <w:rPr>
          <w:rFonts w:ascii="Times New Roman" w:hAnsi="Times New Roman" w:cs="Times New Roman"/>
          <w:bCs/>
          <w:sz w:val="24"/>
          <w:szCs w:val="24"/>
        </w:rPr>
        <w:t>relativa</w:t>
      </w:r>
      <w:proofErr w:type="gramEnd"/>
      <w:r>
        <w:rPr>
          <w:rFonts w:ascii="Times New Roman" w:hAnsi="Times New Roman" w:cs="Times New Roman"/>
          <w:bCs/>
          <w:sz w:val="24"/>
          <w:szCs w:val="24"/>
        </w:rPr>
        <w:t xml:space="preserve">, se passou a considerar a hipótese de erro na conduta do autor do crime, pois este pode alegar o desconhecimento da idade da vítima – fato que já ocorreu inclusive </w:t>
      </w:r>
      <w:r>
        <w:rPr>
          <w:rFonts w:ascii="Times New Roman" w:hAnsi="Times New Roman" w:cs="Times New Roman"/>
          <w:bCs/>
          <w:sz w:val="24"/>
          <w:szCs w:val="24"/>
        </w:rPr>
        <w:lastRenderedPageBreak/>
        <w:t>no agravo supra. Porém, mais grave que isso é o fato de que, com a relativização, torna-se notório que se passa a levar em consideração o consentimento da vítima menor de 14 anos. Ora, no momento que há um suposto consentimento livre e expresso da vítima, por óbvio que a conduta se tornaria atípica. Portanto, praticar conjunção carnal ou qualquer ato libidinoso com menor de 14 anos com o consentimento deste</w:t>
      </w:r>
      <w:r>
        <w:rPr>
          <w:rFonts w:ascii="Times New Roman" w:hAnsi="Times New Roman" w:cs="Times New Roman"/>
          <w:bCs/>
          <w:sz w:val="24"/>
          <w:szCs w:val="24"/>
        </w:rPr>
        <w:sym w:font="Symbol" w:char="F02F"/>
      </w:r>
      <w:r>
        <w:rPr>
          <w:rFonts w:ascii="Times New Roman" w:hAnsi="Times New Roman" w:cs="Times New Roman"/>
          <w:bCs/>
          <w:sz w:val="24"/>
          <w:szCs w:val="24"/>
        </w:rPr>
        <w:t>desta não é crime.</w:t>
      </w:r>
    </w:p>
    <w:p w:rsidR="00EE054B" w:rsidRPr="00DD00C0" w:rsidRDefault="00EE054B" w:rsidP="00EE054B">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Apesar de </w:t>
      </w:r>
      <w:proofErr w:type="gramStart"/>
      <w:r>
        <w:rPr>
          <w:rFonts w:ascii="Times New Roman" w:hAnsi="Times New Roman" w:cs="Times New Roman"/>
          <w:bCs/>
          <w:sz w:val="24"/>
          <w:szCs w:val="24"/>
        </w:rPr>
        <w:t>anti-paternalista</w:t>
      </w:r>
      <w:proofErr w:type="gramEnd"/>
      <w:r>
        <w:rPr>
          <w:rFonts w:ascii="Times New Roman" w:hAnsi="Times New Roman" w:cs="Times New Roman"/>
          <w:bCs/>
          <w:sz w:val="24"/>
          <w:szCs w:val="24"/>
        </w:rPr>
        <w:t xml:space="preserve"> (fato que é positivo), não há como se sustentar tal relativização. Em primeiro lugar, é irrefutável apregoar que uma criança de 12 anos, como é o caso do agravo supracitado, não tem o discernimento suficientemente necessário para consentir a prática sexual e, por óbvio que é extremamente fácil influenciar uma criança, seja psicologicamente levando-a a consentir, seja mediante violência ou grave ameaça. Vale ressaltar que o consentimento não é “simples”, </w:t>
      </w:r>
      <w:r w:rsidRPr="00DD00C0">
        <w:rPr>
          <w:rFonts w:ascii="Times New Roman" w:hAnsi="Times New Roman" w:cs="Times New Roman"/>
          <w:bCs/>
          <w:sz w:val="24"/>
          <w:szCs w:val="24"/>
        </w:rPr>
        <w:t xml:space="preserve">implícito, obrigatoriamente há a necessidade de que este seja livre e expresso, o que se torna impraticável tendo em vista a falta de discernimento suficiente. Em segundo lugar, é preciso ter em vista que o grau de violência, ofensividade e lesividade da conduta criminosa é extremamente alto e, portanto, é inconcebível imaginar que uma criança supostamente estuprada por um adulto imputável não será crime por haver um hipotético consentimento da vítima. </w:t>
      </w:r>
    </w:p>
    <w:p w:rsidR="00EE054B" w:rsidRPr="00DD00C0" w:rsidRDefault="00EE054B" w:rsidP="00EE054B">
      <w:pPr>
        <w:autoSpaceDE w:val="0"/>
        <w:autoSpaceDN w:val="0"/>
        <w:adjustRightInd w:val="0"/>
        <w:spacing w:after="0" w:line="360" w:lineRule="auto"/>
        <w:ind w:firstLine="1134"/>
        <w:jc w:val="both"/>
        <w:rPr>
          <w:rFonts w:ascii="Times New Roman" w:hAnsi="Times New Roman" w:cs="Times New Roman"/>
          <w:bCs/>
          <w:sz w:val="24"/>
          <w:szCs w:val="24"/>
        </w:rPr>
      </w:pPr>
      <w:r w:rsidRPr="00DD00C0">
        <w:rPr>
          <w:rFonts w:ascii="Times New Roman" w:hAnsi="Times New Roman" w:cs="Times New Roman"/>
          <w:bCs/>
          <w:sz w:val="24"/>
          <w:szCs w:val="24"/>
        </w:rPr>
        <w:t xml:space="preserve">Afirma-se aqui, que a relativização feita pelo STF é extremamente infeliz e, apesar de algumas decisões do STJ alinhadas a ela, a jurisprudência “dominante” do Superior Tribunal de Justiça é no sentido do caráter absoluto da idade mínima para consentir fixada em 14 anos. É o que se verifica nas seguintes decisões: </w:t>
      </w:r>
    </w:p>
    <w:p w:rsidR="00EE054B" w:rsidRPr="00DD00C0" w:rsidRDefault="00EE054B" w:rsidP="00EE054B">
      <w:pPr>
        <w:autoSpaceDE w:val="0"/>
        <w:autoSpaceDN w:val="0"/>
        <w:adjustRightInd w:val="0"/>
        <w:spacing w:after="0" w:line="240" w:lineRule="auto"/>
        <w:ind w:left="2268"/>
        <w:jc w:val="both"/>
        <w:rPr>
          <w:rFonts w:ascii="Times New Roman" w:hAnsi="Times New Roman" w:cs="Times New Roman"/>
          <w:bCs/>
          <w:sz w:val="20"/>
          <w:szCs w:val="20"/>
        </w:rPr>
      </w:pPr>
      <w:r w:rsidRPr="00DD00C0">
        <w:rPr>
          <w:rFonts w:ascii="Times New Roman" w:hAnsi="Times New Roman" w:cs="Times New Roman"/>
          <w:iCs/>
          <w:sz w:val="20"/>
          <w:szCs w:val="20"/>
        </w:rPr>
        <w:t>HABEAS CORPUS. ESTUPRO. VIOLÊNCIA PRESUMIDA. VÍTIMA MENOR DE 14 ANOS. CONSENTIMENTO. IRRELEVÂNCIA. REVOGAÇÃO PELA LEI N.º 12.015/09. NOVATIO LEGIS IN PEJUS. ABOLITIO CRIMINIS INEXISTENTE. 1. A presunção de violência, anteriormente prevista no art. 224, alínea a, do Código Penal, tem caráter absoluto, afigurando-se como instrumento legal de proteção à liberdade sexual da menor de quatorze anos, em face de sua incapacidade volitiva, sendo irrelevante o seu consentimento para a formação do tipo penal do estupro. 2. Embora a Lei n.º 12.015/09 tenha retirado do texto penal incriminador a figura da violência presumida, não se verifica, na espécie, hipótese de abolitio criminis, já que o novo texto legal, que substituiu o art. 224, alínea a, do Código Penal, impõe uma obrigação geral de abstenção de conjunção carnal e de ato libidinoso com menores de 14 anos - art. 217-A, do mesmo Diploma Repressivo. 3. Ordem denegada.</w:t>
      </w:r>
      <w:r w:rsidRPr="00DD00C0">
        <w:rPr>
          <w:rFonts w:ascii="Times New Roman" w:hAnsi="Times New Roman" w:cs="Times New Roman"/>
          <w:sz w:val="20"/>
          <w:szCs w:val="20"/>
        </w:rPr>
        <w:t xml:space="preserve"> (STJ. 5ª T. HC nº 83788/MG. Rel. Min. Laurita Vaz. J. em 29/09/2009).</w:t>
      </w:r>
    </w:p>
    <w:p w:rsidR="00EE054B" w:rsidRPr="00DD00C0" w:rsidRDefault="00EE054B" w:rsidP="00EE054B">
      <w:pPr>
        <w:pStyle w:val="Pr-formataoHTML"/>
        <w:spacing w:line="360" w:lineRule="auto"/>
        <w:ind w:left="2268"/>
        <w:jc w:val="both"/>
        <w:textAlignment w:val="top"/>
        <w:rPr>
          <w:rFonts w:ascii="Times New Roman" w:hAnsi="Times New Roman" w:cs="Times New Roman"/>
          <w:bCs/>
          <w:color w:val="auto"/>
          <w:sz w:val="20"/>
          <w:szCs w:val="20"/>
        </w:rPr>
      </w:pPr>
    </w:p>
    <w:p w:rsidR="00EE054B" w:rsidRPr="00DD00C0" w:rsidRDefault="00EE054B" w:rsidP="00EE054B">
      <w:pPr>
        <w:pStyle w:val="Pr-formataoHTML"/>
        <w:spacing w:line="360" w:lineRule="auto"/>
        <w:jc w:val="both"/>
        <w:textAlignment w:val="top"/>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e</w:t>
      </w:r>
      <w:proofErr w:type="gramEnd"/>
    </w:p>
    <w:p w:rsidR="00EE054B" w:rsidRPr="00DD00C0" w:rsidRDefault="00EE054B" w:rsidP="00EE054B">
      <w:pPr>
        <w:pStyle w:val="Pr-formataoHTML"/>
        <w:spacing w:line="360" w:lineRule="auto"/>
        <w:jc w:val="both"/>
        <w:textAlignment w:val="top"/>
        <w:rPr>
          <w:rFonts w:ascii="Times New Roman" w:hAnsi="Times New Roman" w:cs="Times New Roman"/>
          <w:bCs/>
          <w:color w:val="auto"/>
          <w:sz w:val="24"/>
          <w:szCs w:val="24"/>
        </w:rPr>
      </w:pPr>
    </w:p>
    <w:p w:rsidR="00EE054B" w:rsidRDefault="00EE054B" w:rsidP="00EE054B">
      <w:pPr>
        <w:pStyle w:val="Pr-formataoHTML"/>
        <w:ind w:left="2268"/>
        <w:jc w:val="both"/>
        <w:textAlignment w:val="top"/>
        <w:rPr>
          <w:rFonts w:ascii="Times New Roman" w:hAnsi="Times New Roman" w:cs="Times New Roman"/>
          <w:iCs/>
          <w:color w:val="auto"/>
          <w:sz w:val="20"/>
          <w:szCs w:val="20"/>
        </w:rPr>
      </w:pPr>
      <w:r w:rsidRPr="00DD00C0">
        <w:rPr>
          <w:rFonts w:ascii="Times New Roman" w:hAnsi="Times New Roman" w:cs="Times New Roman"/>
          <w:iCs/>
          <w:color w:val="auto"/>
          <w:sz w:val="20"/>
          <w:szCs w:val="20"/>
        </w:rPr>
        <w:lastRenderedPageBreak/>
        <w:t xml:space="preserve">AGRAVO REGIMENTAL NO AGRAVO DE INSTRUMENTO. ESTUPRO CONTRA MENOR DE 14 ANOS. VIOLÊNCIA PRESUMIDA. PRESUNÇÃO ABSOLUTA. MATÉRIA DE DIREITO DECIDIDA EM SEDE DE RECURSO ESPECIAL. INEXISTÊNCIA DE CONDENAÇÃO NESTA SUPERIOR INSTÂNCIA. EXAME RESTRITO À MATÉRIA DE DIREITO. DEVOLUÇÃO DOS AUTOS À ORIGEM PARA O PROSSEGUIMENTO DO JULGAMENTO. CONDENAÇÃO. AUSÊNCIA </w:t>
      </w:r>
      <w:r>
        <w:rPr>
          <w:rFonts w:ascii="Times New Roman" w:hAnsi="Times New Roman" w:cs="Times New Roman"/>
          <w:iCs/>
          <w:color w:val="auto"/>
          <w:sz w:val="20"/>
          <w:szCs w:val="20"/>
        </w:rPr>
        <w:t xml:space="preserve">DE </w:t>
      </w:r>
      <w:proofErr w:type="spellStart"/>
      <w:r>
        <w:rPr>
          <w:rFonts w:ascii="Times New Roman" w:hAnsi="Times New Roman" w:cs="Times New Roman"/>
          <w:iCs/>
          <w:color w:val="auto"/>
          <w:sz w:val="20"/>
          <w:szCs w:val="20"/>
        </w:rPr>
        <w:t>DE</w:t>
      </w:r>
      <w:proofErr w:type="spellEnd"/>
      <w:r>
        <w:rPr>
          <w:rFonts w:ascii="Times New Roman" w:hAnsi="Times New Roman" w:cs="Times New Roman"/>
          <w:iCs/>
          <w:color w:val="auto"/>
          <w:sz w:val="20"/>
          <w:szCs w:val="20"/>
        </w:rPr>
        <w:t xml:space="preserve"> VIOLAÇÃO À COISA JULGADA. </w:t>
      </w:r>
      <w:r w:rsidRPr="00DD00C0">
        <w:rPr>
          <w:rFonts w:ascii="Times New Roman" w:hAnsi="Times New Roman" w:cs="Times New Roman"/>
          <w:iCs/>
          <w:color w:val="auto"/>
          <w:sz w:val="20"/>
          <w:szCs w:val="20"/>
        </w:rPr>
        <w:t>1. A controvérsia trazida para exame em sede de recurso especial, como é sabido e consabido, está sempre adstrita à matéria de direito, nunca de fato. Ao esposar a tese jurídica de que é absoluta a presunção de violência nos crimes sexuais contra menor de 14 anos, esta Corte cumpriu sua missão constitucional, não cabendo, nesse contexto, se imiscuir na análise das provas e dos fatos para proceder a um juízo condenatório ou absolutório, o que é tarefa exclusiva e inarredável das instâncias ordinárias. Ausência de violação à coisa julgada.</w:t>
      </w:r>
      <w:r w:rsidRPr="00DD00C0">
        <w:rPr>
          <w:rFonts w:ascii="Times New Roman" w:hAnsi="Times New Roman" w:cs="Times New Roman"/>
          <w:iCs/>
          <w:color w:val="auto"/>
          <w:sz w:val="20"/>
          <w:szCs w:val="20"/>
        </w:rPr>
        <w:br/>
        <w:t>2. Agravo Regimental desprovido.</w:t>
      </w:r>
    </w:p>
    <w:p w:rsidR="00EE054B" w:rsidRDefault="00EE054B" w:rsidP="00EE054B">
      <w:pPr>
        <w:pStyle w:val="Pr-formataoHTML"/>
        <w:ind w:left="2268"/>
        <w:jc w:val="both"/>
        <w:textAlignment w:val="top"/>
        <w:rPr>
          <w:rFonts w:ascii="Times New Roman" w:hAnsi="Times New Roman" w:cs="Times New Roman"/>
          <w:iCs/>
          <w:color w:val="auto"/>
          <w:sz w:val="20"/>
          <w:szCs w:val="20"/>
        </w:rPr>
      </w:pPr>
    </w:p>
    <w:p w:rsidR="00EE054B" w:rsidRDefault="00EE054B" w:rsidP="00EE054B">
      <w:pPr>
        <w:pStyle w:val="Pr-formataoHTML"/>
        <w:spacing w:line="360" w:lineRule="auto"/>
        <w:ind w:firstLine="1134"/>
        <w:jc w:val="both"/>
        <w:textAlignment w:val="top"/>
        <w:rPr>
          <w:rFonts w:ascii="Times New Roman" w:hAnsi="Times New Roman" w:cs="Times New Roman"/>
          <w:iCs/>
          <w:color w:val="auto"/>
          <w:sz w:val="24"/>
          <w:szCs w:val="24"/>
        </w:rPr>
      </w:pPr>
      <w:r w:rsidRPr="00DD00C0">
        <w:rPr>
          <w:rFonts w:ascii="Times New Roman" w:hAnsi="Times New Roman" w:cs="Times New Roman"/>
          <w:iCs/>
          <w:color w:val="auto"/>
          <w:sz w:val="24"/>
          <w:szCs w:val="24"/>
        </w:rPr>
        <w:t>Torna-se nítido, portanto, que a relativização da idade mínima para consentir não foi bem recepcionada pelo STJ, que, corretamente, vem aplicando o caráter absoluto da idade de 14 anos</w:t>
      </w:r>
      <w:r>
        <w:rPr>
          <w:rFonts w:ascii="Times New Roman" w:hAnsi="Times New Roman" w:cs="Times New Roman"/>
          <w:iCs/>
          <w:color w:val="auto"/>
          <w:sz w:val="24"/>
          <w:szCs w:val="24"/>
        </w:rPr>
        <w:t>.</w:t>
      </w:r>
    </w:p>
    <w:p w:rsidR="00EE054B" w:rsidRDefault="00EE054B" w:rsidP="00104AAE">
      <w:pPr>
        <w:pStyle w:val="PargrafodaLista"/>
        <w:spacing w:after="0" w:line="360" w:lineRule="auto"/>
        <w:ind w:left="0" w:firstLine="1134"/>
        <w:jc w:val="both"/>
        <w:rPr>
          <w:rFonts w:ascii="Times New Roman" w:hAnsi="Times New Roman" w:cs="Times New Roman"/>
          <w:sz w:val="24"/>
          <w:szCs w:val="24"/>
        </w:rPr>
      </w:pPr>
    </w:p>
    <w:p w:rsidR="00216409" w:rsidRDefault="00216409"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7060D2" w:rsidRDefault="007060D2" w:rsidP="00104AAE">
      <w:pPr>
        <w:pStyle w:val="PargrafodaLista"/>
        <w:spacing w:after="0" w:line="360" w:lineRule="auto"/>
        <w:ind w:left="0" w:firstLine="1134"/>
        <w:jc w:val="both"/>
        <w:rPr>
          <w:rFonts w:ascii="Times New Roman" w:hAnsi="Times New Roman" w:cs="Times New Roman"/>
          <w:sz w:val="24"/>
          <w:szCs w:val="24"/>
        </w:rPr>
      </w:pPr>
    </w:p>
    <w:p w:rsidR="00216409" w:rsidRDefault="00216409" w:rsidP="00216409">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16409" w:rsidRDefault="00216409" w:rsidP="00216409">
      <w:pPr>
        <w:pStyle w:val="PargrafodaLista"/>
        <w:spacing w:after="0" w:line="360" w:lineRule="auto"/>
        <w:ind w:left="0"/>
        <w:jc w:val="center"/>
        <w:rPr>
          <w:rFonts w:ascii="Times New Roman" w:hAnsi="Times New Roman" w:cs="Times New Roman"/>
          <w:b/>
          <w:sz w:val="24"/>
          <w:szCs w:val="24"/>
        </w:rPr>
      </w:pPr>
    </w:p>
    <w:p w:rsidR="007060D2" w:rsidRPr="00862267" w:rsidRDefault="007060D2" w:rsidP="007060D2">
      <w:pPr>
        <w:rPr>
          <w:rFonts w:ascii="Times New Roman" w:hAnsi="Times New Roman" w:cs="Times New Roman"/>
          <w:sz w:val="24"/>
          <w:szCs w:val="24"/>
        </w:rPr>
      </w:pPr>
      <w:r>
        <w:rPr>
          <w:rFonts w:ascii="Times New Roman" w:hAnsi="Times New Roman" w:cs="Times New Roman"/>
          <w:sz w:val="24"/>
          <w:szCs w:val="24"/>
        </w:rPr>
        <w:t xml:space="preserve">BLASZAK, Carolina. </w:t>
      </w:r>
      <w:r>
        <w:rPr>
          <w:rFonts w:ascii="Times New Roman" w:hAnsi="Times New Roman" w:cs="Times New Roman"/>
          <w:b/>
          <w:sz w:val="24"/>
          <w:szCs w:val="24"/>
        </w:rPr>
        <w:t>Crimes contra a liberdade sexual</w:t>
      </w:r>
      <w:r>
        <w:rPr>
          <w:rFonts w:ascii="Times New Roman" w:hAnsi="Times New Roman" w:cs="Times New Roman"/>
          <w:sz w:val="24"/>
          <w:szCs w:val="24"/>
        </w:rPr>
        <w:t>: mudanças do Código Penal. Disponível em: &lt;</w:t>
      </w:r>
      <w:r w:rsidRPr="00862267">
        <w:t xml:space="preserve"> </w:t>
      </w:r>
      <w:r w:rsidRPr="00862267">
        <w:rPr>
          <w:rFonts w:ascii="Times New Roman" w:hAnsi="Times New Roman" w:cs="Times New Roman"/>
          <w:sz w:val="24"/>
          <w:szCs w:val="24"/>
        </w:rPr>
        <w:t>http://curiofisica.com.br/direito/crimes-contra-a-liberdade-sexual-mudancas-do-codigo-penal-i</w:t>
      </w:r>
      <w:r>
        <w:rPr>
          <w:rFonts w:ascii="Times New Roman" w:hAnsi="Times New Roman" w:cs="Times New Roman"/>
          <w:sz w:val="24"/>
          <w:szCs w:val="24"/>
        </w:rPr>
        <w:t>&gt;. Acesso em: 29 de outubro de 2011.</w:t>
      </w:r>
    </w:p>
    <w:p w:rsidR="007060D2" w:rsidRDefault="007060D2" w:rsidP="007060D2">
      <w:pPr>
        <w:rPr>
          <w:rFonts w:ascii="Times New Roman" w:hAnsi="Times New Roman" w:cs="Times New Roman"/>
          <w:sz w:val="24"/>
          <w:szCs w:val="24"/>
        </w:rPr>
      </w:pPr>
      <w:r>
        <w:rPr>
          <w:rFonts w:ascii="Times New Roman" w:hAnsi="Times New Roman" w:cs="Times New Roman"/>
          <w:sz w:val="24"/>
          <w:szCs w:val="24"/>
        </w:rPr>
        <w:t>BRASIL, Código Penal.</w:t>
      </w:r>
    </w:p>
    <w:p w:rsidR="007060D2" w:rsidRDefault="007060D2" w:rsidP="007060D2">
      <w:pPr>
        <w:rPr>
          <w:rFonts w:ascii="Times New Roman" w:hAnsi="Times New Roman" w:cs="Times New Roman"/>
          <w:sz w:val="24"/>
          <w:szCs w:val="24"/>
        </w:rPr>
      </w:pPr>
      <w:r>
        <w:rPr>
          <w:rFonts w:ascii="Times New Roman" w:hAnsi="Times New Roman" w:cs="Times New Roman"/>
          <w:sz w:val="24"/>
          <w:szCs w:val="24"/>
        </w:rPr>
        <w:t xml:space="preserve">BRASIL. Lei 12.105, de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de agosto 2009.</w:t>
      </w:r>
    </w:p>
    <w:p w:rsidR="008E1550" w:rsidRPr="008E1550" w:rsidRDefault="008E1550" w:rsidP="007060D2">
      <w:pPr>
        <w:rPr>
          <w:rFonts w:ascii="Times New Roman" w:hAnsi="Times New Roman" w:cs="Times New Roman"/>
          <w:i/>
          <w:sz w:val="24"/>
          <w:szCs w:val="24"/>
        </w:rPr>
      </w:pPr>
      <w:r>
        <w:rPr>
          <w:rFonts w:ascii="Times New Roman" w:hAnsi="Times New Roman" w:cs="Times New Roman"/>
          <w:sz w:val="24"/>
          <w:szCs w:val="24"/>
        </w:rPr>
        <w:t xml:space="preserve">FRAGOSO, Rodrigo. </w:t>
      </w:r>
      <w:r>
        <w:rPr>
          <w:rFonts w:ascii="Times New Roman" w:hAnsi="Times New Roman" w:cs="Times New Roman"/>
          <w:b/>
          <w:sz w:val="24"/>
          <w:szCs w:val="24"/>
        </w:rPr>
        <w:t>Consentimento do Ofendido</w:t>
      </w:r>
      <w:r>
        <w:rPr>
          <w:rFonts w:ascii="Times New Roman" w:hAnsi="Times New Roman" w:cs="Times New Roman"/>
          <w:sz w:val="24"/>
          <w:szCs w:val="24"/>
        </w:rPr>
        <w:t xml:space="preserve">. </w:t>
      </w:r>
      <w:proofErr w:type="spellStart"/>
      <w:r>
        <w:rPr>
          <w:rFonts w:ascii="Times New Roman" w:hAnsi="Times New Roman" w:cs="Times New Roman"/>
          <w:sz w:val="24"/>
          <w:szCs w:val="24"/>
        </w:rPr>
        <w:t>Dísponível</w:t>
      </w:r>
      <w:proofErr w:type="spellEnd"/>
      <w:r>
        <w:rPr>
          <w:rFonts w:ascii="Times New Roman" w:hAnsi="Times New Roman" w:cs="Times New Roman"/>
          <w:sz w:val="24"/>
          <w:szCs w:val="24"/>
        </w:rPr>
        <w:t xml:space="preserve"> em: &lt;</w:t>
      </w:r>
      <w:r w:rsidRPr="008E1550">
        <w:rPr>
          <w:rStyle w:val="CitaoHTML"/>
          <w:rFonts w:ascii="Times New Roman" w:hAnsi="Times New Roman" w:cs="Times New Roman"/>
          <w:i w:val="0"/>
          <w:sz w:val="24"/>
          <w:szCs w:val="24"/>
        </w:rPr>
        <w:t>www.fragoso.com.br/</w:t>
      </w:r>
      <w:proofErr w:type="spellStart"/>
      <w:r w:rsidRPr="008E1550">
        <w:rPr>
          <w:rStyle w:val="CitaoHTML"/>
          <w:rFonts w:ascii="Times New Roman" w:hAnsi="Times New Roman" w:cs="Times New Roman"/>
          <w:i w:val="0"/>
          <w:sz w:val="24"/>
          <w:szCs w:val="24"/>
        </w:rPr>
        <w:t>eng</w:t>
      </w:r>
      <w:proofErr w:type="spellEnd"/>
      <w:r w:rsidRPr="008E1550">
        <w:rPr>
          <w:rStyle w:val="CitaoHTML"/>
          <w:rFonts w:ascii="Times New Roman" w:hAnsi="Times New Roman" w:cs="Times New Roman"/>
          <w:i w:val="0"/>
          <w:sz w:val="24"/>
          <w:szCs w:val="24"/>
        </w:rPr>
        <w:t>/</w:t>
      </w:r>
      <w:proofErr w:type="spellStart"/>
      <w:r w:rsidRPr="008E1550">
        <w:rPr>
          <w:rStyle w:val="CitaoHTML"/>
          <w:rFonts w:ascii="Times New Roman" w:hAnsi="Times New Roman" w:cs="Times New Roman"/>
          <w:i w:val="0"/>
          <w:sz w:val="24"/>
          <w:szCs w:val="24"/>
        </w:rPr>
        <w:t>arq_pdf</w:t>
      </w:r>
      <w:proofErr w:type="spellEnd"/>
      <w:r w:rsidRPr="008E1550">
        <w:rPr>
          <w:rStyle w:val="CitaoHTML"/>
          <w:rFonts w:ascii="Times New Roman" w:hAnsi="Times New Roman" w:cs="Times New Roman"/>
          <w:i w:val="0"/>
          <w:sz w:val="24"/>
          <w:szCs w:val="24"/>
        </w:rPr>
        <w:t>/artigos/arquivo64.pdf</w:t>
      </w:r>
      <w:r>
        <w:rPr>
          <w:rStyle w:val="CitaoHTML"/>
          <w:rFonts w:ascii="Times New Roman" w:hAnsi="Times New Roman" w:cs="Times New Roman"/>
          <w:i w:val="0"/>
          <w:sz w:val="24"/>
          <w:szCs w:val="24"/>
        </w:rPr>
        <w:t xml:space="preserve">&gt;. </w:t>
      </w:r>
    </w:p>
    <w:p w:rsidR="007060D2" w:rsidRPr="00592392" w:rsidRDefault="007060D2" w:rsidP="007060D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MIRABETE,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Fabbrini; FABBRINE, Renato N. </w:t>
      </w:r>
      <w:r>
        <w:rPr>
          <w:rFonts w:ascii="Times New Roman" w:hAnsi="Times New Roman" w:cs="Times New Roman"/>
          <w:b/>
          <w:sz w:val="24"/>
          <w:szCs w:val="24"/>
        </w:rPr>
        <w:t>Código Penal Interpretado</w:t>
      </w:r>
      <w:r>
        <w:rPr>
          <w:rFonts w:ascii="Times New Roman" w:hAnsi="Times New Roman" w:cs="Times New Roman"/>
          <w:sz w:val="24"/>
          <w:szCs w:val="24"/>
        </w:rPr>
        <w:t>.</w:t>
      </w:r>
      <w:r w:rsidR="008E1550">
        <w:rPr>
          <w:rFonts w:ascii="Times New Roman" w:hAnsi="Times New Roman" w:cs="Times New Roman"/>
          <w:sz w:val="24"/>
          <w:szCs w:val="24"/>
        </w:rPr>
        <w:t xml:space="preserve"> 7. </w:t>
      </w:r>
      <w:proofErr w:type="gramStart"/>
      <w:r w:rsidR="008E1550">
        <w:rPr>
          <w:rFonts w:ascii="Times New Roman" w:hAnsi="Times New Roman" w:cs="Times New Roman"/>
          <w:sz w:val="24"/>
          <w:szCs w:val="24"/>
        </w:rPr>
        <w:t>ed.</w:t>
      </w:r>
      <w:proofErr w:type="gramEnd"/>
      <w:r w:rsidR="008E1550">
        <w:rPr>
          <w:rFonts w:ascii="Times New Roman" w:hAnsi="Times New Roman" w:cs="Times New Roman"/>
          <w:sz w:val="24"/>
          <w:szCs w:val="24"/>
        </w:rPr>
        <w:t xml:space="preserve">  São Paulo: Atlas, 2011.</w:t>
      </w:r>
    </w:p>
    <w:p w:rsidR="007060D2" w:rsidRDefault="007060D2" w:rsidP="007060D2">
      <w:pPr>
        <w:rPr>
          <w:rFonts w:ascii="Times New Roman" w:hAnsi="Times New Roman" w:cs="Times New Roman"/>
          <w:bCs/>
          <w:color w:val="000000"/>
          <w:sz w:val="24"/>
          <w:szCs w:val="24"/>
        </w:rPr>
      </w:pPr>
      <w:r w:rsidRPr="00592392">
        <w:rPr>
          <w:rFonts w:ascii="Times New Roman" w:hAnsi="Times New Roman" w:cs="Times New Roman"/>
          <w:bCs/>
          <w:color w:val="000000"/>
          <w:sz w:val="24"/>
          <w:szCs w:val="24"/>
        </w:rPr>
        <w:t xml:space="preserve">STF. </w:t>
      </w:r>
      <w:r w:rsidRPr="00592392">
        <w:rPr>
          <w:rFonts w:ascii="Times New Roman" w:hAnsi="Times New Roman" w:cs="Times New Roman"/>
          <w:bCs/>
          <w:i/>
          <w:color w:val="000000"/>
          <w:sz w:val="24"/>
          <w:szCs w:val="24"/>
        </w:rPr>
        <w:t>Habeas Corpus</w:t>
      </w:r>
      <w:r w:rsidRPr="00592392">
        <w:rPr>
          <w:rFonts w:ascii="Times New Roman" w:hAnsi="Times New Roman" w:cs="Times New Roman"/>
          <w:bCs/>
          <w:color w:val="000000"/>
          <w:sz w:val="24"/>
          <w:szCs w:val="24"/>
        </w:rPr>
        <w:t>, nº 73.662</w:t>
      </w:r>
      <w:r>
        <w:rPr>
          <w:rFonts w:ascii="Times New Roman" w:hAnsi="Times New Roman" w:cs="Times New Roman"/>
          <w:bCs/>
          <w:color w:val="000000"/>
          <w:sz w:val="24"/>
          <w:szCs w:val="24"/>
        </w:rPr>
        <w:t>.</w:t>
      </w:r>
    </w:p>
    <w:p w:rsidR="007060D2" w:rsidRDefault="007060D2" w:rsidP="007060D2">
      <w:pPr>
        <w:rPr>
          <w:rFonts w:ascii="Times New Roman" w:hAnsi="Times New Roman" w:cs="Times New Roman"/>
          <w:bCs/>
          <w:color w:val="000000"/>
          <w:sz w:val="24"/>
          <w:szCs w:val="24"/>
        </w:rPr>
      </w:pPr>
      <w:r w:rsidRPr="00592392">
        <w:rPr>
          <w:rFonts w:ascii="Times New Roman" w:hAnsi="Times New Roman" w:cs="Times New Roman"/>
          <w:bCs/>
          <w:color w:val="000000"/>
          <w:sz w:val="24"/>
          <w:szCs w:val="24"/>
        </w:rPr>
        <w:t xml:space="preserve">STF. </w:t>
      </w:r>
      <w:r w:rsidRPr="00592392">
        <w:rPr>
          <w:rFonts w:ascii="Times New Roman" w:hAnsi="Times New Roman" w:cs="Times New Roman"/>
          <w:bCs/>
          <w:i/>
          <w:color w:val="000000"/>
          <w:sz w:val="24"/>
          <w:szCs w:val="24"/>
        </w:rPr>
        <w:t>Habeas Corpus</w:t>
      </w:r>
      <w:r w:rsidRPr="00592392">
        <w:rPr>
          <w:rFonts w:ascii="Times New Roman" w:hAnsi="Times New Roman" w:cs="Times New Roman"/>
          <w:bCs/>
          <w:color w:val="000000"/>
          <w:sz w:val="24"/>
          <w:szCs w:val="24"/>
        </w:rPr>
        <w:t xml:space="preserve">, nº </w:t>
      </w:r>
      <w:r>
        <w:rPr>
          <w:rFonts w:ascii="Times New Roman" w:hAnsi="Times New Roman" w:cs="Times New Roman"/>
          <w:bCs/>
          <w:color w:val="000000"/>
          <w:sz w:val="24"/>
          <w:szCs w:val="24"/>
        </w:rPr>
        <w:t>93.263.</w:t>
      </w:r>
    </w:p>
    <w:p w:rsidR="007060D2" w:rsidRPr="00592392" w:rsidRDefault="007060D2" w:rsidP="007060D2">
      <w:pPr>
        <w:rPr>
          <w:rFonts w:ascii="Times New Roman" w:hAnsi="Times New Roman" w:cs="Times New Roman"/>
          <w:sz w:val="24"/>
          <w:szCs w:val="24"/>
        </w:rPr>
      </w:pPr>
      <w:r w:rsidRPr="00592392">
        <w:rPr>
          <w:rFonts w:ascii="Times New Roman" w:hAnsi="Times New Roman" w:cs="Times New Roman"/>
          <w:bCs/>
          <w:color w:val="000000"/>
          <w:sz w:val="24"/>
          <w:szCs w:val="24"/>
        </w:rPr>
        <w:t xml:space="preserve">STF. </w:t>
      </w:r>
      <w:r w:rsidRPr="00592392">
        <w:rPr>
          <w:rFonts w:ascii="Times New Roman" w:hAnsi="Times New Roman" w:cs="Times New Roman"/>
          <w:bCs/>
          <w:i/>
          <w:color w:val="000000"/>
          <w:sz w:val="24"/>
          <w:szCs w:val="24"/>
        </w:rPr>
        <w:t>Habeas Corpus</w:t>
      </w:r>
      <w:r w:rsidRPr="00592392">
        <w:rPr>
          <w:rFonts w:ascii="Times New Roman" w:hAnsi="Times New Roman" w:cs="Times New Roman"/>
          <w:bCs/>
          <w:color w:val="000000"/>
          <w:sz w:val="24"/>
          <w:szCs w:val="24"/>
        </w:rPr>
        <w:t xml:space="preserve">, nº </w:t>
      </w:r>
      <w:r>
        <w:rPr>
          <w:rFonts w:ascii="Times New Roman" w:hAnsi="Times New Roman" w:cs="Times New Roman"/>
          <w:bCs/>
          <w:color w:val="000000"/>
          <w:sz w:val="24"/>
          <w:szCs w:val="24"/>
        </w:rPr>
        <w:t>109.206.</w:t>
      </w:r>
    </w:p>
    <w:p w:rsidR="007060D2" w:rsidRPr="00592392" w:rsidRDefault="007060D2" w:rsidP="007060D2">
      <w:pPr>
        <w:rPr>
          <w:rFonts w:ascii="Times New Roman" w:hAnsi="Times New Roman" w:cs="Times New Roman"/>
          <w:sz w:val="24"/>
          <w:szCs w:val="24"/>
        </w:rPr>
      </w:pPr>
      <w:r>
        <w:rPr>
          <w:rFonts w:ascii="Times New Roman" w:hAnsi="Times New Roman" w:cs="Times New Roman"/>
          <w:sz w:val="24"/>
          <w:szCs w:val="24"/>
        </w:rPr>
        <w:t>STJ. Agravo Regimental no Agravo de Instrumento</w:t>
      </w:r>
      <w:r w:rsidRPr="00592392">
        <w:rPr>
          <w:rFonts w:ascii="Times New Roman" w:hAnsi="Times New Roman" w:cs="Times New Roman"/>
          <w:sz w:val="24"/>
          <w:szCs w:val="24"/>
        </w:rPr>
        <w:t>, nº 900161.</w:t>
      </w:r>
    </w:p>
    <w:p w:rsidR="007060D2" w:rsidRDefault="007060D2" w:rsidP="007060D2">
      <w:pPr>
        <w:rPr>
          <w:rFonts w:ascii="Times New Roman" w:hAnsi="Times New Roman" w:cs="Times New Roman"/>
          <w:sz w:val="24"/>
          <w:szCs w:val="24"/>
        </w:rPr>
      </w:pPr>
      <w:r>
        <w:rPr>
          <w:rFonts w:ascii="Times New Roman" w:hAnsi="Times New Roman" w:cs="Times New Roman"/>
          <w:sz w:val="24"/>
          <w:szCs w:val="24"/>
        </w:rPr>
        <w:t>STJ. Agravo Regimental no Recurso Especia</w:t>
      </w:r>
      <w:r w:rsidRPr="00592392">
        <w:rPr>
          <w:rFonts w:ascii="Times New Roman" w:hAnsi="Times New Roman" w:cs="Times New Roman"/>
          <w:sz w:val="24"/>
          <w:szCs w:val="24"/>
        </w:rPr>
        <w:t xml:space="preserve">l, nº </w:t>
      </w:r>
      <w:r>
        <w:rPr>
          <w:rFonts w:ascii="Times New Roman" w:hAnsi="Times New Roman" w:cs="Times New Roman"/>
          <w:sz w:val="24"/>
          <w:szCs w:val="24"/>
        </w:rPr>
        <w:t>688.211.</w:t>
      </w:r>
    </w:p>
    <w:p w:rsidR="007060D2" w:rsidRPr="00592392" w:rsidRDefault="007060D2" w:rsidP="007060D2">
      <w:pPr>
        <w:rPr>
          <w:rFonts w:ascii="Times New Roman" w:hAnsi="Times New Roman" w:cs="Times New Roman"/>
          <w:sz w:val="24"/>
          <w:szCs w:val="24"/>
        </w:rPr>
      </w:pPr>
      <w:r w:rsidRPr="00592392">
        <w:rPr>
          <w:rFonts w:ascii="Times New Roman" w:hAnsi="Times New Roman" w:cs="Times New Roman"/>
          <w:sz w:val="24"/>
          <w:szCs w:val="24"/>
        </w:rPr>
        <w:t>STJ. Embargos infringentes e de nulidade capital, nº 0009472-96.2006.8.19.0038</w:t>
      </w:r>
    </w:p>
    <w:p w:rsidR="007060D2" w:rsidRPr="00592392" w:rsidRDefault="007060D2" w:rsidP="007060D2">
      <w:pPr>
        <w:rPr>
          <w:rFonts w:ascii="Times New Roman" w:hAnsi="Times New Roman" w:cs="Times New Roman"/>
          <w:sz w:val="24"/>
          <w:szCs w:val="24"/>
        </w:rPr>
      </w:pPr>
      <w:r>
        <w:rPr>
          <w:rFonts w:ascii="Times New Roman" w:hAnsi="Times New Roman" w:cs="Times New Roman"/>
          <w:bCs/>
          <w:color w:val="000000"/>
          <w:sz w:val="24"/>
          <w:szCs w:val="24"/>
        </w:rPr>
        <w:t>STJ</w:t>
      </w:r>
      <w:r w:rsidRPr="00592392">
        <w:rPr>
          <w:rFonts w:ascii="Times New Roman" w:hAnsi="Times New Roman" w:cs="Times New Roman"/>
          <w:bCs/>
          <w:color w:val="000000"/>
          <w:sz w:val="24"/>
          <w:szCs w:val="24"/>
        </w:rPr>
        <w:t xml:space="preserve">. </w:t>
      </w:r>
      <w:r w:rsidRPr="00592392">
        <w:rPr>
          <w:rFonts w:ascii="Times New Roman" w:hAnsi="Times New Roman" w:cs="Times New Roman"/>
          <w:bCs/>
          <w:i/>
          <w:sz w:val="24"/>
          <w:szCs w:val="24"/>
        </w:rPr>
        <w:t>Habeas Corpus</w:t>
      </w:r>
      <w:r>
        <w:rPr>
          <w:rFonts w:ascii="Times New Roman" w:hAnsi="Times New Roman" w:cs="Times New Roman"/>
          <w:bCs/>
          <w:sz w:val="24"/>
          <w:szCs w:val="24"/>
        </w:rPr>
        <w:t>, n</w:t>
      </w:r>
      <w:r w:rsidRPr="00592392">
        <w:rPr>
          <w:rFonts w:ascii="Times New Roman" w:hAnsi="Times New Roman" w:cs="Times New Roman"/>
          <w:sz w:val="24"/>
          <w:szCs w:val="24"/>
        </w:rPr>
        <w:t>º 83788</w:t>
      </w:r>
      <w:r>
        <w:rPr>
          <w:rFonts w:ascii="Times New Roman" w:hAnsi="Times New Roman" w:cs="Times New Roman"/>
          <w:sz w:val="24"/>
          <w:szCs w:val="24"/>
        </w:rPr>
        <w:t>.</w:t>
      </w:r>
    </w:p>
    <w:p w:rsidR="007060D2" w:rsidRPr="00543FDF" w:rsidRDefault="007060D2" w:rsidP="00216409">
      <w:pPr>
        <w:pStyle w:val="PargrafodaLista"/>
        <w:spacing w:after="0" w:line="360" w:lineRule="auto"/>
        <w:ind w:left="0"/>
        <w:rPr>
          <w:rFonts w:ascii="Times New Roman" w:hAnsi="Times New Roman" w:cs="Times New Roman"/>
          <w:sz w:val="24"/>
          <w:szCs w:val="24"/>
        </w:rPr>
      </w:pPr>
    </w:p>
    <w:p w:rsidR="000E6BEB" w:rsidRDefault="000E6BEB" w:rsidP="00104AAE">
      <w:pPr>
        <w:pStyle w:val="PargrafodaLista"/>
        <w:spacing w:after="0" w:line="360" w:lineRule="auto"/>
        <w:ind w:left="0" w:firstLine="1134"/>
        <w:jc w:val="both"/>
        <w:rPr>
          <w:rFonts w:ascii="Times New Roman" w:hAnsi="Times New Roman" w:cs="Times New Roman"/>
          <w:sz w:val="24"/>
          <w:szCs w:val="24"/>
        </w:rPr>
      </w:pPr>
    </w:p>
    <w:p w:rsidR="000E6BEB" w:rsidRDefault="000E6BEB" w:rsidP="00104AAE">
      <w:pPr>
        <w:pStyle w:val="PargrafodaLista"/>
        <w:spacing w:after="0" w:line="360" w:lineRule="auto"/>
        <w:ind w:left="0" w:firstLine="1134"/>
        <w:jc w:val="both"/>
        <w:rPr>
          <w:rFonts w:ascii="Times New Roman" w:hAnsi="Times New Roman" w:cs="Times New Roman"/>
          <w:sz w:val="24"/>
          <w:szCs w:val="24"/>
        </w:rPr>
      </w:pPr>
    </w:p>
    <w:p w:rsidR="000E6BEB" w:rsidRDefault="000E6BEB" w:rsidP="00104AAE">
      <w:pPr>
        <w:pStyle w:val="PargrafodaLista"/>
        <w:spacing w:after="0" w:line="360" w:lineRule="auto"/>
        <w:ind w:left="0" w:firstLine="1134"/>
        <w:jc w:val="both"/>
        <w:rPr>
          <w:rFonts w:ascii="Times New Roman" w:hAnsi="Times New Roman" w:cs="Times New Roman"/>
          <w:sz w:val="24"/>
          <w:szCs w:val="24"/>
        </w:rPr>
      </w:pPr>
    </w:p>
    <w:p w:rsidR="000E6BEB" w:rsidRDefault="000E6BEB" w:rsidP="00104AAE">
      <w:pPr>
        <w:pStyle w:val="PargrafodaLista"/>
        <w:spacing w:after="0" w:line="360" w:lineRule="auto"/>
        <w:ind w:left="0" w:firstLine="1134"/>
        <w:jc w:val="both"/>
        <w:rPr>
          <w:rFonts w:ascii="Times New Roman" w:hAnsi="Times New Roman" w:cs="Times New Roman"/>
          <w:sz w:val="24"/>
          <w:szCs w:val="24"/>
        </w:rPr>
      </w:pPr>
    </w:p>
    <w:p w:rsidR="0096167D" w:rsidRPr="00104AAE" w:rsidRDefault="0096167D" w:rsidP="00104AAE">
      <w:pPr>
        <w:pStyle w:val="PargrafodaLista"/>
        <w:spacing w:after="0" w:line="360" w:lineRule="auto"/>
        <w:ind w:left="0" w:firstLine="1134"/>
        <w:jc w:val="both"/>
        <w:rPr>
          <w:rFonts w:ascii="Times New Roman" w:hAnsi="Times New Roman" w:cs="Times New Roman"/>
          <w:sz w:val="24"/>
          <w:szCs w:val="24"/>
        </w:rPr>
      </w:pPr>
    </w:p>
    <w:sectPr w:rsidR="0096167D" w:rsidRPr="00104AAE" w:rsidSect="00540EA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EA" w:rsidRDefault="00CD4FEA" w:rsidP="00540EAA">
      <w:pPr>
        <w:spacing w:after="0" w:line="240" w:lineRule="auto"/>
      </w:pPr>
      <w:r>
        <w:separator/>
      </w:r>
    </w:p>
  </w:endnote>
  <w:endnote w:type="continuationSeparator" w:id="0">
    <w:p w:rsidR="00CD4FEA" w:rsidRDefault="00CD4FEA" w:rsidP="0054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EA" w:rsidRDefault="00CD4FEA" w:rsidP="00540EAA">
      <w:pPr>
        <w:spacing w:after="0" w:line="240" w:lineRule="auto"/>
      </w:pPr>
      <w:r>
        <w:separator/>
      </w:r>
    </w:p>
  </w:footnote>
  <w:footnote w:type="continuationSeparator" w:id="0">
    <w:p w:rsidR="00CD4FEA" w:rsidRDefault="00CD4FEA" w:rsidP="00540EAA">
      <w:pPr>
        <w:spacing w:after="0" w:line="240" w:lineRule="auto"/>
      </w:pPr>
      <w:r>
        <w:continuationSeparator/>
      </w:r>
    </w:p>
  </w:footnote>
  <w:footnote w:id="1">
    <w:p w:rsidR="00216409" w:rsidRPr="00104AAE" w:rsidRDefault="0021640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i/>
        </w:rPr>
        <w:t xml:space="preserve">Paper </w:t>
      </w:r>
      <w:r>
        <w:rPr>
          <w:rFonts w:ascii="Times New Roman" w:hAnsi="Times New Roman" w:cs="Times New Roman"/>
        </w:rPr>
        <w:t>apresentado à disciplina Direito Penal I – Parte Especial, da Unidade de Ensino Superior Dom Bosco – UNDB;</w:t>
      </w:r>
    </w:p>
  </w:footnote>
  <w:footnote w:id="2">
    <w:p w:rsidR="00216409" w:rsidRPr="00104AAE" w:rsidRDefault="0021640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Alunos do 4º período noturno, da UNDB;</w:t>
      </w:r>
    </w:p>
  </w:footnote>
  <w:footnote w:id="3">
    <w:p w:rsidR="00216409" w:rsidRPr="00104AAE" w:rsidRDefault="0021640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362"/>
      <w:docPartObj>
        <w:docPartGallery w:val="Page Numbers (Top of Page)"/>
        <w:docPartUnique/>
      </w:docPartObj>
    </w:sdtPr>
    <w:sdtEndPr/>
    <w:sdtContent>
      <w:p w:rsidR="00216409" w:rsidRDefault="00CD4FEA">
        <w:pPr>
          <w:pStyle w:val="Cabealho"/>
          <w:jc w:val="right"/>
        </w:pPr>
        <w:r>
          <w:fldChar w:fldCharType="begin"/>
        </w:r>
        <w:r>
          <w:instrText xml:space="preserve"> PAGE   \* MERGEFORMAT </w:instrText>
        </w:r>
        <w:r>
          <w:fldChar w:fldCharType="separate"/>
        </w:r>
        <w:r w:rsidR="00D17632">
          <w:rPr>
            <w:noProof/>
          </w:rPr>
          <w:t>1</w:t>
        </w:r>
        <w:r>
          <w:rPr>
            <w:noProof/>
          </w:rPr>
          <w:fldChar w:fldCharType="end"/>
        </w:r>
      </w:p>
    </w:sdtContent>
  </w:sdt>
  <w:p w:rsidR="00216409" w:rsidRDefault="002164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3F9"/>
    <w:multiLevelType w:val="hybridMultilevel"/>
    <w:tmpl w:val="7A626A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213187"/>
    <w:multiLevelType w:val="multilevel"/>
    <w:tmpl w:val="2C70143A"/>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
    <w:nsid w:val="41521757"/>
    <w:multiLevelType w:val="hybridMultilevel"/>
    <w:tmpl w:val="8F0C40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C16EC7"/>
    <w:multiLevelType w:val="hybridMultilevel"/>
    <w:tmpl w:val="D9809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24E5F0F"/>
    <w:multiLevelType w:val="hybridMultilevel"/>
    <w:tmpl w:val="299A6F06"/>
    <w:lvl w:ilvl="0" w:tplc="01487FCC">
      <w:start w:val="1"/>
      <w:numFmt w:val="decimal"/>
      <w:lvlText w:val="%1."/>
      <w:lvlJc w:val="left"/>
      <w:pPr>
        <w:ind w:left="1080" w:hanging="360"/>
      </w:pPr>
      <w:rPr>
        <w:rFonts w:ascii="Times New Roman" w:hAnsi="Times New Roman" w:cs="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31B0"/>
    <w:rsid w:val="000E6BEB"/>
    <w:rsid w:val="00104AAE"/>
    <w:rsid w:val="001310EB"/>
    <w:rsid w:val="00161D11"/>
    <w:rsid w:val="00192EA6"/>
    <w:rsid w:val="00216409"/>
    <w:rsid w:val="00230D42"/>
    <w:rsid w:val="00255870"/>
    <w:rsid w:val="00256A84"/>
    <w:rsid w:val="002750DA"/>
    <w:rsid w:val="004320F6"/>
    <w:rsid w:val="00450317"/>
    <w:rsid w:val="00450834"/>
    <w:rsid w:val="004943EB"/>
    <w:rsid w:val="004D1610"/>
    <w:rsid w:val="00536D28"/>
    <w:rsid w:val="00540EAA"/>
    <w:rsid w:val="00543FDF"/>
    <w:rsid w:val="00547367"/>
    <w:rsid w:val="006131B0"/>
    <w:rsid w:val="007060D2"/>
    <w:rsid w:val="00710A76"/>
    <w:rsid w:val="00763D91"/>
    <w:rsid w:val="0079632E"/>
    <w:rsid w:val="007A34A2"/>
    <w:rsid w:val="007C2FEF"/>
    <w:rsid w:val="007F0A82"/>
    <w:rsid w:val="008761D7"/>
    <w:rsid w:val="008941E1"/>
    <w:rsid w:val="008E1550"/>
    <w:rsid w:val="009032F4"/>
    <w:rsid w:val="009048FE"/>
    <w:rsid w:val="00914A92"/>
    <w:rsid w:val="009352DF"/>
    <w:rsid w:val="0096167D"/>
    <w:rsid w:val="009652BD"/>
    <w:rsid w:val="009A69D1"/>
    <w:rsid w:val="009B30AE"/>
    <w:rsid w:val="009B3EA9"/>
    <w:rsid w:val="009C2754"/>
    <w:rsid w:val="00AE7EE5"/>
    <w:rsid w:val="00AF5150"/>
    <w:rsid w:val="00B37C94"/>
    <w:rsid w:val="00B8490A"/>
    <w:rsid w:val="00BD70C2"/>
    <w:rsid w:val="00C44FC1"/>
    <w:rsid w:val="00C458EC"/>
    <w:rsid w:val="00C629F0"/>
    <w:rsid w:val="00CA4D0F"/>
    <w:rsid w:val="00CD4FEA"/>
    <w:rsid w:val="00CF4B74"/>
    <w:rsid w:val="00D0325E"/>
    <w:rsid w:val="00D07D05"/>
    <w:rsid w:val="00D17632"/>
    <w:rsid w:val="00E009C7"/>
    <w:rsid w:val="00E91F87"/>
    <w:rsid w:val="00E97330"/>
    <w:rsid w:val="00EE054B"/>
    <w:rsid w:val="00F01E81"/>
    <w:rsid w:val="00F90E29"/>
    <w:rsid w:val="00FC7BE5"/>
    <w:rsid w:val="00FD1E22"/>
    <w:rsid w:val="00FE6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31B0"/>
    <w:pPr>
      <w:ind w:left="720"/>
      <w:contextualSpacing/>
    </w:pPr>
  </w:style>
  <w:style w:type="paragraph" w:styleId="Cabealho">
    <w:name w:val="header"/>
    <w:basedOn w:val="Normal"/>
    <w:link w:val="CabealhoChar"/>
    <w:uiPriority w:val="99"/>
    <w:unhideWhenUsed/>
    <w:rsid w:val="00540E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0EAA"/>
  </w:style>
  <w:style w:type="paragraph" w:styleId="Rodap">
    <w:name w:val="footer"/>
    <w:basedOn w:val="Normal"/>
    <w:link w:val="RodapChar"/>
    <w:uiPriority w:val="99"/>
    <w:semiHidden/>
    <w:unhideWhenUsed/>
    <w:rsid w:val="00540EA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40EAA"/>
  </w:style>
  <w:style w:type="paragraph" w:styleId="Textodenotaderodap">
    <w:name w:val="footnote text"/>
    <w:basedOn w:val="Normal"/>
    <w:link w:val="TextodenotaderodapChar"/>
    <w:uiPriority w:val="99"/>
    <w:semiHidden/>
    <w:unhideWhenUsed/>
    <w:rsid w:val="00104A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AAE"/>
    <w:rPr>
      <w:sz w:val="20"/>
      <w:szCs w:val="20"/>
    </w:rPr>
  </w:style>
  <w:style w:type="character" w:styleId="Refdenotaderodap">
    <w:name w:val="footnote reference"/>
    <w:basedOn w:val="Fontepargpadro"/>
    <w:uiPriority w:val="99"/>
    <w:semiHidden/>
    <w:unhideWhenUsed/>
    <w:rsid w:val="00104AAE"/>
    <w:rPr>
      <w:vertAlign w:val="superscript"/>
    </w:rPr>
  </w:style>
  <w:style w:type="paragraph" w:styleId="Pr-formataoHTML">
    <w:name w:val="HTML Preformatted"/>
    <w:basedOn w:val="Normal"/>
    <w:link w:val="Pr-formataoHTMLChar"/>
    <w:uiPriority w:val="99"/>
    <w:unhideWhenUsed/>
    <w:rsid w:val="00EE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385260"/>
      <w:sz w:val="14"/>
      <w:szCs w:val="14"/>
      <w:lang w:eastAsia="pt-BR"/>
    </w:rPr>
  </w:style>
  <w:style w:type="character" w:customStyle="1" w:styleId="Pr-formataoHTMLChar">
    <w:name w:val="Pré-formatação HTML Char"/>
    <w:basedOn w:val="Fontepargpadro"/>
    <w:link w:val="Pr-formataoHTML"/>
    <w:uiPriority w:val="99"/>
    <w:rsid w:val="00EE054B"/>
    <w:rPr>
      <w:rFonts w:ascii="Courier New" w:eastAsia="Times New Roman" w:hAnsi="Courier New" w:cs="Courier New"/>
      <w:color w:val="385260"/>
      <w:sz w:val="14"/>
      <w:szCs w:val="14"/>
      <w:lang w:eastAsia="pt-BR"/>
    </w:rPr>
  </w:style>
  <w:style w:type="character" w:styleId="CitaoHTML">
    <w:name w:val="HTML Cite"/>
    <w:basedOn w:val="Fontepargpadro"/>
    <w:uiPriority w:val="99"/>
    <w:semiHidden/>
    <w:unhideWhenUsed/>
    <w:rsid w:val="008E1550"/>
    <w:rPr>
      <w:i/>
      <w:iCs/>
    </w:rPr>
  </w:style>
  <w:style w:type="character" w:styleId="Hyperlink">
    <w:name w:val="Hyperlink"/>
    <w:basedOn w:val="Fontepargpadro"/>
    <w:uiPriority w:val="99"/>
    <w:unhideWhenUsed/>
    <w:rsid w:val="008E15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C209-C693-4649-B3D0-E9BB974F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3032</Words>
  <Characters>16378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Justino</dc:creator>
  <cp:lastModifiedBy>Carlos Alberto Braga Diniz Neto</cp:lastModifiedBy>
  <cp:revision>2</cp:revision>
  <dcterms:created xsi:type="dcterms:W3CDTF">2013-08-06T17:40:00Z</dcterms:created>
  <dcterms:modified xsi:type="dcterms:W3CDTF">2013-08-06T17:40:00Z</dcterms:modified>
</cp:coreProperties>
</file>