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5E" w:rsidRDefault="004C4D5E" w:rsidP="004C4D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2CA9">
        <w:rPr>
          <w:noProof/>
          <w:lang w:eastAsia="pt-BR"/>
        </w:rPr>
        <w:drawing>
          <wp:inline distT="0" distB="0" distL="0" distR="0" wp14:anchorId="6237DC73" wp14:editId="14111613">
            <wp:extent cx="1600200" cy="39052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D5E" w:rsidRDefault="004C4D5E" w:rsidP="008623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817" w:rsidRDefault="004D3817" w:rsidP="00A63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17">
        <w:rPr>
          <w:rFonts w:ascii="Times New Roman" w:hAnsi="Times New Roman" w:cs="Times New Roman"/>
          <w:b/>
          <w:sz w:val="28"/>
          <w:szCs w:val="28"/>
        </w:rPr>
        <w:t>A PENHORA E A PATRIMONIALIDADE NA EXECUÇÃO POR QUANTIA CERTA CONTRA DEVEDOR SOLVENTE À LUZ DA (IN) ALIENABILIDADE/DISPONIBILIDADE DOS BENS APREENDIDOS JUDICIALMENTE E A FRAUDE À EXECUÇÃO</w:t>
      </w:r>
      <w:r w:rsidR="00A52ACD">
        <w:rPr>
          <w:rFonts w:ascii="Times New Roman" w:hAnsi="Times New Roman" w:cs="Times New Roman"/>
          <w:b/>
          <w:sz w:val="28"/>
          <w:szCs w:val="28"/>
        </w:rPr>
        <w:t>¹</w:t>
      </w:r>
    </w:p>
    <w:p w:rsidR="00A52ACD" w:rsidRDefault="00A52ACD" w:rsidP="00A633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CD" w:rsidRPr="00E6239A" w:rsidRDefault="00A52ACD" w:rsidP="00A52AC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239A">
        <w:rPr>
          <w:rFonts w:ascii="Times New Roman" w:hAnsi="Times New Roman" w:cs="Times New Roman"/>
          <w:b/>
          <w:bCs/>
          <w:i/>
          <w:sz w:val="24"/>
          <w:szCs w:val="24"/>
        </w:rPr>
        <w:t>Anderson dos Santos Guimarães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²</w:t>
      </w:r>
    </w:p>
    <w:p w:rsidR="00A52ACD" w:rsidRPr="00E6239A" w:rsidRDefault="00A52ACD" w:rsidP="00A52AC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239A">
        <w:rPr>
          <w:rFonts w:ascii="Times New Roman" w:hAnsi="Times New Roman" w:cs="Times New Roman"/>
          <w:b/>
          <w:bCs/>
          <w:i/>
          <w:sz w:val="24"/>
          <w:szCs w:val="24"/>
        </w:rPr>
        <w:t>Carlos Alberto Braga Diniz Neto</w:t>
      </w:r>
      <w:r w:rsidR="007D2AEF">
        <w:rPr>
          <w:rFonts w:ascii="Times New Roman" w:hAnsi="Times New Roman" w:cs="Times New Roman"/>
          <w:b/>
          <w:bCs/>
          <w:i/>
          <w:sz w:val="24"/>
          <w:szCs w:val="24"/>
        </w:rPr>
        <w:t>²</w:t>
      </w:r>
    </w:p>
    <w:p w:rsidR="008E29A9" w:rsidRDefault="00A52ACD" w:rsidP="008E29A9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239A">
        <w:rPr>
          <w:rFonts w:ascii="Times New Roman" w:hAnsi="Times New Roman" w:cs="Times New Roman"/>
          <w:b/>
          <w:bCs/>
          <w:i/>
          <w:sz w:val="24"/>
          <w:szCs w:val="24"/>
        </w:rPr>
        <w:t>Christian Barros Pinto</w:t>
      </w:r>
      <w:r w:rsidR="007D2AEF">
        <w:rPr>
          <w:rFonts w:ascii="Times New Roman" w:hAnsi="Times New Roman" w:cs="Times New Roman"/>
          <w:b/>
          <w:bCs/>
          <w:i/>
          <w:sz w:val="24"/>
          <w:szCs w:val="24"/>
        </w:rPr>
        <w:t>³</w:t>
      </w:r>
    </w:p>
    <w:p w:rsidR="008E29A9" w:rsidRPr="00E6239A" w:rsidRDefault="008E29A9" w:rsidP="008E29A9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57300" w:rsidRDefault="008E29A9" w:rsidP="00757300">
      <w:pPr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39A">
        <w:rPr>
          <w:rFonts w:ascii="Times New Roman" w:hAnsi="Times New Roman" w:cs="Times New Roman"/>
          <w:bCs/>
          <w:sz w:val="24"/>
          <w:szCs w:val="24"/>
        </w:rPr>
        <w:t xml:space="preserve">Sumário: Resumo; Introdução;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Da Responsabilidade Patrimonial na Execução por quantia certa contra devedor solvente</w:t>
      </w:r>
      <w:r w:rsidRPr="00E6239A">
        <w:rPr>
          <w:rFonts w:ascii="Times New Roman" w:hAnsi="Times New Roman" w:cs="Times New Roman"/>
          <w:bCs/>
          <w:sz w:val="24"/>
          <w:szCs w:val="24"/>
        </w:rPr>
        <w:t>; 2.</w:t>
      </w:r>
      <w:r w:rsidR="00DC4A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070B">
        <w:rPr>
          <w:rFonts w:ascii="Times New Roman" w:hAnsi="Times New Roman" w:cs="Times New Roman"/>
          <w:bCs/>
          <w:sz w:val="24"/>
          <w:szCs w:val="24"/>
        </w:rPr>
        <w:t>Da penhora e seus efeitos</w:t>
      </w:r>
      <w:r>
        <w:rPr>
          <w:rFonts w:ascii="Times New Roman" w:hAnsi="Times New Roman" w:cs="Times New Roman"/>
          <w:bCs/>
          <w:sz w:val="24"/>
          <w:szCs w:val="24"/>
        </w:rPr>
        <w:t xml:space="preserve"> perante o devedor, credor e terceiros</w:t>
      </w:r>
      <w:r w:rsidRPr="00E6239A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2.1. Da </w:t>
      </w:r>
      <w:r>
        <w:rPr>
          <w:rFonts w:ascii="Times New Roman" w:hAnsi="Times New Roman" w:cs="Times New Roman"/>
          <w:sz w:val="24"/>
        </w:rPr>
        <w:t>(in) alienabilidade/disponibilidade dos bens apreendidos judicialmente e efeitos;</w:t>
      </w:r>
      <w:r w:rsidRPr="00E62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6239A">
        <w:rPr>
          <w:rFonts w:ascii="Times New Roman" w:hAnsi="Times New Roman" w:cs="Times New Roman"/>
          <w:bCs/>
          <w:sz w:val="24"/>
          <w:szCs w:val="24"/>
        </w:rPr>
        <w:t>3</w:t>
      </w:r>
      <w:proofErr w:type="gramEnd"/>
      <w:r w:rsidRPr="00E6239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Da fraude à Execução</w:t>
      </w:r>
      <w:r w:rsidRPr="00E6239A"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>Considerações Finais</w:t>
      </w:r>
      <w:r w:rsidRPr="00701729">
        <w:rPr>
          <w:rFonts w:ascii="Times New Roman" w:hAnsi="Times New Roman" w:cs="Times New Roman"/>
          <w:bCs/>
          <w:sz w:val="28"/>
          <w:szCs w:val="24"/>
        </w:rPr>
        <w:t>.</w:t>
      </w:r>
    </w:p>
    <w:p w:rsidR="00757300" w:rsidRDefault="00757300" w:rsidP="00757300">
      <w:pPr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29A9" w:rsidRDefault="008E29A9" w:rsidP="008E29A9">
      <w:pPr>
        <w:spacing w:after="0" w:line="360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29A9" w:rsidRDefault="008E29A9" w:rsidP="008E2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:rsidR="008E29A9" w:rsidRDefault="008E29A9" w:rsidP="008E2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9A9" w:rsidRDefault="008E29A9" w:rsidP="00CB4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presente artigo tem como principal desígnio entender as correntes doutrinárias e jurisprudenciais que interpretam os efeitos da penhora perante o credor, o devedor e terceiros, analisando a questão da (in) alienabilidade/disponibilidade dos bens penhorados que saem do poder de gozo do executado, para entender se tal alienação é juridicamente proibida, constituindo fraude à execução, dependendo de prova da má-fé do terceiro adquirente, ou sendo sempre inoperante, sem necessidade de tal prova. Procura-se ainda analisar</w:t>
      </w:r>
      <w:r w:rsidR="007D2A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 </w:t>
      </w:r>
      <w:r w:rsidR="007D2AEF">
        <w:rPr>
          <w:rFonts w:ascii="Times New Roman" w:hAnsi="Times New Roman" w:cs="Times New Roman"/>
          <w:sz w:val="24"/>
        </w:rPr>
        <w:t xml:space="preserve">a alienação </w:t>
      </w:r>
      <w:r>
        <w:rPr>
          <w:rFonts w:ascii="Times New Roman" w:hAnsi="Times New Roman" w:cs="Times New Roman"/>
          <w:sz w:val="24"/>
        </w:rPr>
        <w:t>constitui apenas um ato ineficaz ou ato nulo (inválido)</w:t>
      </w:r>
      <w:r w:rsidR="007D2AEF">
        <w:rPr>
          <w:rFonts w:ascii="Times New Roman" w:hAnsi="Times New Roman" w:cs="Times New Roman"/>
          <w:sz w:val="24"/>
        </w:rPr>
        <w:t>.  Necessário buscar, por meio deste estudo, um esclarecimento, tendo em vista que se a alienação a terceiro for possível, este bem ficará ainda ligado à execução. Neste trabalho faz-se necessário ainda entender a diferença entre a fraude à execução e a fraude contra credores, analisando a culpa subjetiva (boa-fé) do adquirente e a responsabilidade do devedor</w:t>
      </w:r>
      <w:r w:rsidR="00701729">
        <w:rPr>
          <w:rFonts w:ascii="Times New Roman" w:hAnsi="Times New Roman" w:cs="Times New Roman"/>
          <w:sz w:val="24"/>
        </w:rPr>
        <w:t>.</w:t>
      </w:r>
    </w:p>
    <w:p w:rsidR="00C13F06" w:rsidRDefault="00C13F06" w:rsidP="00C13F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62339" w:rsidRDefault="00C13F06" w:rsidP="00C13F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Palavras-chave: Patrimonialidade; Execução; Responsabilidade; Alienação; Efeitos; Fraude</w:t>
      </w:r>
      <w:r w:rsidR="00862339">
        <w:rPr>
          <w:rFonts w:ascii="Times New Roman" w:hAnsi="Times New Roman" w:cs="Times New Roman"/>
          <w:sz w:val="24"/>
        </w:rPr>
        <w:t>.</w:t>
      </w:r>
    </w:p>
    <w:p w:rsidR="00CB445B" w:rsidRDefault="00CB445B" w:rsidP="00C13F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B445B" w:rsidRDefault="00CB445B" w:rsidP="00C13F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B445B" w:rsidRDefault="00CB445B" w:rsidP="00C13F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13F06" w:rsidRPr="00076A0B" w:rsidRDefault="00C13F06" w:rsidP="00C13F0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76A0B">
        <w:rPr>
          <w:rFonts w:ascii="Times New Roman" w:hAnsi="Times New Roman" w:cs="Times New Roman"/>
          <w:b/>
          <w:sz w:val="24"/>
        </w:rPr>
        <w:lastRenderedPageBreak/>
        <w:t>INTRODUÇÃO</w:t>
      </w:r>
    </w:p>
    <w:p w:rsidR="00C13F06" w:rsidRPr="00076A0B" w:rsidRDefault="00C13F06" w:rsidP="00C13F0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13F06" w:rsidRPr="00076A0B" w:rsidRDefault="00731FC4" w:rsidP="00C13F0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76A0B">
        <w:rPr>
          <w:rFonts w:ascii="Times New Roman" w:hAnsi="Times New Roman" w:cs="Times New Roman"/>
          <w:sz w:val="24"/>
        </w:rPr>
        <w:t xml:space="preserve">A finalidade basilar da </w:t>
      </w:r>
      <w:r w:rsidR="00D66FCD" w:rsidRPr="00076A0B">
        <w:rPr>
          <w:rFonts w:ascii="Times New Roman" w:hAnsi="Times New Roman" w:cs="Times New Roman"/>
          <w:sz w:val="24"/>
        </w:rPr>
        <w:t>e</w:t>
      </w:r>
      <w:r w:rsidRPr="00076A0B">
        <w:rPr>
          <w:rFonts w:ascii="Times New Roman" w:hAnsi="Times New Roman" w:cs="Times New Roman"/>
          <w:sz w:val="24"/>
        </w:rPr>
        <w:t>xecução</w:t>
      </w:r>
      <w:r w:rsidR="00D66FCD" w:rsidRPr="00076A0B">
        <w:rPr>
          <w:rFonts w:ascii="Times New Roman" w:hAnsi="Times New Roman" w:cs="Times New Roman"/>
          <w:sz w:val="24"/>
        </w:rPr>
        <w:t xml:space="preserve"> por quantia certa contra devedor solvente</w:t>
      </w:r>
      <w:r w:rsidRPr="00076A0B">
        <w:rPr>
          <w:rFonts w:ascii="Times New Roman" w:hAnsi="Times New Roman" w:cs="Times New Roman"/>
          <w:sz w:val="24"/>
        </w:rPr>
        <w:t xml:space="preserve"> é, suscintamente</w:t>
      </w:r>
      <w:r w:rsidRPr="00076A0B">
        <w:rPr>
          <w:rFonts w:ascii="Times New Roman" w:hAnsi="Times New Roman" w:cs="Times New Roman"/>
          <w:sz w:val="28"/>
        </w:rPr>
        <w:t>,</w:t>
      </w:r>
      <w:r w:rsidRPr="00076A0B">
        <w:rPr>
          <w:rFonts w:ascii="Times New Roman" w:hAnsi="Times New Roman" w:cs="Times New Roman"/>
          <w:sz w:val="24"/>
        </w:rPr>
        <w:t xml:space="preserve"> a de satisfazer o interesse do credor</w:t>
      </w:r>
      <w:r w:rsidRPr="00076A0B">
        <w:rPr>
          <w:rFonts w:ascii="Times New Roman" w:hAnsi="Times New Roman" w:cs="Times New Roman"/>
          <w:sz w:val="28"/>
        </w:rPr>
        <w:t>,</w:t>
      </w:r>
      <w:r w:rsidRPr="00076A0B">
        <w:rPr>
          <w:rFonts w:ascii="Times New Roman" w:hAnsi="Times New Roman" w:cs="Times New Roman"/>
          <w:sz w:val="24"/>
        </w:rPr>
        <w:t xml:space="preserve"> decorrente de uma prestaç</w:t>
      </w:r>
      <w:r w:rsidR="00D66FCD" w:rsidRPr="00076A0B">
        <w:rPr>
          <w:rFonts w:ascii="Times New Roman" w:hAnsi="Times New Roman" w:cs="Times New Roman"/>
          <w:sz w:val="24"/>
        </w:rPr>
        <w:t>ão pecuniária, pela expropriação forçada dos bens daquele</w:t>
      </w:r>
      <w:r w:rsidR="00D66FCD" w:rsidRPr="00076A0B">
        <w:rPr>
          <w:rFonts w:ascii="Times New Roman" w:hAnsi="Times New Roman" w:cs="Times New Roman"/>
          <w:sz w:val="28"/>
        </w:rPr>
        <w:t>,</w:t>
      </w:r>
      <w:r w:rsidR="00D66FCD" w:rsidRPr="00076A0B">
        <w:rPr>
          <w:rFonts w:ascii="Times New Roman" w:hAnsi="Times New Roman" w:cs="Times New Roman"/>
          <w:sz w:val="24"/>
        </w:rPr>
        <w:t xml:space="preserve"> como forma de realização coativa d</w:t>
      </w:r>
      <w:r w:rsidR="00017458" w:rsidRPr="00076A0B">
        <w:rPr>
          <w:rFonts w:ascii="Times New Roman" w:hAnsi="Times New Roman" w:cs="Times New Roman"/>
          <w:sz w:val="24"/>
        </w:rPr>
        <w:t>o</w:t>
      </w:r>
      <w:r w:rsidR="00D66FCD" w:rsidRPr="00076A0B">
        <w:rPr>
          <w:rFonts w:ascii="Times New Roman" w:hAnsi="Times New Roman" w:cs="Times New Roman"/>
          <w:sz w:val="24"/>
        </w:rPr>
        <w:t xml:space="preserve"> interesse da parte interessada</w:t>
      </w:r>
      <w:r w:rsidR="00D66FCD" w:rsidRPr="00076A0B">
        <w:rPr>
          <w:rFonts w:ascii="Times New Roman" w:hAnsi="Times New Roman" w:cs="Times New Roman"/>
          <w:sz w:val="28"/>
          <w:szCs w:val="28"/>
        </w:rPr>
        <w:t>.</w:t>
      </w:r>
      <w:r w:rsidR="00736E1D" w:rsidRPr="00076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FCD" w:rsidRPr="00076A0B" w:rsidRDefault="00736E1D" w:rsidP="00C13F06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sz w:val="24"/>
        </w:rPr>
        <w:t xml:space="preserve">Como </w:t>
      </w:r>
      <w:r w:rsidR="00017458" w:rsidRPr="00076A0B">
        <w:rPr>
          <w:rFonts w:ascii="Times New Roman" w:hAnsi="Times New Roman" w:cs="Times New Roman"/>
          <w:sz w:val="24"/>
        </w:rPr>
        <w:t>veremos em</w:t>
      </w:r>
      <w:r w:rsidRPr="00076A0B">
        <w:rPr>
          <w:rFonts w:ascii="Times New Roman" w:hAnsi="Times New Roman" w:cs="Times New Roman"/>
          <w:sz w:val="24"/>
        </w:rPr>
        <w:t xml:space="preserve"> tópico </w:t>
      </w:r>
      <w:r w:rsidR="00017458" w:rsidRPr="00076A0B">
        <w:rPr>
          <w:rFonts w:ascii="Times New Roman" w:hAnsi="Times New Roman" w:cs="Times New Roman"/>
          <w:sz w:val="24"/>
        </w:rPr>
        <w:t>subsequente</w:t>
      </w:r>
      <w:r w:rsidRPr="00076A0B">
        <w:rPr>
          <w:rFonts w:ascii="Times New Roman" w:hAnsi="Times New Roman" w:cs="Times New Roman"/>
          <w:sz w:val="28"/>
          <w:szCs w:val="28"/>
        </w:rPr>
        <w:t>,</w:t>
      </w:r>
      <w:r w:rsidRPr="00076A0B">
        <w:rPr>
          <w:rFonts w:ascii="Times New Roman" w:hAnsi="Times New Roman" w:cs="Times New Roman"/>
          <w:sz w:val="24"/>
        </w:rPr>
        <w:t xml:space="preserve"> p</w:t>
      </w:r>
      <w:r w:rsidR="00D66FCD" w:rsidRPr="00076A0B">
        <w:rPr>
          <w:rFonts w:ascii="Times New Roman" w:hAnsi="Times New Roman" w:cs="Times New Roman"/>
          <w:sz w:val="24"/>
        </w:rPr>
        <w:t>ara que se alcance a finalidade acima mencionada</w:t>
      </w:r>
      <w:r w:rsidRPr="00076A0B">
        <w:rPr>
          <w:rFonts w:ascii="Times New Roman" w:hAnsi="Times New Roman" w:cs="Times New Roman"/>
          <w:sz w:val="28"/>
        </w:rPr>
        <w:t>,</w:t>
      </w:r>
      <w:r w:rsidRPr="00076A0B">
        <w:rPr>
          <w:rFonts w:ascii="Times New Roman" w:hAnsi="Times New Roman" w:cs="Times New Roman"/>
          <w:sz w:val="24"/>
        </w:rPr>
        <w:t xml:space="preserve"> o processo executivo sujeita o devedor à regra do artigo 591</w:t>
      </w:r>
      <w:r w:rsidR="006565A3" w:rsidRPr="00076A0B">
        <w:rPr>
          <w:rFonts w:ascii="Times New Roman" w:hAnsi="Times New Roman" w:cs="Times New Roman"/>
          <w:sz w:val="24"/>
        </w:rPr>
        <w:t xml:space="preserve"> do Código de Processo Civil</w:t>
      </w:r>
      <w:r w:rsidRPr="00076A0B">
        <w:rPr>
          <w:rFonts w:ascii="Times New Roman" w:hAnsi="Times New Roman" w:cs="Times New Roman"/>
          <w:sz w:val="28"/>
        </w:rPr>
        <w:t>,</w:t>
      </w:r>
      <w:r w:rsidRPr="00076A0B">
        <w:rPr>
          <w:rFonts w:ascii="Times New Roman" w:hAnsi="Times New Roman" w:cs="Times New Roman"/>
          <w:sz w:val="24"/>
        </w:rPr>
        <w:t xml:space="preserve"> pela qual este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responde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o cumprimento de suas obrigações, com todos os seus bens presentes e futuros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salvo as restrições estabelecidas em lei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076A0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Eis a regra básica elucidativa da responsabilidade patrimonial</w:t>
      </w:r>
      <w:r w:rsidRPr="00076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6E1D" w:rsidRPr="00076A0B" w:rsidRDefault="00631F04" w:rsidP="00631F04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736E1D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preceito supracitado se ratifica</w:t>
      </w:r>
      <w:r w:rsidR="00736E1D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quando se faz a análise dos </w:t>
      </w:r>
      <w:r w:rsidR="005E72B0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atos executivos de intromissão do patrimônio do devedor</w:t>
      </w:r>
      <w:r w:rsidR="005E72B0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5E72B0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tem como intuito a satisfação coercitiva dos interesses do exequente, em especial quanto à penhora: instituto </w:t>
      </w:r>
      <w:proofErr w:type="spellStart"/>
      <w:r w:rsidR="005E72B0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individualizador</w:t>
      </w:r>
      <w:proofErr w:type="spellEnd"/>
      <w:r w:rsidR="005E72B0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responsabilidade patrimonial</w:t>
      </w:r>
      <w:r w:rsidR="005E72B0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5E72B0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referente a uma “sujeição efetiva e específica de um bem à execução</w:t>
      </w:r>
      <w:r w:rsidR="00017458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(DIDIER</w:t>
      </w:r>
      <w:r w:rsidR="00017458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017458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2013</w:t>
      </w:r>
      <w:r w:rsidR="00017458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017458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p. 552)</w:t>
      </w:r>
      <w:r w:rsidR="005E72B0" w:rsidRPr="00076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65A3" w:rsidRPr="00076A0B" w:rsidRDefault="00017458" w:rsidP="006565A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 como analisaremos em momento futuro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sabe-se que a penhora exerce uma série de efeitos </w:t>
      </w:r>
      <w:r w:rsidR="006565A3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quanto ao executado</w:t>
      </w:r>
      <w:r w:rsidR="00631F04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6565A3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seus bens</w:t>
      </w:r>
      <w:r w:rsidR="00631F04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apreendidos judicialmente</w:t>
      </w:r>
      <w:r w:rsidR="00631F04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631F04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ficarão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adstritos </w:t>
      </w:r>
      <w:r w:rsidR="006565A3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 execução</w:t>
      </w:r>
      <w:r w:rsidR="006565A3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6565A3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1F04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além dos efeitos que também recaem sobre terceiros.</w:t>
      </w:r>
    </w:p>
    <w:p w:rsidR="00631F04" w:rsidRPr="00076A0B" w:rsidRDefault="006565A3" w:rsidP="00631F04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Infelizmente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há hipóteses em que o devedor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 o escopo de tentar se </w:t>
      </w:r>
      <w:r w:rsidR="00631F04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evadi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 da intromissão do Estado em seus bens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utiliza-se de meios ardilosos e fraudulentos que tentam obstar a satisfação da obrigaç</w:t>
      </w:r>
      <w:r w:rsidR="00631F04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ão por ele assumida</w:t>
      </w:r>
      <w:r w:rsidR="00631F04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631F04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Um dos principais meios</w:t>
      </w:r>
      <w:r w:rsidR="00631F04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631F04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objeto de análise deste artigo, é a alienação, que também exercerá seus efeitos quanto ao alienante e o terceiro adquirente de boa ou má-fé</w:t>
      </w:r>
      <w:r w:rsidR="00631F04" w:rsidRPr="00076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154F" w:rsidRPr="00076A0B" w:rsidRDefault="005F5856" w:rsidP="0054154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Apesar de os bens do devedor </w:t>
      </w:r>
      <w:proofErr w:type="gramStart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poderem</w:t>
      </w:r>
      <w:proofErr w:type="gramEnd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ficar em sua disponibilidade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3134B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ntecipamos que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134B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alienação de bem apreendido judicialmente constituirá a chamada fraude à execução</w:t>
      </w:r>
      <w:r w:rsidR="003134BC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visto que caracterizará um</w:t>
      </w:r>
      <w:r w:rsidR="003134B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ato atentatório contra o pr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óprio credor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3134B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ao bom andamento do processo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contra a boa-fé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gerando efeitos prejudiciais </w:t>
      </w:r>
      <w:r w:rsidR="003134B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ao responsável e ao terceiro adquirente, dependendo da linha teórica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se pretende adotar</w:t>
      </w:r>
      <w:r w:rsidRPr="00076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154F" w:rsidRPr="00076A0B" w:rsidRDefault="0054154F" w:rsidP="0054154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O tema será aprofundado de forma mais clara e detalhada durante os tópicos que se seguem</w:t>
      </w:r>
      <w:r w:rsidR="0070172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172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 final chegaremos a uma conclusão sobre o </w:t>
      </w:r>
      <w:r w:rsidR="0070172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assunto proposto</w:t>
      </w:r>
      <w:r w:rsidR="0070172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701729" w:rsidRPr="00076A0B" w:rsidRDefault="00701729" w:rsidP="0054154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1729" w:rsidRPr="00076A0B" w:rsidRDefault="00701729" w:rsidP="0070172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b/>
          <w:bCs/>
          <w:sz w:val="24"/>
          <w:szCs w:val="24"/>
        </w:rPr>
        <w:t>DA RESPONSABILIDADE PATRIMONIAL NA EXECUÇÃO POR QUANTIA CERTA CONTRA DEVEDOR SOLVENTE</w:t>
      </w:r>
    </w:p>
    <w:p w:rsidR="00701729" w:rsidRPr="00076A0B" w:rsidRDefault="00701729" w:rsidP="008154B4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1729" w:rsidRPr="00076A0B" w:rsidRDefault="003C758B" w:rsidP="0054154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proofErr w:type="spellStart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Fred</w:t>
      </w:r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</w:t>
      </w:r>
      <w:proofErr w:type="spellEnd"/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Didier (2013, p. 259) “o direito a uma prestação é o poder jurídico conferido a alguém</w:t>
      </w:r>
      <w:r w:rsidR="000135E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exigir de outrem o cumprimento de uma prestação (conduta)</w:t>
      </w:r>
      <w:r w:rsidR="000135E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se pode ser um fazer</w:t>
      </w:r>
      <w:r w:rsidR="000135E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um </w:t>
      </w:r>
      <w:proofErr w:type="gramStart"/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não-fazer</w:t>
      </w:r>
      <w:proofErr w:type="gramEnd"/>
      <w:r w:rsidR="000135E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ou um dar coisa (dinheiro ou coisa distinta de dinheiro)”</w:t>
      </w:r>
      <w:r w:rsidR="000135E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051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crédito dec</w:t>
      </w:r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orrente de tal</w:t>
      </w:r>
      <w:r w:rsidR="0020051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prestação abrange</w:t>
      </w:r>
      <w:r w:rsidR="009928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tanto um dever</w:t>
      </w:r>
      <w:r w:rsidR="0020051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quanto </w:t>
      </w:r>
      <w:r w:rsidR="009928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r w:rsidR="0020051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responsabilidade</w:t>
      </w:r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ambos para o devedor e seu patrimônio respectivamente</w:t>
      </w:r>
      <w:r w:rsidR="006A1E34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mas não necessariamente de forma cumulativa</w:t>
      </w:r>
      <w:r w:rsidR="009851C2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visto que são </w:t>
      </w:r>
      <w:r w:rsidR="00881B0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autônomos</w:t>
      </w:r>
      <w:r w:rsidR="00200515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Temos aqui dois institutos de diferentes categorias: um do âmbito do direito material e outro do direito processual</w:t>
      </w:r>
      <w:r w:rsidR="000135E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. </w:t>
      </w:r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Faz-se </w:t>
      </w:r>
      <w:proofErr w:type="gramStart"/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mister</w:t>
      </w:r>
      <w:proofErr w:type="gramEnd"/>
      <w:r w:rsidR="000135E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diferenciá-los</w:t>
      </w:r>
      <w:r w:rsidR="000135E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6C38C6" w:rsidRPr="00076A0B" w:rsidRDefault="009928E9" w:rsidP="006C38C6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Quando contraída uma obrigação e não satisfeita a vontade do credor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surge para a parte contrária uma dívida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EE62AA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mesmo, surge </w:t>
      </w:r>
      <w:proofErr w:type="gramStart"/>
      <w:r w:rsidR="00EE62AA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="00EE62AA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possibilidade de sujeição do patrimônio do devedor inadimplente</w:t>
      </w:r>
      <w:r w:rsidR="00EE62AA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EE62AA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ou terceiro em alguns casos, como garantia da concretização do crédito</w:t>
      </w:r>
      <w:r w:rsidR="00EE62AA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62AA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 palavras de Humberto Theodoro Júnior (2011, p. 185), a obrigação, como dívida</w:t>
      </w:r>
      <w:r w:rsidR="00EE62AA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EE62AA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objeto do direito material e a responsabilidade, como sujeição dos bens do devedor à sanção</w:t>
      </w:r>
      <w:r w:rsidR="00EE62AA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EE62AA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atua pela submissão à expropriação executiva, é uma noção absolutamente processual</w:t>
      </w:r>
      <w:r w:rsidR="00EE62AA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6C38C6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Daniel Assumpção (</w:t>
      </w:r>
      <w:r w:rsidR="006C38C6" w:rsidRPr="00076A0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apud </w:t>
      </w:r>
      <w:r w:rsidR="006C38C6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DINAMARCO, p. 798) as diferencia discorrendo que a obrigação é estática, gerando uma mera expectativa de satisfação, enquanto a responsabilidade patrimonial é dinâmica, representada pela forma jurisdicional de efetiva satisfação do direito</w:t>
      </w:r>
      <w:r w:rsidR="006C38C6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6C38C6" w:rsidRPr="00076A0B" w:rsidRDefault="006C38C6" w:rsidP="00B93B3C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Analisaremos mais a risca o instituto da responsabilidade patrimonial, pois é objeto central de nosso trabalho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54F7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</w:t>
      </w:r>
      <w:r w:rsidR="004C54F7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fine Didier (2013, p. 259) como o “estado de sujeição do patrimônio do devedor</w:t>
      </w:r>
      <w:r w:rsidR="004C54F7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4C54F7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ou de terceiros responsáveis, às providencias executivas voltadas à satisfação da prestação devida”</w:t>
      </w:r>
      <w:r w:rsidR="004C54F7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4C54F7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Theod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oro Júnior (2011, p. 186) </w:t>
      </w:r>
      <w:r w:rsidR="004C54F7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conceitua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como a “possibilidade de algum ou de todos os bens de uma pessoa </w:t>
      </w:r>
      <w:proofErr w:type="gramStart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serem</w:t>
      </w:r>
      <w:proofErr w:type="gramEnd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submetidos à expropriação executiva</w:t>
      </w:r>
      <w:r w:rsidR="004C54F7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4C54F7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pouco importando seja ela devedora, garante ou estranha ao negocio jurídico substancial”</w:t>
      </w:r>
      <w:r w:rsidR="004C54F7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4C54F7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B93B3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maneira diversa, Marcelo Abelha (2009, </w:t>
      </w:r>
      <w:r w:rsidR="00B93B3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p. 68) afirma que </w:t>
      </w:r>
      <w:r w:rsidR="00B93B3C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B93B3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quando o adimplemento não acontece, a responsabilidade patrimonial deixa de ser uma simples expectativa e passa a ser um direito</w:t>
      </w:r>
      <w:r w:rsidR="00B93B3C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B93B3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havendo</w:t>
      </w:r>
      <w:proofErr w:type="gramStart"/>
      <w:r w:rsidR="00B93B3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portanto</w:t>
      </w:r>
      <w:proofErr w:type="gramEnd"/>
      <w:r w:rsidR="00B93B3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poder e sujeição</w:t>
      </w:r>
      <w:r w:rsidR="00B93B3C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B93B3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nascidos no direito obrigacional, que se concretizam com o inadimplemento</w:t>
      </w:r>
      <w:r w:rsidR="00B93B3C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667671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A24E07" w:rsidRPr="00076A0B" w:rsidRDefault="00A24E07" w:rsidP="006C38C6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Fica evidente que não mais se aplica no ordenamento brasileiro a responsabilidade pessoal pela qual o devedor inadimplente poderia responder a satisfação da dívida com o corpo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A7101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Apenas no caso de prisão civil por dívida de alimentos é que há exceção a tal princípio</w:t>
      </w:r>
      <w:r w:rsidR="00A7101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A7101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resto</w:t>
      </w:r>
      <w:r w:rsidR="00A7101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A7101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aplica-se a regra presente no</w:t>
      </w:r>
      <w:r w:rsidR="00B75AC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artigo 591</w:t>
      </w:r>
      <w:r w:rsidR="00A7101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Código de Processo Civil</w:t>
      </w:r>
      <w:r w:rsidR="00A7101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A7101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explicita a opção pela responsabilidade patrimonial no sistema processual brasileiro</w:t>
      </w:r>
      <w:r w:rsidR="00B75AC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“Art. 591</w:t>
      </w:r>
      <w:r w:rsidR="00B75AC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B75AC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O devedor responde</w:t>
      </w:r>
      <w:r w:rsidR="00B75AC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B75AC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o cumprimento de suas obrigações, com todos os seus bens presentes e futuros</w:t>
      </w:r>
      <w:r w:rsidR="00B75AC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B75AC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salvo as restrições estabelecidas em lei”</w:t>
      </w:r>
      <w:r w:rsidR="00B75AC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001955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00195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Porém, assegura </w:t>
      </w:r>
      <w:proofErr w:type="spellStart"/>
      <w:r w:rsidR="0000195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Marinoni</w:t>
      </w:r>
      <w:proofErr w:type="spellEnd"/>
      <w:r w:rsidR="0000195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(2007, p. 253) que a regra não é precisa nem absoluta, visto que: “i) há bens do devedor não sujeitos à penhora e</w:t>
      </w:r>
      <w:r w:rsidR="00001955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00195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portanto</w:t>
      </w:r>
      <w:r w:rsidR="00001955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00195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à execução; e </w:t>
      </w:r>
      <w:proofErr w:type="spellStart"/>
      <w:proofErr w:type="gramStart"/>
      <w:r w:rsidR="0000195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</w:t>
      </w:r>
      <w:proofErr w:type="spellEnd"/>
      <w:proofErr w:type="gramEnd"/>
      <w:r w:rsidR="0000195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há bens de terceiros que se sujeitam por determinação legal à execução”</w:t>
      </w:r>
      <w:r w:rsidR="00001955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. </w:t>
      </w:r>
    </w:p>
    <w:p w:rsidR="008B50B6" w:rsidRPr="00076A0B" w:rsidRDefault="008B50B6" w:rsidP="006C38C6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Pode-se afirmar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portanto, que a responsabilidade patrimonial serve de garantia à satisfação dos interesses do sujeito ativo da relação obrigacional frustrada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limitará a disponibilidade dos bens do devedor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pois servirão como meios realizados pelo órgão jurisdicional para satisfação do crédito de maneira coativa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701EA2" w:rsidRPr="00076A0B" w:rsidRDefault="00701EA2" w:rsidP="006C38C6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Ocupamo-nos aqui</w:t>
      </w:r>
      <w:r w:rsidR="00582160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apenas com os meios referentes </w:t>
      </w:r>
      <w:r w:rsidR="0086233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r w:rsidR="00582160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tutela repressiva</w:t>
      </w:r>
      <w:r w:rsidR="0086233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86233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objeto de nosso estudo</w:t>
      </w:r>
      <w:r w:rsidR="00582160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582160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visto que</w:t>
      </w:r>
      <w:r w:rsidR="0086233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responsabilidade patrimonial</w:t>
      </w:r>
      <w:r w:rsidR="00582160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ocorre </w:t>
      </w:r>
      <w:r w:rsidR="0086233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durante o estado de inadimplência do sujeito passivo e o meio que nos propomos a analisar só será útil após a ocorrência de lesão</w:t>
      </w:r>
      <w:r w:rsidR="0086233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0135E9" w:rsidRPr="00076A0B" w:rsidRDefault="008B50B6" w:rsidP="0054154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Passaremos a analisar</w:t>
      </w:r>
      <w:r w:rsidR="00757300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 tópico seguinte</w:t>
      </w:r>
      <w:r w:rsidR="00757300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 dos meios</w:t>
      </w:r>
      <w:r w:rsidR="004B146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disponibilizados pela tutela</w:t>
      </w:r>
      <w:r w:rsidR="00937C5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jurisdicional</w:t>
      </w:r>
      <w:r w:rsidR="0000195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executiva de satisfação de obrigação de dar quantia certa por devedor solvente</w:t>
      </w:r>
      <w:r w:rsidR="004B1469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4B1469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intromissão do Estado no patrimônio do devedor</w:t>
      </w:r>
      <w:r w:rsidR="00937C5C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como garantia de satisfação do interesse do credor</w:t>
      </w:r>
      <w:r w:rsidR="00001955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: </w:t>
      </w:r>
      <w:r w:rsidR="0000195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797A9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00195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enhora</w:t>
      </w:r>
      <w:r w:rsidR="00797A95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instituto decorrente da responsabilidade patrimonial</w:t>
      </w:r>
      <w:r w:rsidR="00797A95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E13F43" w:rsidRPr="00076A0B" w:rsidRDefault="00E13F43" w:rsidP="0054154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3F43" w:rsidRPr="00076A0B" w:rsidRDefault="00E13F43" w:rsidP="00E13F4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Pr="00076A0B">
        <w:rPr>
          <w:rFonts w:ascii="Times New Roman" w:hAnsi="Times New Roman" w:cs="Times New Roman"/>
          <w:b/>
          <w:bCs/>
          <w:sz w:val="24"/>
          <w:szCs w:val="24"/>
        </w:rPr>
        <w:t xml:space="preserve">DA PENHORA E SEUS EFEITOS PERANTE O DEVEDOR, CREDOR E </w:t>
      </w:r>
      <w:proofErr w:type="gramStart"/>
      <w:r w:rsidRPr="00076A0B">
        <w:rPr>
          <w:rFonts w:ascii="Times New Roman" w:hAnsi="Times New Roman" w:cs="Times New Roman"/>
          <w:b/>
          <w:bCs/>
          <w:sz w:val="24"/>
          <w:szCs w:val="24"/>
        </w:rPr>
        <w:t>TERCEIROS</w:t>
      </w:r>
      <w:proofErr w:type="gramEnd"/>
    </w:p>
    <w:p w:rsidR="0053070B" w:rsidRPr="00076A0B" w:rsidRDefault="0053070B" w:rsidP="0054154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070B" w:rsidRPr="00076A0B" w:rsidRDefault="00D4207D" w:rsidP="0054154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Como já explanado no item anterior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consequência da responsabilidade patrimonial a sujeição do </w:t>
      </w:r>
      <w:r w:rsidR="00EB4160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patrimônio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devedor à intromissão do Estado</w:t>
      </w:r>
      <w:r w:rsidR="00EB4160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EB4160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102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 o intuito de satisfazer o crédito do interessado quando persistente o inadimplemento da obrigação assumida pelo devedor</w:t>
      </w:r>
      <w:r w:rsidR="00DB53C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por meio de expropriação do bem</w:t>
      </w:r>
      <w:r w:rsidR="00DB53CB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DB53C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839CE" w:rsidRPr="00076A0B" w:rsidRDefault="00DB53CB" w:rsidP="001F686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atingir a finalidade supracitada a tutela jurisdicional executiva dispõe de meios coercitivos que identificarão os bens a serem expropriados</w:t>
      </w:r>
      <w:r w:rsidR="001F686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tais como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penhora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. </w:t>
      </w:r>
    </w:p>
    <w:p w:rsidR="001F686F" w:rsidRPr="00076A0B" w:rsidRDefault="00F839CE" w:rsidP="001F686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instituto em estudo</w:t>
      </w:r>
      <w:r w:rsidR="00DB53C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DB53C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constitui o ato executivo</w:t>
      </w:r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identificação do bem do patrimônio do executado que se sujeitará à expropriação” (ABELHA, 2009, p</w:t>
      </w:r>
      <w:r w:rsidR="001F686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338)</w:t>
      </w:r>
      <w:r w:rsidR="001F686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outras palavras</w:t>
      </w:r>
      <w:r w:rsidR="001F686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constitui um meio pelo qual se identifica os bens a serem expropriados e os vincula a relação processual para fins de garantir a satisfação do crédito</w:t>
      </w:r>
      <w:r w:rsidR="001F686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tornando concreto, portanto, a responsabilidade patrimonial</w:t>
      </w:r>
      <w:r w:rsidR="001F686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53C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penhora, segundo </w:t>
      </w:r>
      <w:proofErr w:type="spellStart"/>
      <w:r w:rsidR="00DB53C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Araken</w:t>
      </w:r>
      <w:proofErr w:type="spellEnd"/>
      <w:r w:rsidR="00DB53C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Assis (2012, p</w:t>
      </w:r>
      <w:r w:rsidR="00DB53CB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DB53C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697), “é o ato executivo que afeta determinado bem à execução, permitindo sua ulterior expropriação</w:t>
      </w:r>
      <w:r w:rsidR="00DB53CB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DB53C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torna os atos de disposição do seu proprietário ineficazes em face do processo”</w:t>
      </w:r>
      <w:r w:rsidR="00DB53CB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Mais simplificadamente, </w:t>
      </w:r>
      <w:proofErr w:type="spellStart"/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Elpídio</w:t>
      </w:r>
      <w:proofErr w:type="spellEnd"/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Donizetti</w:t>
      </w:r>
      <w:proofErr w:type="spellEnd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(2011, p. 955)</w:t>
      </w:r>
      <w:r w:rsidR="001F686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define como “o ato pelo qual se apreendem bens para emprega-los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maneira direta ou indireta, na satisfação do crédito exequendo”. Depreende-se de todas essas definições que a penhora é basicamente um ato preparatório da posterior expropriação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restringem os bens individualizados do executado à execução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C464DF" w:rsidRPr="00076A0B" w:rsidRDefault="00F839CE" w:rsidP="00C464D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que alcance suas finalidades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penhora dispõe de alguns efeitos que</w:t>
      </w:r>
      <w:r w:rsidR="00C464D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pelo artigo</w:t>
      </w:r>
      <w:r w:rsidR="00F475A2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664, surgem da apreensão do bem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C464D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C464D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Vale frisar que se dividem em duas categorias: efeitos materiais e efeitos processuais</w:t>
      </w:r>
      <w:r w:rsidR="00C464D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F475A2" w:rsidRPr="00076A0B" w:rsidRDefault="0024410D" w:rsidP="00C464D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Quanto ao plano material</w:t>
      </w:r>
      <w:r w:rsidR="00330978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330978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 de seus efeitos é a alteração da posse. A penhora, segundo Didier (2013, p. 556)</w:t>
      </w:r>
      <w:proofErr w:type="gramStart"/>
      <w:r w:rsidR="00676913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676913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</w:t>
      </w:r>
      <w:proofErr w:type="gramEnd"/>
      <w:r w:rsidR="00330978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efeito a perda da posse direta do bem pelo devedor, embora não fique privado da posse indireta nem de seu domínio</w:t>
      </w:r>
      <w:r w:rsidR="00330978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330978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perda da posse direta se dá pelo depósito do bem para a conservação e garantia da satisfação do credor</w:t>
      </w:r>
      <w:r w:rsidR="00330978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DA06CF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DA06C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Humberto Theodoro Júnior (2011, p. 276) classifica a perda da posse como </w:t>
      </w:r>
      <w:r w:rsidR="00DA06CF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efeito imediato para o devedor.</w:t>
      </w:r>
      <w:r w:rsidR="00330978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330978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 entanto, adiantamos que a posse direta poderá permanecer com terceiro em relação jurídica entre este e o sujeito passivo da relação processual</w:t>
      </w:r>
      <w:r w:rsidR="00676913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676913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como nos contratos de locação ou comodato</w:t>
      </w:r>
      <w:r w:rsidR="00DA3EEE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DA3EEE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cabendo a estes as impugnações</w:t>
      </w:r>
      <w:r w:rsidR="00330978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05D62" w:rsidRPr="00076A0B" w:rsidRDefault="00676913" w:rsidP="00705D6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bem poderá ser mantido com o próprio executado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condição de depositário no caso do §1º do artigo 666 do Código de Processo Civil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segundo o qual, </w:t>
      </w:r>
      <w:r w:rsidRPr="00076A0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com a expressa anuência do </w:t>
      </w:r>
      <w:r w:rsidR="00DA3EEE" w:rsidRPr="00076A0B">
        <w:rPr>
          <w:rFonts w:ascii="Times New Roman" w:hAnsi="Times New Roman" w:cs="Times New Roman"/>
          <w:color w:val="000000"/>
          <w:sz w:val="24"/>
          <w:shd w:val="clear" w:color="auto" w:fill="FFFFFF"/>
        </w:rPr>
        <w:t>exequente</w:t>
      </w:r>
      <w:r w:rsidRPr="00076A0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ou nos casos de difícil remoção</w:t>
      </w:r>
      <w:r w:rsidRPr="00076A0B">
        <w:rPr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os bens poderão ser depositados em poder do executado</w:t>
      </w:r>
      <w:r w:rsidRPr="00076A0B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076A0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Neste caso, afirma </w:t>
      </w:r>
      <w:proofErr w:type="spellStart"/>
      <w:r w:rsidR="001C7368" w:rsidRPr="00076A0B">
        <w:rPr>
          <w:rFonts w:ascii="Times New Roman" w:hAnsi="Times New Roman" w:cs="Times New Roman"/>
          <w:color w:val="000000"/>
          <w:sz w:val="24"/>
          <w:shd w:val="clear" w:color="auto" w:fill="FFFFFF"/>
        </w:rPr>
        <w:t>Fred</w:t>
      </w:r>
      <w:r w:rsidRPr="00076A0B">
        <w:rPr>
          <w:rFonts w:ascii="Times New Roman" w:hAnsi="Times New Roman" w:cs="Times New Roman"/>
          <w:color w:val="000000"/>
          <w:sz w:val="24"/>
          <w:shd w:val="clear" w:color="auto" w:fill="FFFFFF"/>
        </w:rPr>
        <w:t>ie</w:t>
      </w:r>
      <w:proofErr w:type="spellEnd"/>
      <w:r w:rsidRPr="00076A0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Didier (2013, p. 557)</w:t>
      </w:r>
      <w:r w:rsidRPr="00076A0B">
        <w:rPr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gramStart"/>
      <w:r w:rsidRPr="00076A0B">
        <w:rPr>
          <w:rFonts w:ascii="Times New Roman" w:hAnsi="Times New Roman" w:cs="Times New Roman"/>
          <w:color w:val="000000"/>
          <w:sz w:val="24"/>
          <w:shd w:val="clear" w:color="auto" w:fill="FFFFFF"/>
        </w:rPr>
        <w:t>que</w:t>
      </w:r>
      <w:proofErr w:type="gramEnd"/>
      <w:r w:rsidRPr="00076A0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676913" w:rsidRPr="00076A0B" w:rsidRDefault="00705D62" w:rsidP="00705D62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0"/>
          <w:shd w:val="clear" w:color="auto" w:fill="FFFFFF"/>
        </w:rPr>
        <w:t>N</w:t>
      </w:r>
      <w:r w:rsidR="00676913" w:rsidRPr="00076A0B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ão </w:t>
      </w:r>
      <w:proofErr w:type="gramStart"/>
      <w:r w:rsidR="00676913" w:rsidRPr="00076A0B">
        <w:rPr>
          <w:rFonts w:ascii="Times New Roman" w:hAnsi="Times New Roman" w:cs="Times New Roman"/>
          <w:color w:val="000000"/>
          <w:sz w:val="20"/>
          <w:shd w:val="clear" w:color="auto" w:fill="FFFFFF"/>
        </w:rPr>
        <w:t>há,</w:t>
      </w:r>
      <w:proofErr w:type="gramEnd"/>
      <w:r w:rsidR="00676913" w:rsidRPr="00076A0B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propriamente o desapossamen</w:t>
      </w:r>
      <w:r w:rsidRPr="00076A0B">
        <w:rPr>
          <w:rFonts w:ascii="Times New Roman" w:hAnsi="Times New Roman" w:cs="Times New Roman"/>
          <w:color w:val="000000"/>
          <w:sz w:val="20"/>
          <w:shd w:val="clear" w:color="auto" w:fill="FFFFFF"/>
        </w:rPr>
        <w:t>to da coisa (posse direta), mas</w:t>
      </w:r>
      <w:r w:rsidR="00676913" w:rsidRPr="00076A0B">
        <w:rPr>
          <w:rFonts w:ascii="Times New Roman" w:hAnsi="Times New Roman" w:cs="Times New Roman"/>
          <w:color w:val="000000"/>
          <w:sz w:val="20"/>
          <w:shd w:val="clear" w:color="auto" w:fill="FFFFFF"/>
        </w:rPr>
        <w:t>, sim, a alteração do título da posse, pois o devedor se transforma</w:t>
      </w:r>
      <w:r w:rsidRPr="00076A0B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em depositário. O devedor que antes tinha a posse direta</w:t>
      </w:r>
      <w:proofErr w:type="gramStart"/>
      <w:r w:rsidRPr="00076A0B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 </w:t>
      </w:r>
      <w:proofErr w:type="gramEnd"/>
      <w:r w:rsidRPr="00076A0B">
        <w:rPr>
          <w:rFonts w:ascii="Times New Roman" w:hAnsi="Times New Roman" w:cs="Times New Roman"/>
          <w:color w:val="000000"/>
          <w:sz w:val="20"/>
          <w:shd w:val="clear" w:color="auto" w:fill="FFFFFF"/>
        </w:rPr>
        <w:t>em razão do domínio, agora terá posse direta por ser depositário.</w:t>
      </w:r>
    </w:p>
    <w:p w:rsidR="00705D62" w:rsidRPr="00076A0B" w:rsidRDefault="00705D62" w:rsidP="00705D62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330978" w:rsidRPr="00076A0B" w:rsidRDefault="00705D62" w:rsidP="00705D6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proofErr w:type="spellStart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Araken</w:t>
      </w:r>
      <w:proofErr w:type="spellEnd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Assis (2012, p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701), no caso acima, </w:t>
      </w:r>
      <w:r w:rsidR="001C7368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altera-se o título da posse</w:t>
      </w:r>
      <w:r w:rsidR="00DA3EEE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imediata do executado</w:t>
      </w:r>
      <w:r w:rsidR="00DA3EEE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DA3EEE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 continua posse imediata, com a de qualquer possuidor”</w:t>
      </w:r>
      <w:r w:rsidR="00DA3EEE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DA3EEE" w:rsidRPr="00076A0B" w:rsidRDefault="00DA3EEE" w:rsidP="00705D6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Outro efeito material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abordado pelo autor supracitado, é a perda do direito de fruição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pelo qual a penhora tem o poder de impor limites ao uso e gozo da coisa penhorada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646F1D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finalidade é a conservação do bem em depósito judicial, com o intuito de elidir eventual remoção, transporte, alteração, retirada, deslocamento</w:t>
      </w:r>
      <w:r w:rsidR="00646F1D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646F1D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destruição e demais atos semelhantes</w:t>
      </w:r>
      <w:r w:rsidR="00646F1D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646F1D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podendo-se até mesmo incorrer no artigo 179 do Código Penal</w:t>
      </w:r>
      <w:r w:rsidR="00646F1D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DA3EEE" w:rsidRPr="00076A0B" w:rsidRDefault="00646F1D" w:rsidP="00705D6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DA3EEE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ineficácia relativa dos atos de disposição</w:t>
      </w:r>
      <w:r w:rsidR="00DA3EEE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efeito também material,</w:t>
      </w:r>
      <w:r w:rsidR="00DA3EEE" w:rsidRPr="00076A0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DA3EEE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será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mais bem</w:t>
      </w:r>
      <w:r w:rsidR="00DA3EEE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abordada</w:t>
      </w:r>
      <w:r w:rsidR="00DA3EEE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tópico seguinte</w:t>
      </w:r>
      <w:r w:rsidR="00DA3EEE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D6671A" w:rsidRPr="00076A0B" w:rsidRDefault="00DA3EEE" w:rsidP="00D6671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Quanto aos efeitos</w:t>
      </w:r>
      <w:r w:rsidR="00646F1D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processuais</w:t>
      </w:r>
      <w:r w:rsidR="00D6671A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D6671A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 deles é o efeito conservativo, caracterizado pela doutrina como efeito anexo</w:t>
      </w:r>
      <w:r w:rsidR="00D6671A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D6671A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pois servirá como garantia ao resultado prático da execução, tendo como responsável o depositário</w:t>
      </w:r>
      <w:r w:rsidR="00D6671A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D6671A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Nas palavras de Marcelo Abelha (2009, p. 342)</w:t>
      </w:r>
      <w:r w:rsidR="00D6671A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</w:p>
    <w:p w:rsidR="00D6671A" w:rsidRPr="00076A0B" w:rsidRDefault="00D6671A" w:rsidP="00D6671A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  <w:proofErr w:type="gramStart"/>
      <w:r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justamente</w:t>
      </w:r>
      <w:proofErr w:type="gramEnd"/>
      <w:r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 xml:space="preserve"> porque a penhora é ato executivo instrumental do ato satisfativo final de expropriação forçada, além de individualizar o bem que responderá pela dívida, é efeito anexo (cautelar) da penhora a conservação desse bem para que o mesmo esteja em condições úteis de expropriação quando esse momento chegar</w:t>
      </w:r>
    </w:p>
    <w:p w:rsidR="00D6671A" w:rsidRPr="00076A0B" w:rsidRDefault="00D6671A" w:rsidP="00D6671A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</w:p>
    <w:p w:rsidR="00D6671A" w:rsidRPr="00076A0B" w:rsidRDefault="00DA06CF" w:rsidP="00705D6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Outro efeito processual é a individualização de bens no patrimônio do executado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D32F17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D32F17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Theodoro Júnior (2011, p. 276) afirma que “a penhora especifica os bens do devedor sobre que irá exercer o direito de realizar seu crédito”</w:t>
      </w:r>
      <w:r w:rsidR="00D32F17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D32F17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mesmo sentido Didier (2013</w:t>
      </w:r>
      <w:r w:rsidR="00D32F17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D32F17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p. 702): “a penhora destaca e isola o bem sobre o qual incidirá a responsabilidade, que fica preso ao procedimento executivo”</w:t>
      </w:r>
      <w:r w:rsidR="00D32F17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D32F17" w:rsidRPr="00076A0B" w:rsidRDefault="00D32F17" w:rsidP="00D32F1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Temos como outro efeito o direito de preferencia do credor sobre o bem penhorado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prevista no artigo 612, do Código de Processo Civil, pelo qual, </w:t>
      </w:r>
      <w:r w:rsidRPr="00076A0B">
        <w:rPr>
          <w:rFonts w:ascii="Times New Roman" w:hAnsi="Times New Roman" w:cs="Times New Roman"/>
          <w:color w:val="000000"/>
          <w:sz w:val="24"/>
          <w:szCs w:val="14"/>
          <w:shd w:val="clear" w:color="auto" w:fill="FFFFFF"/>
        </w:rPr>
        <w:t>ressalvado o caso de insolvência do devedor, em que tem lugar o concurso universal</w:t>
      </w:r>
      <w:r w:rsidRPr="00076A0B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14"/>
          <w:shd w:val="clear" w:color="auto" w:fill="FFFFFF"/>
        </w:rPr>
        <w:t xml:space="preserve"> realiza-se a execução no interesse do credor</w:t>
      </w:r>
      <w:r w:rsidRPr="00076A0B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14"/>
          <w:shd w:val="clear" w:color="auto" w:fill="FFFFFF"/>
        </w:rPr>
        <w:t xml:space="preserve"> que adquire, pela penhora, o direito de preferência sobre os bens penhorados</w:t>
      </w:r>
      <w:r w:rsidRPr="00076A0B"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  <w:t>.</w:t>
      </w:r>
    </w:p>
    <w:p w:rsidR="00566947" w:rsidRPr="00076A0B" w:rsidRDefault="00566947" w:rsidP="00D32F1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14"/>
          <w:shd w:val="clear" w:color="auto" w:fill="FFFFFF"/>
        </w:rPr>
      </w:pPr>
    </w:p>
    <w:p w:rsidR="00A73FE2" w:rsidRPr="00076A0B" w:rsidRDefault="00566947" w:rsidP="00A73FE2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4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r w:rsidRPr="00076A0B">
        <w:rPr>
          <w:rFonts w:ascii="Times New Roman" w:hAnsi="Times New Roman" w:cs="Times New Roman"/>
          <w:b/>
          <w:sz w:val="24"/>
        </w:rPr>
        <w:t>(in) alienabilidade/disponibilidade dos bens apreendidos judicialmente e efeitos</w:t>
      </w:r>
    </w:p>
    <w:p w:rsidR="00A73FE2" w:rsidRPr="00076A0B" w:rsidRDefault="00A73FE2" w:rsidP="00A73FE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32F17" w:rsidRPr="00076A0B" w:rsidRDefault="00A73FE2" w:rsidP="00A73FE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76A0B">
        <w:rPr>
          <w:rFonts w:ascii="Times New Roman" w:hAnsi="Times New Roman" w:cs="Times New Roman"/>
          <w:sz w:val="24"/>
        </w:rPr>
        <w:t>Para uma corrente mais antiga e tradicional</w:t>
      </w:r>
      <w:r w:rsidRPr="00076A0B">
        <w:rPr>
          <w:rFonts w:ascii="Times New Roman" w:hAnsi="Times New Roman" w:cs="Times New Roman"/>
          <w:sz w:val="28"/>
        </w:rPr>
        <w:t>,</w:t>
      </w:r>
      <w:r w:rsidRPr="00076A0B">
        <w:rPr>
          <w:rFonts w:ascii="Times New Roman" w:hAnsi="Times New Roman" w:cs="Times New Roman"/>
          <w:sz w:val="24"/>
        </w:rPr>
        <w:t xml:space="preserve"> a penhora, embora não extinga o direito de propriedade</w:t>
      </w:r>
      <w:r w:rsidRPr="00076A0B">
        <w:rPr>
          <w:rFonts w:ascii="Times New Roman" w:hAnsi="Times New Roman" w:cs="Times New Roman"/>
          <w:sz w:val="28"/>
        </w:rPr>
        <w:t xml:space="preserve">, </w:t>
      </w:r>
      <w:r w:rsidRPr="00076A0B">
        <w:rPr>
          <w:rFonts w:ascii="Times New Roman" w:hAnsi="Times New Roman" w:cs="Times New Roman"/>
          <w:sz w:val="24"/>
        </w:rPr>
        <w:t>importa a perda do poder de disposição, paralisando seu poder dominial. Para esta corrente a penhora torna os bens indisponíveis pelo devedor</w:t>
      </w:r>
      <w:r w:rsidRPr="00076A0B">
        <w:rPr>
          <w:rFonts w:ascii="Times New Roman" w:hAnsi="Times New Roman" w:cs="Times New Roman"/>
          <w:sz w:val="28"/>
        </w:rPr>
        <w:t>. “</w:t>
      </w:r>
      <w:r w:rsidRPr="00076A0B">
        <w:rPr>
          <w:rFonts w:ascii="Times New Roman" w:hAnsi="Times New Roman" w:cs="Times New Roman"/>
          <w:sz w:val="24"/>
        </w:rPr>
        <w:t>Privado, portanto, do direito de dispor, os bens também seriam inalienáveis, enquanto perdurasse o gravame judicial” (THEODORO</w:t>
      </w:r>
      <w:r w:rsidR="008C00FD" w:rsidRPr="00076A0B">
        <w:rPr>
          <w:rFonts w:ascii="Times New Roman" w:hAnsi="Times New Roman" w:cs="Times New Roman"/>
          <w:sz w:val="24"/>
        </w:rPr>
        <w:t xml:space="preserve"> JR</w:t>
      </w:r>
      <w:r w:rsidRPr="00076A0B">
        <w:rPr>
          <w:rFonts w:ascii="Times New Roman" w:hAnsi="Times New Roman" w:cs="Times New Roman"/>
          <w:sz w:val="24"/>
        </w:rPr>
        <w:t>, 2011, p. 276)</w:t>
      </w:r>
      <w:r w:rsidRPr="00076A0B">
        <w:rPr>
          <w:rFonts w:ascii="Times New Roman" w:hAnsi="Times New Roman" w:cs="Times New Roman"/>
          <w:sz w:val="28"/>
        </w:rPr>
        <w:t>.</w:t>
      </w:r>
    </w:p>
    <w:p w:rsidR="001220FD" w:rsidRPr="00076A0B" w:rsidRDefault="00A73FE2" w:rsidP="001220F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Diferentemente da corrente tradicional, não é o que atualmente se segue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Theodoro Júnior explica que o melhor entendimento a ser seguido é o pelo qual </w:t>
      </w:r>
      <w:r w:rsidR="001220FD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ão se admite sequer falar em nulidade dos atos de alienação praticados pelo devedor sobre os bens penhorados</w:t>
      </w:r>
      <w:r w:rsidR="001220FD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A73FE2" w:rsidRPr="00076A0B" w:rsidRDefault="001220FD" w:rsidP="001220FD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A apreensão judicial, decorrente da penhora, não retira os bens da posse (indireta) e do domínio do dono. Ditos bens ficam apenas vinculados à execução, sujeitando-se ao poder sancionatório do Estado. Não se verifica, porém, sua total indisponibilidade ou inalienabilidade. O efeito da penhora, como bem registrou Lopes da Costa, ‘é o de tornar ineficaz em relação ao exequente os atos de disposição praticados pelo executado sobre os bens penhorados</w:t>
      </w:r>
      <w:r w:rsidR="00B86EED"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’</w:t>
      </w:r>
      <w:r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. (THEODORO</w:t>
      </w:r>
      <w:r w:rsidR="008C00FD"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 xml:space="preserve"> JR</w:t>
      </w:r>
      <w:r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, 2011, p. 277).</w:t>
      </w:r>
    </w:p>
    <w:p w:rsidR="001220FD" w:rsidRPr="00076A0B" w:rsidRDefault="001220FD" w:rsidP="001220FD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</w:p>
    <w:p w:rsidR="00566947" w:rsidRPr="00076A0B" w:rsidRDefault="00C55E95" w:rsidP="00705D6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tema da alienação do bem penhorado decorre de um dos efeitos materiais da penhora: a ineficácia relativa dos atos de disposição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Didier (2013, p. 557)</w:t>
      </w:r>
      <w:r w:rsidR="001220FD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ao dissertar sobre o efeito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afirma que “eventual alienação/oneração do bem penhorado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para terceiro existe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válida</w:t>
      </w:r>
      <w:r w:rsidR="000F507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mas só é eficaz </w:t>
      </w:r>
      <w:proofErr w:type="spellStart"/>
      <w:r w:rsidR="000F507B" w:rsidRPr="00076A0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inter</w:t>
      </w:r>
      <w:proofErr w:type="spellEnd"/>
      <w:r w:rsidR="000F507B" w:rsidRPr="00076A0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partes </w:t>
      </w:r>
      <w:r w:rsidR="000F507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(alienante e adquirente/beneficiário; não produz efeitos para a execução”</w:t>
      </w:r>
      <w:r w:rsidR="000F507B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0F507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o autor, a penhora não tira o bem do domínio do devedor</w:t>
      </w:r>
      <w:r w:rsidR="000F507B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0F507B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podendo ele aliená-lo ou onerá-lo validamente.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Depreende-se deste efeito que o ato “não gera nenhum efeito em face do exequente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continuará na execução como se nada tivesse </w:t>
      </w:r>
      <w:proofErr w:type="gramStart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ocorrido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proofErr w:type="gramEnd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penhorando o bem independentemente de quem seja seu atual dono”</w:t>
      </w:r>
      <w:r w:rsidR="00E465C2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E465C2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(NEVES, 2010, p</w:t>
      </w:r>
      <w:r w:rsidR="00E465C2"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E465C2"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941).</w:t>
      </w:r>
    </w:p>
    <w:p w:rsidR="00B86EED" w:rsidRPr="00076A0B" w:rsidRDefault="00B86EED" w:rsidP="00705D6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Portanto, juridicamente falando, nada impede que o executado </w:t>
      </w:r>
      <w:proofErr w:type="gramStart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venda</w:t>
      </w:r>
      <w:proofErr w:type="gramEnd"/>
      <w:r w:rsidRPr="00076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doe, permute, onere seu direito sobre o bem penhorado, pois, nada obstante</w:t>
      </w:r>
      <w:r w:rsidRPr="00076A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</w:p>
    <w:p w:rsidR="001C6D9B" w:rsidRPr="00076A0B" w:rsidRDefault="00B86EED" w:rsidP="001C6D9B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  <w:proofErr w:type="gramStart"/>
      <w:r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o</w:t>
      </w:r>
      <w:proofErr w:type="gramEnd"/>
      <w:r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 xml:space="preserve"> efeito da penhora não se exerce sobre o direito (substancial) do credor, nem correlativamente, sobre a obrigação (substancial) do devedor a respeito dele; senão sobre a responsabilidade do devedor, correlativamente, sobre a ação (executiva) do credor, a qual pode continuar exercitando-se como se o devedor não houvesse disposto do bem penhorado; portanto, a penhora atua em prejuízo </w:t>
      </w:r>
      <w:r w:rsidR="001C6D9B"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de terceiros que tenham adquirido um direito real ou pessoal, ou ainda somente um privilégio, sobre o bem penhorado, no sentido de que, não obstante tal aquisição, no bem continua submetido</w:t>
      </w:r>
      <w:r w:rsidR="008C00FD"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 xml:space="preserve"> à expropriação em prejuízo do terceiro e em favor do credor exequente e dos credores intervenientes (CARNELUTTI </w:t>
      </w:r>
      <w:r w:rsidR="008C00FD" w:rsidRPr="00076A0B">
        <w:rPr>
          <w:rFonts w:ascii="Times New Roman" w:hAnsi="Times New Roman" w:cs="Times New Roman"/>
          <w:i/>
          <w:color w:val="000000"/>
          <w:sz w:val="20"/>
          <w:szCs w:val="24"/>
          <w:shd w:val="clear" w:color="auto" w:fill="FFFFFF"/>
        </w:rPr>
        <w:t xml:space="preserve">apud </w:t>
      </w:r>
      <w:r w:rsidR="008C00FD" w:rsidRPr="00076A0B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THEODORO JR, 2011, p. 277).</w:t>
      </w:r>
    </w:p>
    <w:p w:rsidR="001C6D9B" w:rsidRPr="00076A0B" w:rsidRDefault="001C6D9B" w:rsidP="001C6D9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65C2" w:rsidRPr="00076A0B" w:rsidRDefault="00E465C2" w:rsidP="00E465C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6A0B">
        <w:rPr>
          <w:rFonts w:ascii="Times New Roman" w:hAnsi="Times New Roman" w:cs="Times New Roman"/>
          <w:b/>
          <w:bCs/>
          <w:sz w:val="24"/>
          <w:szCs w:val="24"/>
        </w:rPr>
        <w:t>DA FRAUDE À EXECUÇÃO</w:t>
      </w:r>
    </w:p>
    <w:p w:rsidR="00145ADC" w:rsidRPr="00076A0B" w:rsidRDefault="00145ADC" w:rsidP="00145AD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29B5" w:rsidRPr="00076A0B" w:rsidRDefault="00FC7CC3" w:rsidP="001563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A0B">
        <w:rPr>
          <w:rFonts w:ascii="Times New Roman" w:hAnsi="Times New Roman" w:cs="Times New Roman"/>
          <w:bCs/>
          <w:sz w:val="24"/>
          <w:szCs w:val="24"/>
        </w:rPr>
        <w:t>Primeiramente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é imprescindível realizar a diferenciação dos institutos da fraude contra credores e da fraude à execução</w:t>
      </w:r>
      <w:r w:rsidRPr="00076A0B">
        <w:rPr>
          <w:rFonts w:ascii="Times New Roman" w:hAnsi="Times New Roman" w:cs="Times New Roman"/>
          <w:bCs/>
          <w:sz w:val="28"/>
          <w:szCs w:val="24"/>
        </w:rPr>
        <w:t>.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Afirma </w:t>
      </w:r>
      <w:proofErr w:type="spellStart"/>
      <w:r w:rsidRPr="00076A0B">
        <w:rPr>
          <w:rFonts w:ascii="Times New Roman" w:hAnsi="Times New Roman" w:cs="Times New Roman"/>
          <w:bCs/>
          <w:sz w:val="24"/>
          <w:szCs w:val="24"/>
        </w:rPr>
        <w:t>Araken</w:t>
      </w:r>
      <w:proofErr w:type="spellEnd"/>
      <w:r w:rsidRPr="00076A0B">
        <w:rPr>
          <w:rFonts w:ascii="Times New Roman" w:hAnsi="Times New Roman" w:cs="Times New Roman"/>
          <w:bCs/>
          <w:sz w:val="24"/>
          <w:szCs w:val="24"/>
        </w:rPr>
        <w:t xml:space="preserve"> de Assis (2012, p. 296) que se distinguem na medida em que atos dispositivos do devedor às vezes ocorrem na pendencia de uma relação processual</w:t>
      </w:r>
      <w:r w:rsidRPr="00076A0B">
        <w:rPr>
          <w:rFonts w:ascii="Times New Roman" w:hAnsi="Times New Roman" w:cs="Times New Roman"/>
          <w:bCs/>
          <w:sz w:val="28"/>
          <w:szCs w:val="24"/>
        </w:rPr>
        <w:t>.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Afirma Theodoro Jr. (2011, p. 297) que, na fraude contra credores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são atingidos apenas interesses privados dos credores, protegidos pelo Direito Material</w:t>
      </w:r>
      <w:r w:rsidRPr="00076A0B">
        <w:rPr>
          <w:rFonts w:ascii="Times New Roman" w:hAnsi="Times New Roman" w:cs="Times New Roman"/>
          <w:bCs/>
          <w:sz w:val="28"/>
          <w:szCs w:val="24"/>
        </w:rPr>
        <w:t>.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Na fraude à execução, </w:t>
      </w:r>
      <w:r w:rsidR="00EE6075" w:rsidRPr="00076A0B">
        <w:rPr>
          <w:rFonts w:ascii="Times New Roman" w:hAnsi="Times New Roman" w:cs="Times New Roman"/>
          <w:bCs/>
          <w:sz w:val="24"/>
          <w:szCs w:val="24"/>
        </w:rPr>
        <w:t>o ato do devedor executado viola a própria atividade jurisdicional do Estado</w:t>
      </w:r>
      <w:r w:rsidR="00EE6075" w:rsidRPr="00076A0B">
        <w:rPr>
          <w:rFonts w:ascii="Times New Roman" w:hAnsi="Times New Roman" w:cs="Times New Roman"/>
          <w:bCs/>
          <w:sz w:val="28"/>
          <w:szCs w:val="24"/>
        </w:rPr>
        <w:t>.</w:t>
      </w:r>
      <w:r w:rsidR="001563DA" w:rsidRPr="00076A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45ADC" w:rsidRPr="00076A0B" w:rsidRDefault="001563DA" w:rsidP="001563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76A0B">
        <w:rPr>
          <w:rFonts w:ascii="Times New Roman" w:hAnsi="Times New Roman" w:cs="Times New Roman"/>
          <w:bCs/>
          <w:sz w:val="24"/>
          <w:szCs w:val="24"/>
        </w:rPr>
        <w:t>Marcelo Abelha (2009, p. 83), por sua vez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defende que a fraude a execução é uma forma especializada de fraude contra credores.</w:t>
      </w:r>
      <w:r w:rsidR="00DD4A35" w:rsidRPr="00076A0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DD4A35" w:rsidRPr="00076A0B">
        <w:rPr>
          <w:rFonts w:ascii="Times New Roman" w:hAnsi="Times New Roman" w:cs="Times New Roman"/>
          <w:bCs/>
          <w:sz w:val="24"/>
          <w:szCs w:val="24"/>
        </w:rPr>
        <w:t>No entanto</w:t>
      </w:r>
      <w:r w:rsidRPr="00076A0B">
        <w:rPr>
          <w:rFonts w:ascii="Times New Roman" w:hAnsi="Times New Roman" w:cs="Times New Roman"/>
          <w:bCs/>
          <w:sz w:val="24"/>
          <w:szCs w:val="24"/>
        </w:rPr>
        <w:t>, segundo o autor</w:t>
      </w:r>
      <w:r w:rsidR="00DD4A35"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="00DD4A35" w:rsidRPr="00076A0B">
        <w:rPr>
          <w:rFonts w:ascii="Times New Roman" w:hAnsi="Times New Roman" w:cs="Times New Roman"/>
          <w:bCs/>
          <w:sz w:val="24"/>
          <w:szCs w:val="24"/>
        </w:rPr>
        <w:t xml:space="preserve"> em ambos os casos, o ordenamento pátrio visa coibir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tentativas de fraudes praticadas pelo devedor no sentido de elidir a responsabilidade patrimonial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6A0B">
        <w:rPr>
          <w:rFonts w:ascii="Times New Roman" w:hAnsi="Times New Roman" w:cs="Times New Roman"/>
          <w:bCs/>
          <w:sz w:val="24"/>
          <w:szCs w:val="24"/>
        </w:rPr>
        <w:t>esvaziando-lhe</w:t>
      </w:r>
      <w:proofErr w:type="spellEnd"/>
      <w:r w:rsidRPr="00076A0B">
        <w:rPr>
          <w:rFonts w:ascii="Times New Roman" w:hAnsi="Times New Roman" w:cs="Times New Roman"/>
          <w:bCs/>
          <w:sz w:val="24"/>
          <w:szCs w:val="24"/>
        </w:rPr>
        <w:t xml:space="preserve"> o conteúdo para que seja infrutífero o eventual adimplemento pela garantia patrimonial</w:t>
      </w:r>
      <w:r w:rsidRPr="00076A0B">
        <w:rPr>
          <w:rFonts w:ascii="Times New Roman" w:hAnsi="Times New Roman" w:cs="Times New Roman"/>
          <w:bCs/>
          <w:sz w:val="28"/>
          <w:szCs w:val="24"/>
        </w:rPr>
        <w:t>.</w:t>
      </w:r>
    </w:p>
    <w:p w:rsidR="001563DA" w:rsidRPr="00076A0B" w:rsidRDefault="001563DA" w:rsidP="001563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A0B">
        <w:rPr>
          <w:rFonts w:ascii="Times New Roman" w:hAnsi="Times New Roman" w:cs="Times New Roman"/>
          <w:bCs/>
          <w:sz w:val="24"/>
          <w:szCs w:val="24"/>
        </w:rPr>
        <w:lastRenderedPageBreak/>
        <w:t>Portanto</w:t>
      </w:r>
      <w:r w:rsidRPr="00076A0B">
        <w:rPr>
          <w:rFonts w:ascii="Times New Roman" w:hAnsi="Times New Roman" w:cs="Times New Roman"/>
          <w:bCs/>
          <w:sz w:val="32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a lei rechaça “alienações fraudulentas que provoquem ou agravem a insolvência do devedor” (THEODORO JR. 2011, p. 192)</w:t>
      </w:r>
      <w:r w:rsidR="00AC0C92"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="00AC0C92" w:rsidRPr="00076A0B">
        <w:rPr>
          <w:rFonts w:ascii="Times New Roman" w:hAnsi="Times New Roman" w:cs="Times New Roman"/>
          <w:bCs/>
          <w:sz w:val="24"/>
          <w:szCs w:val="24"/>
        </w:rPr>
        <w:t xml:space="preserve"> gerando-se a responsabilidade secundária</w:t>
      </w:r>
      <w:r w:rsidR="00E83962" w:rsidRPr="00076A0B">
        <w:rPr>
          <w:rFonts w:ascii="Times New Roman" w:hAnsi="Times New Roman" w:cs="Times New Roman"/>
          <w:bCs/>
          <w:sz w:val="24"/>
          <w:szCs w:val="24"/>
        </w:rPr>
        <w:t>, prevista no artigo 592 do Código de Processo Civil</w:t>
      </w:r>
      <w:r w:rsidRPr="00076A0B">
        <w:rPr>
          <w:rFonts w:ascii="Times New Roman" w:hAnsi="Times New Roman" w:cs="Times New Roman"/>
          <w:bCs/>
          <w:sz w:val="28"/>
          <w:szCs w:val="24"/>
        </w:rPr>
        <w:t>.</w:t>
      </w:r>
    </w:p>
    <w:p w:rsidR="003B4042" w:rsidRPr="00076A0B" w:rsidRDefault="003B4042" w:rsidP="001563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76A0B">
        <w:rPr>
          <w:rFonts w:ascii="Times New Roman" w:hAnsi="Times New Roman" w:cs="Times New Roman"/>
          <w:bCs/>
          <w:sz w:val="24"/>
          <w:szCs w:val="24"/>
        </w:rPr>
        <w:t>Propomo-nos, aqui, a analisar apenas o instituto da fraude à execução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defendido pela doutrina pátria como o tipo mais gravoso de fraude</w:t>
      </w:r>
      <w:r w:rsidRPr="00076A0B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Pr="00076A0B">
        <w:rPr>
          <w:rFonts w:ascii="Times New Roman" w:hAnsi="Times New Roman" w:cs="Times New Roman"/>
          <w:bCs/>
          <w:sz w:val="24"/>
          <w:szCs w:val="24"/>
        </w:rPr>
        <w:t>tendo em vista que ocorre na pendencia de um processo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ferindo não só os interesses particulares dos credores, como também a atividade jurisdicional do Estado</w:t>
      </w:r>
      <w:r w:rsidRPr="00076A0B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Pr="00076A0B">
        <w:rPr>
          <w:rFonts w:ascii="Times New Roman" w:hAnsi="Times New Roman" w:cs="Times New Roman"/>
          <w:bCs/>
          <w:sz w:val="24"/>
          <w:szCs w:val="24"/>
        </w:rPr>
        <w:t>Veremos mais adiante que a tutela deste tipo de fraude se mostra mais rígido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recebendo reação mais severa, como afirma </w:t>
      </w:r>
      <w:proofErr w:type="spellStart"/>
      <w:r w:rsidRPr="00076A0B">
        <w:rPr>
          <w:rFonts w:ascii="Times New Roman" w:hAnsi="Times New Roman" w:cs="Times New Roman"/>
          <w:bCs/>
          <w:sz w:val="24"/>
          <w:szCs w:val="24"/>
        </w:rPr>
        <w:t>Araken</w:t>
      </w:r>
      <w:proofErr w:type="spellEnd"/>
      <w:r w:rsidRPr="00076A0B">
        <w:rPr>
          <w:rFonts w:ascii="Times New Roman" w:hAnsi="Times New Roman" w:cs="Times New Roman"/>
          <w:bCs/>
          <w:sz w:val="24"/>
          <w:szCs w:val="24"/>
        </w:rPr>
        <w:t xml:space="preserve"> de Assis (2012, p. 297)</w:t>
      </w:r>
      <w:r w:rsidRPr="00076A0B">
        <w:rPr>
          <w:rFonts w:ascii="Times New Roman" w:hAnsi="Times New Roman" w:cs="Times New Roman"/>
          <w:bCs/>
          <w:sz w:val="28"/>
          <w:szCs w:val="24"/>
        </w:rPr>
        <w:t>.</w:t>
      </w:r>
    </w:p>
    <w:p w:rsidR="007A20F7" w:rsidRPr="00076A0B" w:rsidRDefault="007A20F7" w:rsidP="007A20F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76A0B">
        <w:rPr>
          <w:rFonts w:ascii="Times New Roman" w:hAnsi="Times New Roman" w:cs="Times New Roman"/>
          <w:bCs/>
          <w:sz w:val="24"/>
          <w:szCs w:val="24"/>
        </w:rPr>
        <w:t xml:space="preserve">O entendimento doutrinário atual </w:t>
      </w:r>
      <w:r w:rsidR="00A838B5" w:rsidRPr="00076A0B">
        <w:rPr>
          <w:rFonts w:ascii="Times New Roman" w:hAnsi="Times New Roman" w:cs="Times New Roman"/>
          <w:bCs/>
          <w:sz w:val="24"/>
          <w:szCs w:val="24"/>
        </w:rPr>
        <w:t>majoritário se põe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no sentido de que os atos de </w:t>
      </w:r>
      <w:r w:rsidR="00A838B5" w:rsidRPr="00076A0B">
        <w:rPr>
          <w:rFonts w:ascii="Times New Roman" w:hAnsi="Times New Roman" w:cs="Times New Roman"/>
          <w:bCs/>
          <w:sz w:val="24"/>
          <w:szCs w:val="24"/>
        </w:rPr>
        <w:t>alienação ou de oneração realizados pelo obrigado se ostentam eficazes</w:t>
      </w:r>
      <w:r w:rsidR="00A838B5" w:rsidRPr="00076A0B">
        <w:rPr>
          <w:rFonts w:ascii="Times New Roman" w:hAnsi="Times New Roman" w:cs="Times New Roman"/>
          <w:bCs/>
          <w:sz w:val="28"/>
          <w:szCs w:val="24"/>
        </w:rPr>
        <w:t>.</w:t>
      </w:r>
      <w:r w:rsidR="00A838B5" w:rsidRPr="00076A0B">
        <w:rPr>
          <w:rFonts w:ascii="Times New Roman" w:hAnsi="Times New Roman" w:cs="Times New Roman"/>
          <w:bCs/>
          <w:sz w:val="24"/>
          <w:szCs w:val="24"/>
        </w:rPr>
        <w:t xml:space="preserve"> Afirma Ernani Fidélis dos Santos (2009, p</w:t>
      </w:r>
      <w:r w:rsidR="00A838B5" w:rsidRPr="00076A0B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="00A838B5" w:rsidRPr="00076A0B">
        <w:rPr>
          <w:rFonts w:ascii="Times New Roman" w:hAnsi="Times New Roman" w:cs="Times New Roman"/>
          <w:bCs/>
          <w:sz w:val="24"/>
          <w:szCs w:val="24"/>
        </w:rPr>
        <w:t>73), por exemplo, que os atos de alienação ou de oneração de bens em fraude de execução não são nulos nem anuláveis</w:t>
      </w:r>
      <w:r w:rsidR="00A838B5"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="00A838B5" w:rsidRPr="00076A0B">
        <w:rPr>
          <w:rFonts w:ascii="Times New Roman" w:hAnsi="Times New Roman" w:cs="Times New Roman"/>
          <w:bCs/>
          <w:sz w:val="24"/>
          <w:szCs w:val="24"/>
        </w:rPr>
        <w:t xml:space="preserve"> mas apenas ineficazes com relação à execução instaurada ou a se instaurar</w:t>
      </w:r>
      <w:r w:rsidR="00A838B5" w:rsidRPr="00076A0B">
        <w:rPr>
          <w:rFonts w:ascii="Times New Roman" w:hAnsi="Times New Roman" w:cs="Times New Roman"/>
          <w:bCs/>
          <w:sz w:val="28"/>
          <w:szCs w:val="24"/>
        </w:rPr>
        <w:t>.</w:t>
      </w:r>
    </w:p>
    <w:p w:rsidR="004D3669" w:rsidRPr="00076A0B" w:rsidRDefault="004D3669" w:rsidP="007A20F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76A0B">
        <w:rPr>
          <w:rFonts w:ascii="Times New Roman" w:hAnsi="Times New Roman" w:cs="Times New Roman"/>
          <w:bCs/>
          <w:sz w:val="24"/>
          <w:szCs w:val="24"/>
        </w:rPr>
        <w:t>Pelo fato de serem considerados ineficazes</w:t>
      </w:r>
      <w:r w:rsidRPr="00076A0B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Pr="00076A0B">
        <w:rPr>
          <w:rFonts w:ascii="Times New Roman" w:hAnsi="Times New Roman" w:cs="Times New Roman"/>
          <w:bCs/>
          <w:sz w:val="24"/>
          <w:szCs w:val="24"/>
        </w:rPr>
        <w:t>ostenta parte da doutrina que não seria necessária a interposição de nenhuma ação pelo sujeito ativo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como na fraude contra credores, mas apenas simples petição para o reconhecimento da fraude pelo juiz</w:t>
      </w:r>
      <w:r w:rsidRPr="00076A0B">
        <w:rPr>
          <w:rFonts w:ascii="Times New Roman" w:hAnsi="Times New Roman" w:cs="Times New Roman"/>
          <w:bCs/>
          <w:sz w:val="28"/>
          <w:szCs w:val="24"/>
        </w:rPr>
        <w:t>.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No entanto</w:t>
      </w:r>
      <w:r w:rsidRPr="00076A0B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Pr="00076A0B">
        <w:rPr>
          <w:rFonts w:ascii="Times New Roman" w:hAnsi="Times New Roman" w:cs="Times New Roman"/>
          <w:bCs/>
          <w:sz w:val="24"/>
          <w:szCs w:val="24"/>
        </w:rPr>
        <w:t>parte da doutrina defende a “exigibilidade de uma sentença transitada em julgado em processo de conhecimento com ampla possibilidade de defesa do terceiro adquirente e do devedor alienante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6A8B" w:rsidRPr="00076A0B">
        <w:rPr>
          <w:rFonts w:ascii="Times New Roman" w:hAnsi="Times New Roman" w:cs="Times New Roman"/>
          <w:bCs/>
          <w:sz w:val="24"/>
          <w:szCs w:val="24"/>
        </w:rPr>
        <w:t>única forma de preservação do devido processo legal” (NEVES, 2010, p. 820)</w:t>
      </w:r>
      <w:r w:rsidR="00A76A8B" w:rsidRPr="00076A0B">
        <w:rPr>
          <w:rFonts w:ascii="Times New Roman" w:hAnsi="Times New Roman" w:cs="Times New Roman"/>
          <w:bCs/>
          <w:sz w:val="28"/>
          <w:szCs w:val="24"/>
        </w:rPr>
        <w:t>.</w:t>
      </w:r>
    </w:p>
    <w:p w:rsidR="00B2476F" w:rsidRPr="00076A0B" w:rsidRDefault="00B2476F" w:rsidP="007A20F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76A0B">
        <w:rPr>
          <w:rFonts w:ascii="Times New Roman" w:hAnsi="Times New Roman" w:cs="Times New Roman"/>
          <w:bCs/>
          <w:sz w:val="24"/>
          <w:szCs w:val="24"/>
        </w:rPr>
        <w:t xml:space="preserve">A doutrina mais tradicional defende que para a efetivação da fraude à execução é dispensável a comprovação do </w:t>
      </w:r>
      <w:r w:rsidRPr="00076A0B">
        <w:rPr>
          <w:rFonts w:ascii="Times New Roman" w:hAnsi="Times New Roman" w:cs="Times New Roman"/>
          <w:bCs/>
          <w:i/>
          <w:sz w:val="24"/>
          <w:szCs w:val="24"/>
        </w:rPr>
        <w:t>consilium fraudis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elemento subjetivo da fraude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“pouco importando se havia ciência ou não de que o ato levaria o devedor à insolvência” (NEVES, 2010, p. 820)</w:t>
      </w:r>
      <w:r w:rsidRPr="00076A0B">
        <w:rPr>
          <w:rFonts w:ascii="Times New Roman" w:hAnsi="Times New Roman" w:cs="Times New Roman"/>
          <w:bCs/>
          <w:sz w:val="28"/>
          <w:szCs w:val="24"/>
        </w:rPr>
        <w:t>.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17F" w:rsidRPr="00076A0B">
        <w:rPr>
          <w:rFonts w:ascii="Times New Roman" w:hAnsi="Times New Roman" w:cs="Times New Roman"/>
          <w:bCs/>
          <w:sz w:val="24"/>
          <w:szCs w:val="24"/>
        </w:rPr>
        <w:t>Para este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pensamento, não será </w:t>
      </w:r>
      <w:proofErr w:type="gramStart"/>
      <w:r w:rsidRPr="00076A0B">
        <w:rPr>
          <w:rFonts w:ascii="Times New Roman" w:hAnsi="Times New Roman" w:cs="Times New Roman"/>
          <w:bCs/>
          <w:sz w:val="24"/>
          <w:szCs w:val="24"/>
        </w:rPr>
        <w:t>de maior</w:t>
      </w:r>
      <w:proofErr w:type="gramEnd"/>
      <w:r w:rsidRPr="00076A0B">
        <w:rPr>
          <w:rFonts w:ascii="Times New Roman" w:hAnsi="Times New Roman" w:cs="Times New Roman"/>
          <w:bCs/>
          <w:sz w:val="24"/>
          <w:szCs w:val="24"/>
        </w:rPr>
        <w:t xml:space="preserve"> importância </w:t>
      </w:r>
      <w:r w:rsidR="0050617F" w:rsidRPr="00076A0B">
        <w:rPr>
          <w:rFonts w:ascii="Times New Roman" w:hAnsi="Times New Roman" w:cs="Times New Roman"/>
          <w:bCs/>
          <w:sz w:val="24"/>
          <w:szCs w:val="24"/>
        </w:rPr>
        <w:t>a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boa-fé do terceiro adquirente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pois a intenção de fraudar é presumida</w:t>
      </w:r>
      <w:r w:rsidR="004715F0" w:rsidRPr="00076A0B">
        <w:rPr>
          <w:rFonts w:ascii="Times New Roman" w:hAnsi="Times New Roman" w:cs="Times New Roman"/>
          <w:bCs/>
          <w:sz w:val="24"/>
          <w:szCs w:val="24"/>
        </w:rPr>
        <w:t>, podendo ser declarada de ofício pelo magistrado</w:t>
      </w:r>
      <w:r w:rsidR="0050617F"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="0050617F" w:rsidRPr="00076A0B">
        <w:rPr>
          <w:rFonts w:ascii="Times New Roman" w:hAnsi="Times New Roman" w:cs="Times New Roman"/>
          <w:bCs/>
          <w:sz w:val="24"/>
          <w:szCs w:val="24"/>
        </w:rPr>
        <w:t xml:space="preserve"> tendo em vista que fere a própria atividade executiva do Estado</w:t>
      </w:r>
      <w:r w:rsidR="004715F0" w:rsidRPr="00076A0B">
        <w:rPr>
          <w:rFonts w:ascii="Times New Roman" w:hAnsi="Times New Roman" w:cs="Times New Roman"/>
          <w:bCs/>
          <w:sz w:val="28"/>
          <w:szCs w:val="24"/>
        </w:rPr>
        <w:t>.</w:t>
      </w:r>
    </w:p>
    <w:p w:rsidR="00822AAB" w:rsidRPr="00076A0B" w:rsidRDefault="00822AAB" w:rsidP="00822AAB">
      <w:pPr>
        <w:pStyle w:val="Pr-formataoHTML"/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 w:rsidRPr="00076A0B">
        <w:rPr>
          <w:rFonts w:ascii="Times New Roman" w:hAnsi="Times New Roman" w:cs="Times New Roman"/>
          <w:bCs/>
          <w:sz w:val="24"/>
          <w:szCs w:val="24"/>
        </w:rPr>
        <w:lastRenderedPageBreak/>
        <w:t>No entanto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a jurisprudência vem evoluindo, no sentido de dar mais valor ao cunho subjetivo da fraude à execução</w:t>
      </w:r>
      <w:r w:rsidRPr="00076A0B">
        <w:rPr>
          <w:rFonts w:ascii="Times New Roman" w:hAnsi="Times New Roman" w:cs="Times New Roman"/>
          <w:bCs/>
          <w:sz w:val="28"/>
          <w:szCs w:val="24"/>
        </w:rPr>
        <w:t>.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O Superior Tribunal de Justiça proferiu entendimento, no sentido de que a boa-fé do terceiro adquirente deve ser protegida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rechaçando a ineficácia do ato se comprovada a sua boa-fé</w:t>
      </w:r>
      <w:r w:rsidR="00667A9F" w:rsidRPr="00076A0B">
        <w:rPr>
          <w:rFonts w:ascii="Times New Roman" w:hAnsi="Times New Roman" w:cs="Times New Roman"/>
          <w:bCs/>
          <w:sz w:val="24"/>
          <w:szCs w:val="24"/>
        </w:rPr>
        <w:t xml:space="preserve"> (STJ</w:t>
      </w:r>
      <w:r w:rsidR="00667A9F"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="00667A9F" w:rsidRPr="00076A0B">
        <w:rPr>
          <w:rFonts w:ascii="Times New Roman" w:hAnsi="Times New Roman" w:cs="Times New Roman"/>
          <w:bCs/>
          <w:sz w:val="24"/>
          <w:szCs w:val="24"/>
        </w:rPr>
        <w:t xml:space="preserve"> 1ª Turma</w:t>
      </w:r>
      <w:r w:rsidR="00667A9F"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="00667A9F" w:rsidRPr="00076A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667A9F" w:rsidRPr="00076A0B">
        <w:rPr>
          <w:rFonts w:ascii="Times New Roman" w:hAnsi="Times New Roman" w:cs="Times New Roman"/>
          <w:bCs/>
          <w:sz w:val="24"/>
          <w:szCs w:val="24"/>
        </w:rPr>
        <w:t>REsp</w:t>
      </w:r>
      <w:proofErr w:type="spellEnd"/>
      <w:proofErr w:type="gramEnd"/>
      <w:r w:rsidR="00667A9F" w:rsidRPr="00076A0B">
        <w:rPr>
          <w:rFonts w:ascii="Times New Roman" w:hAnsi="Times New Roman" w:cs="Times New Roman"/>
          <w:bCs/>
          <w:sz w:val="24"/>
          <w:szCs w:val="24"/>
        </w:rPr>
        <w:t xml:space="preserve"> 638.664/PR, rel. Min. Luiz </w:t>
      </w:r>
      <w:proofErr w:type="spellStart"/>
      <w:r w:rsidR="00667A9F" w:rsidRPr="00076A0B">
        <w:rPr>
          <w:rFonts w:ascii="Times New Roman" w:hAnsi="Times New Roman" w:cs="Times New Roman"/>
          <w:bCs/>
          <w:sz w:val="24"/>
          <w:szCs w:val="24"/>
        </w:rPr>
        <w:t>Fux</w:t>
      </w:r>
      <w:proofErr w:type="spellEnd"/>
      <w:r w:rsidR="00667A9F" w:rsidRPr="00076A0B">
        <w:rPr>
          <w:rFonts w:ascii="Times New Roman" w:hAnsi="Times New Roman" w:cs="Times New Roman"/>
          <w:bCs/>
          <w:sz w:val="24"/>
          <w:szCs w:val="24"/>
        </w:rPr>
        <w:t>)</w:t>
      </w:r>
      <w:r w:rsidRPr="00076A0B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Pr="00076A0B">
        <w:rPr>
          <w:rFonts w:ascii="Times New Roman" w:hAnsi="Times New Roman" w:cs="Times New Roman"/>
          <w:bCs/>
          <w:sz w:val="24"/>
          <w:szCs w:val="24"/>
        </w:rPr>
        <w:t>Para que seja declarado ineficaz deve haver ciência pelo adquirente da existência de ação</w:t>
      </w:r>
      <w:r w:rsidRPr="00076A0B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Pr="00076A0B">
        <w:rPr>
          <w:rFonts w:ascii="Times New Roman" w:hAnsi="Times New Roman" w:cs="Times New Roman"/>
          <w:bCs/>
          <w:sz w:val="24"/>
          <w:szCs w:val="24"/>
        </w:rPr>
        <w:t>Tal entendimento depreende-se da súmula 375 do STJ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pela qual</w:t>
      </w:r>
      <w:r w:rsidRPr="00076A0B">
        <w:rPr>
          <w:rFonts w:ascii="Times New Roman" w:hAnsi="Times New Roman" w:cs="Times New Roman"/>
          <w:bCs/>
          <w:sz w:val="28"/>
          <w:szCs w:val="24"/>
        </w:rPr>
        <w:t>,</w:t>
      </w:r>
      <w:r w:rsidRPr="00076A0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Pr="00076A0B">
        <w:rPr>
          <w:rFonts w:ascii="Times New Roman" w:hAnsi="Times New Roman" w:cs="Times New Roman"/>
          <w:sz w:val="24"/>
          <w:szCs w:val="24"/>
        </w:rPr>
        <w:t xml:space="preserve">o reconhecimento da fraude à execução depende do registro da penhora </w:t>
      </w:r>
      <w:r w:rsidRPr="00822AAB">
        <w:rPr>
          <w:rFonts w:ascii="Times New Roman" w:hAnsi="Times New Roman" w:cs="Times New Roman"/>
          <w:sz w:val="24"/>
          <w:szCs w:val="24"/>
        </w:rPr>
        <w:t>do bem alienado ou da prova de má-fé do terceiro adquirente</w:t>
      </w:r>
      <w:r w:rsidR="00667A9F" w:rsidRPr="00076A0B">
        <w:rPr>
          <w:rFonts w:ascii="Times New Roman" w:hAnsi="Times New Roman" w:cs="Times New Roman"/>
          <w:sz w:val="24"/>
          <w:szCs w:val="24"/>
        </w:rPr>
        <w:t>”</w:t>
      </w:r>
      <w:r w:rsidR="00667A9F" w:rsidRPr="00076A0B">
        <w:rPr>
          <w:rFonts w:ascii="Times New Roman" w:hAnsi="Times New Roman" w:cs="Times New Roman"/>
          <w:sz w:val="28"/>
          <w:szCs w:val="24"/>
        </w:rPr>
        <w:t>.</w:t>
      </w:r>
      <w:r w:rsidR="00667A9F" w:rsidRPr="00076A0B">
        <w:rPr>
          <w:rFonts w:ascii="Times New Roman" w:hAnsi="Times New Roman" w:cs="Times New Roman"/>
          <w:sz w:val="24"/>
          <w:szCs w:val="24"/>
        </w:rPr>
        <w:t xml:space="preserve"> Cabe ao credor, portanto, o ônus da prova da má-fé, pela comprovação da ciência do terceiro</w:t>
      </w:r>
      <w:r w:rsidR="00667A9F" w:rsidRPr="00076A0B">
        <w:rPr>
          <w:rFonts w:ascii="Times New Roman" w:hAnsi="Times New Roman" w:cs="Times New Roman"/>
          <w:sz w:val="28"/>
          <w:szCs w:val="24"/>
        </w:rPr>
        <w:t>.</w:t>
      </w:r>
      <w:r w:rsidR="00AC0C92" w:rsidRPr="00076A0B">
        <w:rPr>
          <w:rFonts w:ascii="Times New Roman" w:hAnsi="Times New Roman" w:cs="Times New Roman"/>
          <w:sz w:val="28"/>
          <w:szCs w:val="24"/>
        </w:rPr>
        <w:t xml:space="preserve"> </w:t>
      </w:r>
      <w:r w:rsidR="00AC0C92" w:rsidRPr="00076A0B">
        <w:rPr>
          <w:rFonts w:ascii="Times New Roman" w:hAnsi="Times New Roman" w:cs="Times New Roman"/>
          <w:sz w:val="24"/>
          <w:szCs w:val="24"/>
        </w:rPr>
        <w:t>Entretanto, deve-se garantir o contraditório ao terceiro adquirente</w:t>
      </w:r>
      <w:r w:rsidR="00AC0C92" w:rsidRPr="00076A0B">
        <w:rPr>
          <w:rFonts w:ascii="Times New Roman" w:hAnsi="Times New Roman" w:cs="Times New Roman"/>
          <w:sz w:val="28"/>
          <w:szCs w:val="24"/>
        </w:rPr>
        <w:t>.</w:t>
      </w:r>
    </w:p>
    <w:p w:rsidR="002D53AD" w:rsidRPr="00076A0B" w:rsidRDefault="00283396" w:rsidP="00822AAB">
      <w:pPr>
        <w:pStyle w:val="Pr-formataoHTML"/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76A0B">
        <w:rPr>
          <w:rFonts w:ascii="Times New Roman" w:hAnsi="Times New Roman" w:cs="Times New Roman"/>
          <w:sz w:val="24"/>
          <w:szCs w:val="24"/>
        </w:rPr>
        <w:t>São três as situações previstas pelo Código de Processo Civil em seu artigo 593:</w:t>
      </w:r>
    </w:p>
    <w:p w:rsidR="00283396" w:rsidRPr="00076A0B" w:rsidRDefault="00283396" w:rsidP="0028339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076A0B">
        <w:rPr>
          <w:sz w:val="20"/>
          <w:szCs w:val="20"/>
        </w:rPr>
        <w:t>Art. 593.  Considera-se em fraude de execução a alienação ou oneração de bens:</w:t>
      </w:r>
    </w:p>
    <w:p w:rsidR="00283396" w:rsidRPr="00076A0B" w:rsidRDefault="00283396" w:rsidP="0028339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076A0B">
        <w:rPr>
          <w:sz w:val="20"/>
          <w:szCs w:val="20"/>
        </w:rPr>
        <w:t>I - quando sobre eles pender ação fundada em direito real;</w:t>
      </w:r>
    </w:p>
    <w:p w:rsidR="00283396" w:rsidRPr="00076A0B" w:rsidRDefault="00283396" w:rsidP="0028339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076A0B">
        <w:rPr>
          <w:sz w:val="20"/>
          <w:szCs w:val="20"/>
        </w:rPr>
        <w:t>II - quando, ao tempo da alienação ou oneração, corria contra o devedor demanda capaz de reduzi-lo à insolvência;</w:t>
      </w:r>
    </w:p>
    <w:p w:rsidR="00283396" w:rsidRPr="00076A0B" w:rsidRDefault="00283396" w:rsidP="0028339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076A0B">
        <w:rPr>
          <w:sz w:val="20"/>
          <w:szCs w:val="20"/>
        </w:rPr>
        <w:t>III - nos demais casos expressos em lei.</w:t>
      </w:r>
    </w:p>
    <w:p w:rsidR="00283396" w:rsidRPr="00076A0B" w:rsidRDefault="00283396" w:rsidP="0028339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283396" w:rsidRDefault="00283396" w:rsidP="0028339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z w:val="28"/>
        </w:rPr>
      </w:pPr>
      <w:r w:rsidRPr="00076A0B">
        <w:t>No caso do inciso I</w:t>
      </w:r>
      <w:r w:rsidR="00EE555C" w:rsidRPr="00D77852">
        <w:t>,</w:t>
      </w:r>
      <w:r w:rsidR="00D77852" w:rsidRPr="00D77852">
        <w:t xml:space="preserve"> hip</w:t>
      </w:r>
      <w:r w:rsidR="00D77852">
        <w:t>ótese</w:t>
      </w:r>
      <w:r w:rsidR="00D77852" w:rsidRPr="00D77852">
        <w:t xml:space="preserve"> mais específica de fraude à execução</w:t>
      </w:r>
      <w:r w:rsidR="00D77852" w:rsidRPr="00D77852">
        <w:rPr>
          <w:sz w:val="28"/>
        </w:rPr>
        <w:t>,</w:t>
      </w:r>
      <w:r w:rsidR="00EE555C" w:rsidRPr="00D77852">
        <w:t xml:space="preserve"> </w:t>
      </w:r>
      <w:r w:rsidR="00EE555C" w:rsidRPr="00076A0B">
        <w:t xml:space="preserve">cabe </w:t>
      </w:r>
      <w:proofErr w:type="gramStart"/>
      <w:r w:rsidR="00EE555C" w:rsidRPr="00076A0B">
        <w:t>a</w:t>
      </w:r>
      <w:proofErr w:type="gramEnd"/>
      <w:r w:rsidR="00EE555C" w:rsidRPr="00076A0B">
        <w:t xml:space="preserve"> observação de que não será necessária a comprovação da demonstração de insolvência</w:t>
      </w:r>
      <w:r w:rsidR="00EE555C" w:rsidRPr="00076A0B">
        <w:rPr>
          <w:sz w:val="28"/>
        </w:rPr>
        <w:t>.</w:t>
      </w:r>
      <w:r w:rsidR="00EE555C" w:rsidRPr="00076A0B">
        <w:t xml:space="preserve"> </w:t>
      </w:r>
      <w:r w:rsidR="001C7368" w:rsidRPr="00076A0B">
        <w:t xml:space="preserve">Neste sentido, </w:t>
      </w:r>
      <w:proofErr w:type="spellStart"/>
      <w:r w:rsidR="001C7368" w:rsidRPr="00076A0B">
        <w:t>Fre</w:t>
      </w:r>
      <w:r w:rsidR="00EE555C" w:rsidRPr="00076A0B">
        <w:t>die</w:t>
      </w:r>
      <w:proofErr w:type="spellEnd"/>
      <w:r w:rsidR="00EE555C" w:rsidRPr="00076A0B">
        <w:t xml:space="preserve"> Didier </w:t>
      </w:r>
      <w:r w:rsidR="001C7368" w:rsidRPr="00076A0B">
        <w:t>Jr.</w:t>
      </w:r>
      <w:r w:rsidR="00EE555C" w:rsidRPr="00076A0B">
        <w:t>(2013, p. 316)</w:t>
      </w:r>
      <w:r w:rsidR="00EE555C" w:rsidRPr="00076A0B">
        <w:rPr>
          <w:sz w:val="28"/>
        </w:rPr>
        <w:t>.</w:t>
      </w:r>
      <w:r w:rsidR="00CB445B">
        <w:rPr>
          <w:sz w:val="28"/>
        </w:rPr>
        <w:t xml:space="preserve"> </w:t>
      </w:r>
      <w:r w:rsidR="00CB445B">
        <w:t xml:space="preserve">Para </w:t>
      </w:r>
      <w:proofErr w:type="spellStart"/>
      <w:r w:rsidR="00CB445B">
        <w:t>Marinoni</w:t>
      </w:r>
      <w:proofErr w:type="spellEnd"/>
      <w:r w:rsidR="00CB445B">
        <w:t xml:space="preserve"> (2007, p</w:t>
      </w:r>
      <w:r w:rsidR="00CB445B" w:rsidRPr="0020254E">
        <w:t>.</w:t>
      </w:r>
      <w:r w:rsidR="00CB445B">
        <w:t xml:space="preserve"> 262), a alienação ou a oneração de bem sobre o qual pende ação fundada em direito real constitui fraude à execução e independe da caracterização de insolvência do credor</w:t>
      </w:r>
      <w:r w:rsidR="00CB445B" w:rsidRPr="00CB445B">
        <w:rPr>
          <w:sz w:val="28"/>
        </w:rPr>
        <w:t>.</w:t>
      </w:r>
      <w:r w:rsidR="00CB445B">
        <w:t xml:space="preserve"> Para ele, este fato independerá de prova da intenção de fraudar</w:t>
      </w:r>
      <w:r w:rsidR="00CB445B" w:rsidRPr="00CB445B">
        <w:rPr>
          <w:sz w:val="28"/>
        </w:rPr>
        <w:t>.</w:t>
      </w:r>
      <w:r w:rsidR="00CB445B">
        <w:t xml:space="preserve"> O autor defende uma presunção de má-fé durante uma demanda capaz de reduzir o devedor à insolvência</w:t>
      </w:r>
      <w:r w:rsidR="00CB445B" w:rsidRPr="00CB445B">
        <w:rPr>
          <w:sz w:val="28"/>
        </w:rPr>
        <w:t>,</w:t>
      </w:r>
      <w:r w:rsidR="00CB445B">
        <w:t xml:space="preserve"> após o momento da citação válida</w:t>
      </w:r>
      <w:r w:rsidR="00CB445B" w:rsidRPr="00CB445B">
        <w:rPr>
          <w:sz w:val="28"/>
        </w:rPr>
        <w:t>.</w:t>
      </w:r>
    </w:p>
    <w:p w:rsidR="00D77852" w:rsidRDefault="00076A0B" w:rsidP="00D77852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076A0B">
        <w:t>O inciso II</w:t>
      </w:r>
      <w:r w:rsidRPr="00076A0B">
        <w:rPr>
          <w:sz w:val="28"/>
        </w:rPr>
        <w:t>,</w:t>
      </w:r>
      <w:r w:rsidRPr="00076A0B">
        <w:t xml:space="preserve"> traz a hipótese</w:t>
      </w:r>
      <w:r>
        <w:t xml:space="preserve"> mais </w:t>
      </w:r>
      <w:r w:rsidR="00D77852">
        <w:t>abrangente</w:t>
      </w:r>
      <w:r>
        <w:t xml:space="preserve"> de fraude a execução</w:t>
      </w:r>
      <w:r w:rsidRPr="00EA5966">
        <w:t>.</w:t>
      </w:r>
      <w:r w:rsidR="00D77852">
        <w:t xml:space="preserve"> “O reconhecimento da fraude à execução terá caráter declaratório</w:t>
      </w:r>
      <w:r w:rsidR="00D77852" w:rsidRPr="00EA5966">
        <w:rPr>
          <w:sz w:val="28"/>
        </w:rPr>
        <w:t>,</w:t>
      </w:r>
      <w:r w:rsidR="00D77852">
        <w:t xml:space="preserve"> com eficácia </w:t>
      </w:r>
      <w:proofErr w:type="spellStart"/>
      <w:r w:rsidR="00D77852">
        <w:rPr>
          <w:i/>
        </w:rPr>
        <w:t>ex</w:t>
      </w:r>
      <w:proofErr w:type="spellEnd"/>
      <w:r w:rsidR="00D77852">
        <w:rPr>
          <w:i/>
        </w:rPr>
        <w:t xml:space="preserve"> </w:t>
      </w:r>
      <w:proofErr w:type="spellStart"/>
      <w:r w:rsidR="00D77852" w:rsidRPr="00D77852">
        <w:t>tunc</w:t>
      </w:r>
      <w:proofErr w:type="spellEnd"/>
      <w:r w:rsidR="00D77852">
        <w:t xml:space="preserve"> (desde o momento em que a fraude ocorreu)” (NEVES, 2010, p. 821)</w:t>
      </w:r>
      <w:r w:rsidR="00D77852" w:rsidRPr="00EA5966">
        <w:rPr>
          <w:sz w:val="28"/>
        </w:rPr>
        <w:t>.</w:t>
      </w:r>
    </w:p>
    <w:p w:rsidR="00667A9F" w:rsidRDefault="00AC0C92" w:rsidP="00D77852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D77852">
        <w:t>Além</w:t>
      </w:r>
      <w:r w:rsidRPr="00076A0B">
        <w:t xml:space="preserve"> da ciência do terceiro adquirente</w:t>
      </w:r>
      <w:r w:rsidRPr="00076A0B">
        <w:rPr>
          <w:sz w:val="28"/>
        </w:rPr>
        <w:t>,</w:t>
      </w:r>
      <w:r w:rsidRPr="00076A0B">
        <w:t xml:space="preserve"> é imprescind</w:t>
      </w:r>
      <w:r w:rsidR="002D53AD" w:rsidRPr="00076A0B">
        <w:t>ível</w:t>
      </w:r>
      <w:r w:rsidRPr="00076A0B">
        <w:rPr>
          <w:sz w:val="28"/>
        </w:rPr>
        <w:t>,</w:t>
      </w:r>
      <w:r w:rsidRPr="00076A0B">
        <w:t xml:space="preserve"> para a configuração da fraude à execução</w:t>
      </w:r>
      <w:r w:rsidR="00D77852">
        <w:rPr>
          <w:sz w:val="28"/>
        </w:rPr>
        <w:t xml:space="preserve">, </w:t>
      </w:r>
      <w:r w:rsidR="00D77852">
        <w:t>a obediência a determinados requisitos</w:t>
      </w:r>
      <w:r w:rsidR="00D77852" w:rsidRPr="00EA5966">
        <w:t>.</w:t>
      </w:r>
      <w:r w:rsidR="00D77852">
        <w:t xml:space="preserve"> Tendo em vista a afetação da atividade jurisdicional</w:t>
      </w:r>
      <w:r w:rsidR="00D77852" w:rsidRPr="00EA5966">
        <w:rPr>
          <w:sz w:val="28"/>
        </w:rPr>
        <w:t>,</w:t>
      </w:r>
      <w:r w:rsidR="00D77852">
        <w:t xml:space="preserve"> é imprescindível que o devedor saiba que </w:t>
      </w:r>
      <w:r w:rsidR="00D77852">
        <w:lastRenderedPageBreak/>
        <w:t>contra ele corre uma ação judicial</w:t>
      </w:r>
      <w:r w:rsidR="00D77852" w:rsidRPr="00EA5966">
        <w:rPr>
          <w:sz w:val="28"/>
        </w:rPr>
        <w:t>.</w:t>
      </w:r>
      <w:r w:rsidR="00D77852">
        <w:t xml:space="preserve"> Dessa forma a fraude somente poderá se concretizar após a citação do devedor</w:t>
      </w:r>
      <w:r w:rsidR="00D77852" w:rsidRPr="00EA5966">
        <w:rPr>
          <w:sz w:val="28"/>
        </w:rPr>
        <w:t>,</w:t>
      </w:r>
      <w:r w:rsidR="00D77852">
        <w:t xml:space="preserve"> visto que através dela ele toma ciência da atividade executiva.</w:t>
      </w:r>
      <w:r w:rsidR="00021DD5">
        <w:t xml:space="preserve"> Afirma Didier (2013, p. 317) que “não há fraude na iminência de processo</w:t>
      </w:r>
      <w:r w:rsidR="00021DD5" w:rsidRPr="00EA5966">
        <w:rPr>
          <w:sz w:val="28"/>
        </w:rPr>
        <w:t>,</w:t>
      </w:r>
      <w:r w:rsidR="00021DD5">
        <w:t xml:space="preserve"> só na sua pendência”.</w:t>
      </w:r>
      <w:r w:rsidR="00BB4DB5">
        <w:t xml:space="preserve"> Portanto</w:t>
      </w:r>
      <w:r w:rsidR="00BB4DB5" w:rsidRPr="00EA5966">
        <w:rPr>
          <w:sz w:val="28"/>
        </w:rPr>
        <w:t>,</w:t>
      </w:r>
      <w:r w:rsidR="00BB4DB5">
        <w:t xml:space="preserve"> a litispendência é um requisito, concretizado pela citação válida</w:t>
      </w:r>
      <w:r w:rsidR="00BB4DB5" w:rsidRPr="00EA5966">
        <w:rPr>
          <w:sz w:val="28"/>
        </w:rPr>
        <w:t>.</w:t>
      </w:r>
    </w:p>
    <w:p w:rsidR="00BB4DB5" w:rsidRDefault="00BB4DB5" w:rsidP="00D77852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>
        <w:t xml:space="preserve">Outro requisito é a demonstração </w:t>
      </w:r>
      <w:proofErr w:type="gramStart"/>
      <w:r>
        <w:t xml:space="preserve">do </w:t>
      </w:r>
      <w:r>
        <w:rPr>
          <w:i/>
        </w:rPr>
        <w:t>eventos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damni</w:t>
      </w:r>
      <w:proofErr w:type="spellEnd"/>
      <w:r w:rsidRPr="00EA5966">
        <w:rPr>
          <w:sz w:val="28"/>
        </w:rPr>
        <w:t>,</w:t>
      </w:r>
      <w:r>
        <w:t xml:space="preserve"> a insolvência do devedor decorrente da alienação. Theodoro Jr (2011, p</w:t>
      </w:r>
      <w:r w:rsidRPr="00EA5966">
        <w:rPr>
          <w:sz w:val="28"/>
        </w:rPr>
        <w:t>.</w:t>
      </w:r>
      <w:r>
        <w:t xml:space="preserve"> 195) afirma que “esta decorrerá normalmente da inexistência de outros bens penhoráveis ou da insuficiência dos encontrados”</w:t>
      </w:r>
      <w:r w:rsidR="00BB6A4F">
        <w:rPr>
          <w:sz w:val="28"/>
        </w:rPr>
        <w:t xml:space="preserve">. </w:t>
      </w:r>
      <w:proofErr w:type="spellStart"/>
      <w:r w:rsidR="00BB6A4F">
        <w:t>Araken</w:t>
      </w:r>
      <w:proofErr w:type="spellEnd"/>
      <w:r w:rsidR="00BB6A4F">
        <w:t xml:space="preserve"> de Assis (2012, p. 305)</w:t>
      </w:r>
      <w:r w:rsidR="00A66FD9">
        <w:t>, assim como Didier (2013, p. 319),</w:t>
      </w:r>
      <w:r w:rsidR="00BB6A4F">
        <w:t xml:space="preserve"> </w:t>
      </w:r>
      <w:r w:rsidR="00A27788">
        <w:t>disserta, de forma clara,</w:t>
      </w:r>
      <w:r w:rsidR="00A66FD9">
        <w:t xml:space="preserve"> quanto ao meio de provar a insolvência,</w:t>
      </w:r>
      <w:r w:rsidR="00BB6A4F">
        <w:t xml:space="preserve"> que:</w:t>
      </w:r>
    </w:p>
    <w:p w:rsidR="009A37A2" w:rsidRDefault="00BB6A4F" w:rsidP="002B414A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A66FD9">
        <w:rPr>
          <w:sz w:val="20"/>
          <w:szCs w:val="20"/>
        </w:rPr>
        <w:t xml:space="preserve">A cognição judicial, no exame do elemento insolvência para fins de fraude contra o processo executivo, se torna sumária, portanto, e é realizada no próprio processo em que a denuncia do credor se materializa. Exigir que o credor </w:t>
      </w:r>
      <w:proofErr w:type="gramStart"/>
      <w:r w:rsidRPr="00A66FD9">
        <w:rPr>
          <w:sz w:val="20"/>
          <w:szCs w:val="20"/>
        </w:rPr>
        <w:t>prove</w:t>
      </w:r>
      <w:proofErr w:type="gramEnd"/>
      <w:r w:rsidRPr="00A66FD9">
        <w:rPr>
          <w:sz w:val="20"/>
          <w:szCs w:val="20"/>
        </w:rPr>
        <w:t xml:space="preserve"> a inexistência de bens penhoráveis constitui exagero flagrante</w:t>
      </w:r>
      <w:r w:rsidR="00A27788" w:rsidRPr="00A66FD9">
        <w:rPr>
          <w:sz w:val="20"/>
          <w:szCs w:val="20"/>
        </w:rPr>
        <w:t>, provocando as dificuldades inerentes à prova negativa, a despeito de lhe tocar o ônus da prova. Cabe invocar a presunção</w:t>
      </w:r>
      <w:r w:rsidR="00A66FD9" w:rsidRPr="00A66FD9">
        <w:rPr>
          <w:sz w:val="20"/>
          <w:szCs w:val="20"/>
        </w:rPr>
        <w:t xml:space="preserve"> de insolvência, decorrente da falta de bens livre para nomear </w:t>
      </w:r>
      <w:proofErr w:type="gramStart"/>
      <w:r w:rsidR="00A66FD9" w:rsidRPr="00A66FD9">
        <w:rPr>
          <w:sz w:val="20"/>
          <w:szCs w:val="20"/>
        </w:rPr>
        <w:t>à</w:t>
      </w:r>
      <w:proofErr w:type="gramEnd"/>
      <w:r w:rsidR="00A66FD9" w:rsidRPr="00A66FD9">
        <w:rPr>
          <w:sz w:val="20"/>
          <w:szCs w:val="20"/>
        </w:rPr>
        <w:t xml:space="preserve"> penhora (art. 750, I). </w:t>
      </w:r>
      <w:r w:rsidR="00A66FD9">
        <w:rPr>
          <w:sz w:val="20"/>
          <w:szCs w:val="20"/>
        </w:rPr>
        <w:t>E</w:t>
      </w:r>
      <w:r w:rsidR="00A66FD9" w:rsidRPr="00A66FD9">
        <w:rPr>
          <w:sz w:val="20"/>
          <w:szCs w:val="20"/>
        </w:rPr>
        <w:t>m outras palavras, basta a devolução</w:t>
      </w:r>
      <w:r w:rsidR="00A66FD9">
        <w:rPr>
          <w:sz w:val="20"/>
          <w:szCs w:val="20"/>
        </w:rPr>
        <w:t xml:space="preserve"> do mandado executivo, acompanhada da certidão do oficial de que não localizou bens penhoráveis (art. 659, §3º). Ao alegar existirem bens livres, o ônus toca ao executado (art. 652, §3º), principalmente quanto à titularidade</w:t>
      </w:r>
      <w:r w:rsidR="00EE0BF0">
        <w:rPr>
          <w:sz w:val="20"/>
          <w:szCs w:val="20"/>
        </w:rPr>
        <w:t xml:space="preserve"> de bens móveis, ou imóveis situados fora do juízo da execução (</w:t>
      </w:r>
      <w:proofErr w:type="spellStart"/>
      <w:r w:rsidR="00EE0BF0">
        <w:rPr>
          <w:sz w:val="20"/>
          <w:szCs w:val="20"/>
        </w:rPr>
        <w:t>art</w:t>
      </w:r>
      <w:proofErr w:type="spellEnd"/>
      <w:r w:rsidR="00EE0BF0">
        <w:rPr>
          <w:sz w:val="20"/>
          <w:szCs w:val="20"/>
        </w:rPr>
        <w:t xml:space="preserve"> 656, §1º).</w:t>
      </w:r>
    </w:p>
    <w:p w:rsidR="002B414A" w:rsidRPr="002B414A" w:rsidRDefault="002B414A" w:rsidP="002B414A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9A37A2" w:rsidRDefault="009A37A2" w:rsidP="009A37A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9A37A2" w:rsidRDefault="009A37A2" w:rsidP="009A37A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9A37A2">
        <w:rPr>
          <w:b/>
          <w:bCs/>
        </w:rPr>
        <w:t>CONSIDERAÇÕES FINAIS</w:t>
      </w:r>
    </w:p>
    <w:p w:rsidR="009A37A2" w:rsidRDefault="009A37A2" w:rsidP="009A37A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</w:p>
    <w:p w:rsidR="009A37A2" w:rsidRDefault="009A37A2" w:rsidP="009A37A2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Cs/>
        </w:rPr>
      </w:pPr>
      <w:r>
        <w:rPr>
          <w:bCs/>
        </w:rPr>
        <w:t>A evolução do ordenamento jurídico brasileiro evoluiu no sentido de garantir os direitos de ambas as partes numa relação jurídica</w:t>
      </w:r>
      <w:r w:rsidRPr="00506A11">
        <w:rPr>
          <w:bCs/>
          <w:sz w:val="28"/>
        </w:rPr>
        <w:t>.</w:t>
      </w:r>
      <w:r>
        <w:rPr>
          <w:bCs/>
        </w:rPr>
        <w:t xml:space="preserve"> A responsabilidade deixou de ser pessoal e passou a atingir exclusivamente o patrimônio do devedor inadimplente</w:t>
      </w:r>
      <w:r w:rsidRPr="00506A11">
        <w:rPr>
          <w:bCs/>
          <w:sz w:val="28"/>
        </w:rPr>
        <w:t>.</w:t>
      </w:r>
      <w:r>
        <w:rPr>
          <w:bCs/>
        </w:rPr>
        <w:t xml:space="preserve"> No entanto</w:t>
      </w:r>
      <w:r w:rsidRPr="00506A11">
        <w:rPr>
          <w:bCs/>
          <w:sz w:val="28"/>
        </w:rPr>
        <w:t>,</w:t>
      </w:r>
      <w:r>
        <w:rPr>
          <w:bCs/>
        </w:rPr>
        <w:t xml:space="preserve"> para garantir a satisfação do credor, foram criados institutos no sentido de elidir eventuais atos ilícitos praticados pelo devedor que visam obstar o resultado frutífero da execução</w:t>
      </w:r>
      <w:r w:rsidRPr="00506A11">
        <w:rPr>
          <w:bCs/>
          <w:sz w:val="28"/>
        </w:rPr>
        <w:t>.</w:t>
      </w:r>
      <w:r>
        <w:rPr>
          <w:bCs/>
        </w:rPr>
        <w:t xml:space="preserve"> </w:t>
      </w:r>
    </w:p>
    <w:p w:rsidR="00021E91" w:rsidRDefault="009A37A2" w:rsidP="00E114E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Cs/>
        </w:rPr>
      </w:pPr>
      <w:r>
        <w:rPr>
          <w:bCs/>
        </w:rPr>
        <w:t>Nos casos de alienação de bens penhorados</w:t>
      </w:r>
      <w:r w:rsidRPr="00506A11">
        <w:rPr>
          <w:bCs/>
          <w:sz w:val="28"/>
        </w:rPr>
        <w:t>,</w:t>
      </w:r>
      <w:r>
        <w:rPr>
          <w:bCs/>
        </w:rPr>
        <w:t xml:space="preserve"> o instituto da fraude à execução</w:t>
      </w:r>
      <w:r w:rsidRPr="00506A11">
        <w:rPr>
          <w:bCs/>
          <w:sz w:val="28"/>
        </w:rPr>
        <w:t>,</w:t>
      </w:r>
      <w:r>
        <w:rPr>
          <w:bCs/>
        </w:rPr>
        <w:t xml:space="preserve"> visa garantir a ineficácia dos atos de disposição fraudulenta dos bens do devedor</w:t>
      </w:r>
      <w:r w:rsidRPr="00E114EA">
        <w:rPr>
          <w:bCs/>
          <w:sz w:val="28"/>
        </w:rPr>
        <w:t>,</w:t>
      </w:r>
      <w:r>
        <w:rPr>
          <w:bCs/>
        </w:rPr>
        <w:t xml:space="preserve"> garantindo ao sujeito ativo a penhora dos bens mesmo em mãos de terceiro.</w:t>
      </w:r>
    </w:p>
    <w:p w:rsidR="00E114EA" w:rsidRDefault="00E114EA" w:rsidP="00E114E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Cs/>
        </w:rPr>
      </w:pPr>
    </w:p>
    <w:p w:rsidR="00F27124" w:rsidRPr="00E114EA" w:rsidRDefault="00F27124" w:rsidP="00E114E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Cs/>
        </w:rPr>
      </w:pPr>
    </w:p>
    <w:p w:rsidR="008E29A9" w:rsidRDefault="008E29A9" w:rsidP="008E29A9">
      <w:pPr>
        <w:tabs>
          <w:tab w:val="left" w:pos="69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8E29A9" w:rsidRDefault="008E29A9" w:rsidP="008E29A9">
      <w:pPr>
        <w:tabs>
          <w:tab w:val="left" w:pos="69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9A9" w:rsidRDefault="008E29A9" w:rsidP="008E29A9">
      <w:pPr>
        <w:tabs>
          <w:tab w:val="left" w:pos="69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5E">
        <w:rPr>
          <w:rFonts w:ascii="Times New Roman" w:hAnsi="Times New Roman" w:cs="Times New Roman"/>
          <w:sz w:val="24"/>
          <w:szCs w:val="24"/>
        </w:rPr>
        <w:t xml:space="preserve">ABELHA, Marcelo. </w:t>
      </w:r>
      <w:r>
        <w:rPr>
          <w:rFonts w:ascii="Times New Roman" w:hAnsi="Times New Roman" w:cs="Times New Roman"/>
          <w:b/>
          <w:sz w:val="24"/>
          <w:szCs w:val="24"/>
        </w:rPr>
        <w:t>Manual de Execução Civil</w:t>
      </w:r>
      <w:r>
        <w:rPr>
          <w:rFonts w:ascii="Times New Roman" w:hAnsi="Times New Roman" w:cs="Times New Roman"/>
          <w:sz w:val="24"/>
          <w:szCs w:val="24"/>
        </w:rPr>
        <w:t xml:space="preserve">. 4.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Rio de Janeiro: Forense, 2009;</w:t>
      </w: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9A9" w:rsidRPr="006140F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ASSIS, </w:t>
      </w:r>
      <w:proofErr w:type="spellStart"/>
      <w:r>
        <w:rPr>
          <w:rFonts w:ascii="Times New Roman" w:hAnsi="Times New Roman" w:cs="Times New Roman"/>
          <w:sz w:val="24"/>
          <w:szCs w:val="24"/>
        </w:rPr>
        <w:t>Araken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Manual da Execução</w:t>
      </w:r>
      <w:r>
        <w:rPr>
          <w:rFonts w:ascii="Times New Roman" w:hAnsi="Times New Roman" w:cs="Times New Roman"/>
          <w:sz w:val="24"/>
          <w:szCs w:val="24"/>
        </w:rPr>
        <w:t xml:space="preserve">. 15.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</w:t>
      </w:r>
      <w:r w:rsidR="00FC7CC3">
        <w:rPr>
          <w:rFonts w:ascii="Times New Roman" w:hAnsi="Times New Roman" w:cs="Times New Roman"/>
          <w:sz w:val="24"/>
          <w:szCs w:val="24"/>
        </w:rPr>
        <w:t>ulo: Editora dos Tribunais, 2012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29A9" w:rsidRPr="00C7725E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A9" w:rsidRPr="002D23EC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80">
        <w:rPr>
          <w:rFonts w:ascii="Times New Roman" w:hAnsi="Times New Roman" w:cs="Times New Roman"/>
          <w:sz w:val="24"/>
          <w:szCs w:val="24"/>
          <w:lang w:val="en-US"/>
        </w:rPr>
        <w:t xml:space="preserve">DIDDIER JR, </w:t>
      </w:r>
      <w:proofErr w:type="spellStart"/>
      <w:r w:rsidRPr="004B0180">
        <w:rPr>
          <w:rFonts w:ascii="Times New Roman" w:hAnsi="Times New Roman" w:cs="Times New Roman"/>
          <w:sz w:val="24"/>
          <w:szCs w:val="24"/>
          <w:lang w:val="en-US"/>
        </w:rPr>
        <w:t>Fredie</w:t>
      </w:r>
      <w:proofErr w:type="spellEnd"/>
      <w:r w:rsidRPr="004B0180"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r w:rsidRPr="002D23EC">
        <w:rPr>
          <w:rFonts w:ascii="Times New Roman" w:hAnsi="Times New Roman" w:cs="Times New Roman"/>
          <w:b/>
          <w:sz w:val="24"/>
          <w:szCs w:val="24"/>
        </w:rPr>
        <w:t>Curso de Direito Processual Civil</w:t>
      </w:r>
      <w:r w:rsidRPr="002D23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v. 5. Salvador: Jus </w:t>
      </w:r>
      <w:proofErr w:type="spellStart"/>
      <w:r>
        <w:rPr>
          <w:rFonts w:ascii="Times New Roman" w:hAnsi="Times New Roman" w:cs="Times New Roman"/>
          <w:sz w:val="24"/>
          <w:szCs w:val="24"/>
        </w:rPr>
        <w:t>Podium</w:t>
      </w:r>
      <w:proofErr w:type="spellEnd"/>
      <w:r>
        <w:rPr>
          <w:rFonts w:ascii="Times New Roman" w:hAnsi="Times New Roman" w:cs="Times New Roman"/>
          <w:sz w:val="24"/>
          <w:szCs w:val="24"/>
        </w:rPr>
        <w:t>, 2013;</w:t>
      </w:r>
    </w:p>
    <w:p w:rsidR="008E29A9" w:rsidRPr="002D23EC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DONIZETTI, </w:t>
      </w:r>
      <w:proofErr w:type="spellStart"/>
      <w:r>
        <w:rPr>
          <w:rFonts w:ascii="Times New Roman" w:hAnsi="Times New Roman" w:cs="Times New Roman"/>
          <w:sz w:val="24"/>
          <w:szCs w:val="24"/>
        </w:rPr>
        <w:t>Elpídio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Curso Didático de Direito Processual Civil</w:t>
      </w:r>
      <w:r>
        <w:rPr>
          <w:rFonts w:ascii="Times New Roman" w:hAnsi="Times New Roman" w:cs="Times New Roman"/>
          <w:sz w:val="24"/>
          <w:szCs w:val="24"/>
        </w:rPr>
        <w:t xml:space="preserve">. 15.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Atlas, 2011;</w:t>
      </w: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MARINONI, Luiz Guilherme; ARENHART, Sérgio Cruz. </w:t>
      </w:r>
      <w:r>
        <w:rPr>
          <w:rFonts w:ascii="Times New Roman" w:hAnsi="Times New Roman" w:cs="Times New Roman"/>
          <w:b/>
          <w:sz w:val="24"/>
          <w:szCs w:val="24"/>
        </w:rPr>
        <w:t>Curso de Processo Civil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São Paulo: RT, 2007;</w:t>
      </w: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NEVES, Daniel Amorim Assumpção. </w:t>
      </w:r>
      <w:r>
        <w:rPr>
          <w:rFonts w:ascii="Times New Roman" w:hAnsi="Times New Roman" w:cs="Times New Roman"/>
          <w:b/>
          <w:sz w:val="24"/>
          <w:szCs w:val="24"/>
        </w:rPr>
        <w:t>Manual de Direito Processual Civil</w:t>
      </w:r>
      <w:r>
        <w:rPr>
          <w:rFonts w:ascii="Times New Roman" w:hAnsi="Times New Roman" w:cs="Times New Roman"/>
          <w:sz w:val="24"/>
          <w:szCs w:val="24"/>
        </w:rPr>
        <w:t xml:space="preserve">. 2.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Método, 2010;</w:t>
      </w: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Ernane Fidélis dos. </w:t>
      </w:r>
      <w:r>
        <w:rPr>
          <w:rFonts w:ascii="Times New Roman" w:hAnsi="Times New Roman" w:cs="Times New Roman"/>
          <w:b/>
          <w:sz w:val="24"/>
          <w:szCs w:val="24"/>
        </w:rPr>
        <w:t>Manual de Direito Processual Civil</w:t>
      </w:r>
      <w:r>
        <w:rPr>
          <w:rFonts w:ascii="Times New Roman" w:hAnsi="Times New Roman" w:cs="Times New Roman"/>
          <w:sz w:val="24"/>
          <w:szCs w:val="24"/>
        </w:rPr>
        <w:t xml:space="preserve">: Execução e Processo Cautelar. 12.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v. 2. 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2009;</w:t>
      </w: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THEODORO JÚNIOR, Humberto. </w:t>
      </w:r>
      <w:r>
        <w:rPr>
          <w:rFonts w:ascii="Times New Roman" w:hAnsi="Times New Roman" w:cs="Times New Roman"/>
          <w:b/>
          <w:sz w:val="24"/>
          <w:szCs w:val="24"/>
        </w:rPr>
        <w:t>Curso de Direito Processual Civil</w:t>
      </w:r>
      <w:r>
        <w:rPr>
          <w:rFonts w:ascii="Times New Roman" w:hAnsi="Times New Roman" w:cs="Times New Roman"/>
          <w:sz w:val="24"/>
          <w:szCs w:val="24"/>
        </w:rPr>
        <w:t xml:space="preserve">: Processo de Execução e Cumprimento da Sentença. 46.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v. 2. Rio de Janeiro: Forense, 2011;</w:t>
      </w: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A9" w:rsidRDefault="008E29A9" w:rsidP="008E29A9">
      <w:pPr>
        <w:tabs>
          <w:tab w:val="left" w:pos="69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THEODORO JUNIOR, Humberto. </w:t>
      </w:r>
      <w:r>
        <w:rPr>
          <w:rFonts w:ascii="Times New Roman" w:hAnsi="Times New Roman" w:cs="Times New Roman"/>
          <w:b/>
          <w:sz w:val="24"/>
          <w:szCs w:val="24"/>
        </w:rPr>
        <w:t>Processo de Execução e Cumprimento de Sentença</w:t>
      </w:r>
      <w:r>
        <w:rPr>
          <w:rFonts w:ascii="Times New Roman" w:hAnsi="Times New Roman" w:cs="Times New Roman"/>
          <w:sz w:val="24"/>
          <w:szCs w:val="24"/>
        </w:rPr>
        <w:t xml:space="preserve">. 26.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Leud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</w:t>
      </w:r>
    </w:p>
    <w:p w:rsidR="008E29A9" w:rsidRDefault="008E29A9" w:rsidP="008E2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9A9" w:rsidRPr="008E29A9" w:rsidRDefault="008E29A9" w:rsidP="008E2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3817" w:rsidRPr="004D3817" w:rsidRDefault="004D3817" w:rsidP="008E29A9">
      <w:pPr>
        <w:spacing w:after="0" w:line="360" w:lineRule="auto"/>
        <w:ind w:left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464" w:rsidRDefault="00FC2464"/>
    <w:sectPr w:rsidR="00FC2464" w:rsidSect="007D2AEF">
      <w:head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E9" w:rsidRDefault="005965E9" w:rsidP="00A52ACD">
      <w:pPr>
        <w:spacing w:after="0" w:line="240" w:lineRule="auto"/>
      </w:pPr>
      <w:r>
        <w:separator/>
      </w:r>
    </w:p>
  </w:endnote>
  <w:endnote w:type="continuationSeparator" w:id="0">
    <w:p w:rsidR="005965E9" w:rsidRDefault="005965E9" w:rsidP="00A5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160" w:rsidRDefault="00EB4160" w:rsidP="00C13F06">
    <w:pPr>
      <w:pStyle w:val="Textodenotaderodap"/>
      <w:pBdr>
        <w:bottom w:val="single" w:sz="12" w:space="1" w:color="auto"/>
      </w:pBdr>
      <w:rPr>
        <w:rFonts w:ascii="Times New Roman" w:hAnsi="Times New Roman" w:cs="Times New Roman"/>
      </w:rPr>
    </w:pPr>
  </w:p>
  <w:p w:rsidR="00EB4160" w:rsidRDefault="00EB4160" w:rsidP="00C13F06">
    <w:pPr>
      <w:pStyle w:val="Textodenotaderodap"/>
      <w:rPr>
        <w:rFonts w:ascii="Times New Roman" w:hAnsi="Times New Roman" w:cs="Times New Roman"/>
      </w:rPr>
    </w:pPr>
  </w:p>
  <w:p w:rsidR="00EB4160" w:rsidRPr="0054475D" w:rsidRDefault="00EB4160" w:rsidP="00C13F06">
    <w:pPr>
      <w:pStyle w:val="Textodenotade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1 - </w:t>
    </w:r>
    <w:proofErr w:type="spellStart"/>
    <w:r w:rsidRPr="0054475D">
      <w:rPr>
        <w:rFonts w:ascii="Times New Roman" w:hAnsi="Times New Roman" w:cs="Times New Roman"/>
        <w:i/>
      </w:rPr>
      <w:t>Paper</w:t>
    </w:r>
    <w:proofErr w:type="spellEnd"/>
    <w:r w:rsidRPr="0054475D">
      <w:rPr>
        <w:rFonts w:ascii="Times New Roman" w:hAnsi="Times New Roman" w:cs="Times New Roman"/>
        <w:i/>
      </w:rPr>
      <w:t xml:space="preserve"> </w:t>
    </w:r>
    <w:r w:rsidRPr="0054475D">
      <w:rPr>
        <w:rFonts w:ascii="Times New Roman" w:hAnsi="Times New Roman" w:cs="Times New Roman"/>
      </w:rPr>
      <w:t>apresentado à disc</w:t>
    </w:r>
    <w:r>
      <w:rPr>
        <w:rFonts w:ascii="Times New Roman" w:hAnsi="Times New Roman" w:cs="Times New Roman"/>
      </w:rPr>
      <w:t>iplina Execução</w:t>
    </w:r>
    <w:r w:rsidRPr="0054475D">
      <w:rPr>
        <w:rFonts w:ascii="Times New Roman" w:hAnsi="Times New Roman" w:cs="Times New Roman"/>
      </w:rPr>
      <w:t>, da Unidade de Ensino Superior Dom Bosco – UNDB;</w:t>
    </w:r>
  </w:p>
  <w:p w:rsidR="00EB4160" w:rsidRPr="0054475D" w:rsidRDefault="00EB4160" w:rsidP="00C13F06">
    <w:pPr>
      <w:pStyle w:val="Textodenotade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2 - Alunos do 7</w:t>
    </w:r>
    <w:r w:rsidRPr="0054475D">
      <w:rPr>
        <w:rFonts w:ascii="Times New Roman" w:hAnsi="Times New Roman" w:cs="Times New Roman"/>
      </w:rPr>
      <w:t>º período de Direito Noturno da UNDB;</w:t>
    </w:r>
  </w:p>
  <w:p w:rsidR="00EB4160" w:rsidRDefault="00EB4160" w:rsidP="00C13F06">
    <w:pPr>
      <w:pStyle w:val="Textodenotaderodap"/>
    </w:pPr>
    <w:r>
      <w:rPr>
        <w:rFonts w:ascii="Times New Roman" w:hAnsi="Times New Roman" w:cs="Times New Roman"/>
      </w:rPr>
      <w:t>3 - Professor, Orientador</w:t>
    </w:r>
    <w:r w:rsidRPr="0054475D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E9" w:rsidRDefault="005965E9" w:rsidP="00A52ACD">
      <w:pPr>
        <w:spacing w:after="0" w:line="240" w:lineRule="auto"/>
      </w:pPr>
      <w:r>
        <w:separator/>
      </w:r>
    </w:p>
  </w:footnote>
  <w:footnote w:type="continuationSeparator" w:id="0">
    <w:p w:rsidR="005965E9" w:rsidRDefault="005965E9" w:rsidP="00A5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499564"/>
      <w:docPartObj>
        <w:docPartGallery w:val="Page Numbers (Top of Page)"/>
        <w:docPartUnique/>
      </w:docPartObj>
    </w:sdtPr>
    <w:sdtEndPr/>
    <w:sdtContent>
      <w:p w:rsidR="00EB4160" w:rsidRDefault="00EB416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A15">
          <w:rPr>
            <w:noProof/>
          </w:rPr>
          <w:t>12</w:t>
        </w:r>
        <w:r>
          <w:fldChar w:fldCharType="end"/>
        </w:r>
      </w:p>
    </w:sdtContent>
  </w:sdt>
  <w:p w:rsidR="00EB4160" w:rsidRDefault="00EB41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B705E"/>
    <w:multiLevelType w:val="multilevel"/>
    <w:tmpl w:val="DBF62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17"/>
    <w:rsid w:val="00001955"/>
    <w:rsid w:val="00005E05"/>
    <w:rsid w:val="000135E9"/>
    <w:rsid w:val="00017458"/>
    <w:rsid w:val="00021DD5"/>
    <w:rsid w:val="00021E91"/>
    <w:rsid w:val="00065181"/>
    <w:rsid w:val="00076A0B"/>
    <w:rsid w:val="00080C5C"/>
    <w:rsid w:val="000850AB"/>
    <w:rsid w:val="00095CAF"/>
    <w:rsid w:val="000E6E8E"/>
    <w:rsid w:val="000F507B"/>
    <w:rsid w:val="001220FD"/>
    <w:rsid w:val="00131625"/>
    <w:rsid w:val="00145ADC"/>
    <w:rsid w:val="00154C90"/>
    <w:rsid w:val="001563DA"/>
    <w:rsid w:val="001C6D9B"/>
    <w:rsid w:val="001C7368"/>
    <w:rsid w:val="001F29B5"/>
    <w:rsid w:val="001F686F"/>
    <w:rsid w:val="00200515"/>
    <w:rsid w:val="0020254E"/>
    <w:rsid w:val="0024410D"/>
    <w:rsid w:val="00283396"/>
    <w:rsid w:val="00283DF2"/>
    <w:rsid w:val="002B414A"/>
    <w:rsid w:val="002D53AD"/>
    <w:rsid w:val="002E09B7"/>
    <w:rsid w:val="003134BC"/>
    <w:rsid w:val="00330978"/>
    <w:rsid w:val="003B4042"/>
    <w:rsid w:val="003C758B"/>
    <w:rsid w:val="003E1323"/>
    <w:rsid w:val="003E57C4"/>
    <w:rsid w:val="0044368C"/>
    <w:rsid w:val="004715F0"/>
    <w:rsid w:val="00472A15"/>
    <w:rsid w:val="004A2158"/>
    <w:rsid w:val="004B1469"/>
    <w:rsid w:val="004C4D5E"/>
    <w:rsid w:val="004C54F7"/>
    <w:rsid w:val="004D3669"/>
    <w:rsid w:val="004D3817"/>
    <w:rsid w:val="0050617F"/>
    <w:rsid w:val="00506A11"/>
    <w:rsid w:val="0053070B"/>
    <w:rsid w:val="0054154F"/>
    <w:rsid w:val="00543510"/>
    <w:rsid w:val="00566947"/>
    <w:rsid w:val="00582160"/>
    <w:rsid w:val="005965E9"/>
    <w:rsid w:val="005E72B0"/>
    <w:rsid w:val="005F5856"/>
    <w:rsid w:val="00631F04"/>
    <w:rsid w:val="00645119"/>
    <w:rsid w:val="00646F1D"/>
    <w:rsid w:val="006565A3"/>
    <w:rsid w:val="00667671"/>
    <w:rsid w:val="00667A9F"/>
    <w:rsid w:val="00676913"/>
    <w:rsid w:val="006A1E34"/>
    <w:rsid w:val="006B0962"/>
    <w:rsid w:val="006C38C6"/>
    <w:rsid w:val="00701729"/>
    <w:rsid w:val="00701EA2"/>
    <w:rsid w:val="00705D62"/>
    <w:rsid w:val="00731FC4"/>
    <w:rsid w:val="00736E1D"/>
    <w:rsid w:val="007530AD"/>
    <w:rsid w:val="00757300"/>
    <w:rsid w:val="00797A95"/>
    <w:rsid w:val="007A20F7"/>
    <w:rsid w:val="007A558B"/>
    <w:rsid w:val="007D2AEF"/>
    <w:rsid w:val="008154B4"/>
    <w:rsid w:val="00822AAB"/>
    <w:rsid w:val="00862339"/>
    <w:rsid w:val="00881B0F"/>
    <w:rsid w:val="008B50B6"/>
    <w:rsid w:val="008C00FD"/>
    <w:rsid w:val="008D1876"/>
    <w:rsid w:val="008E29A9"/>
    <w:rsid w:val="0090571A"/>
    <w:rsid w:val="00937C5C"/>
    <w:rsid w:val="009851C2"/>
    <w:rsid w:val="009928E9"/>
    <w:rsid w:val="009A37A2"/>
    <w:rsid w:val="009E1900"/>
    <w:rsid w:val="00A06302"/>
    <w:rsid w:val="00A24E07"/>
    <w:rsid w:val="00A27788"/>
    <w:rsid w:val="00A340A3"/>
    <w:rsid w:val="00A52ACD"/>
    <w:rsid w:val="00A633F7"/>
    <w:rsid w:val="00A66FD9"/>
    <w:rsid w:val="00A7101F"/>
    <w:rsid w:val="00A73FE2"/>
    <w:rsid w:val="00A76A8B"/>
    <w:rsid w:val="00A838B5"/>
    <w:rsid w:val="00AC0C92"/>
    <w:rsid w:val="00AF2239"/>
    <w:rsid w:val="00B2102B"/>
    <w:rsid w:val="00B22A69"/>
    <w:rsid w:val="00B2476F"/>
    <w:rsid w:val="00B75AC9"/>
    <w:rsid w:val="00B86EED"/>
    <w:rsid w:val="00B93B3C"/>
    <w:rsid w:val="00BB4DB5"/>
    <w:rsid w:val="00BB6A4F"/>
    <w:rsid w:val="00BC4486"/>
    <w:rsid w:val="00C13F06"/>
    <w:rsid w:val="00C464DF"/>
    <w:rsid w:val="00C55E95"/>
    <w:rsid w:val="00CB445B"/>
    <w:rsid w:val="00D25EE8"/>
    <w:rsid w:val="00D32F17"/>
    <w:rsid w:val="00D4207D"/>
    <w:rsid w:val="00D6514B"/>
    <w:rsid w:val="00D6671A"/>
    <w:rsid w:val="00D66FCD"/>
    <w:rsid w:val="00D77852"/>
    <w:rsid w:val="00DA06CF"/>
    <w:rsid w:val="00DA3EEE"/>
    <w:rsid w:val="00DB53CB"/>
    <w:rsid w:val="00DC4A2D"/>
    <w:rsid w:val="00DD4A35"/>
    <w:rsid w:val="00E114EA"/>
    <w:rsid w:val="00E13F43"/>
    <w:rsid w:val="00E465C2"/>
    <w:rsid w:val="00E83962"/>
    <w:rsid w:val="00EA5966"/>
    <w:rsid w:val="00EA674F"/>
    <w:rsid w:val="00EB4160"/>
    <w:rsid w:val="00EE0BF0"/>
    <w:rsid w:val="00EE555C"/>
    <w:rsid w:val="00EE6075"/>
    <w:rsid w:val="00EE62AA"/>
    <w:rsid w:val="00F27124"/>
    <w:rsid w:val="00F475A2"/>
    <w:rsid w:val="00F66E08"/>
    <w:rsid w:val="00F839CE"/>
    <w:rsid w:val="00F95CE5"/>
    <w:rsid w:val="00FC2464"/>
    <w:rsid w:val="00FC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A52A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52A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2AC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D2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2AEF"/>
  </w:style>
  <w:style w:type="paragraph" w:styleId="Rodap">
    <w:name w:val="footer"/>
    <w:basedOn w:val="Normal"/>
    <w:link w:val="RodapChar"/>
    <w:uiPriority w:val="99"/>
    <w:unhideWhenUsed/>
    <w:rsid w:val="007D2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2AEF"/>
  </w:style>
  <w:style w:type="paragraph" w:styleId="Textodebalo">
    <w:name w:val="Balloon Text"/>
    <w:basedOn w:val="Normal"/>
    <w:link w:val="TextodebaloChar"/>
    <w:uiPriority w:val="99"/>
    <w:semiHidden/>
    <w:unhideWhenUsed/>
    <w:rsid w:val="007D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A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172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75AC9"/>
  </w:style>
  <w:style w:type="paragraph" w:styleId="Pr-formataoHTML">
    <w:name w:val="HTML Preformatted"/>
    <w:basedOn w:val="Normal"/>
    <w:link w:val="Pr-formataoHTMLChar"/>
    <w:uiPriority w:val="99"/>
    <w:unhideWhenUsed/>
    <w:rsid w:val="00822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22AA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8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A52A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52A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2AC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D2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2AEF"/>
  </w:style>
  <w:style w:type="paragraph" w:styleId="Rodap">
    <w:name w:val="footer"/>
    <w:basedOn w:val="Normal"/>
    <w:link w:val="RodapChar"/>
    <w:uiPriority w:val="99"/>
    <w:unhideWhenUsed/>
    <w:rsid w:val="007D2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2AEF"/>
  </w:style>
  <w:style w:type="paragraph" w:styleId="Textodebalo">
    <w:name w:val="Balloon Text"/>
    <w:basedOn w:val="Normal"/>
    <w:link w:val="TextodebaloChar"/>
    <w:uiPriority w:val="99"/>
    <w:semiHidden/>
    <w:unhideWhenUsed/>
    <w:rsid w:val="007D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A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172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75AC9"/>
  </w:style>
  <w:style w:type="paragraph" w:styleId="Pr-formataoHTML">
    <w:name w:val="HTML Preformatted"/>
    <w:basedOn w:val="Normal"/>
    <w:link w:val="Pr-formataoHTMLChar"/>
    <w:uiPriority w:val="99"/>
    <w:unhideWhenUsed/>
    <w:rsid w:val="00822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22AA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8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3813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Braga Diniz Neto</dc:creator>
  <cp:lastModifiedBy>Carlos Alberto Braga Diniz Neto</cp:lastModifiedBy>
  <cp:revision>2</cp:revision>
  <cp:lastPrinted>2013-05-24T16:26:00Z</cp:lastPrinted>
  <dcterms:created xsi:type="dcterms:W3CDTF">2013-08-06T17:32:00Z</dcterms:created>
  <dcterms:modified xsi:type="dcterms:W3CDTF">2013-08-06T17:32:00Z</dcterms:modified>
</cp:coreProperties>
</file>