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B5" w:rsidRDefault="00C06BB5" w:rsidP="00C0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A relativização da impenhorabilidade do bem de família</w:t>
      </w:r>
      <w:r w:rsidR="002A01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à luz de princípios que garantam a efetividade da jurisdição e o melhor interesse do credor.</w:t>
      </w:r>
    </w:p>
    <w:p w:rsidR="002A010F" w:rsidRPr="00B23567" w:rsidRDefault="002A010F" w:rsidP="00C0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5B7632" w:rsidRPr="002A010F" w:rsidRDefault="005B7632" w:rsidP="00B148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2A010F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pt-BR"/>
        </w:rPr>
        <w:t>a</w:t>
      </w:r>
      <w:r w:rsidRPr="002A010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driana Pereira Bosaipo Guimarães</w:t>
      </w:r>
      <w:r w:rsidRPr="002A010F">
        <w:rPr>
          <w:rStyle w:val="Refdenotaderodap"/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footnoteReference w:id="1"/>
      </w:r>
    </w:p>
    <w:p w:rsidR="00B14843" w:rsidRPr="002A010F" w:rsidRDefault="00B14843" w:rsidP="00B148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2A010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Diego Leonardo Andrade de Oliveira</w:t>
      </w:r>
      <w:r w:rsidR="00B23567" w:rsidRPr="002A010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/Gabriela Silva Macedo</w:t>
      </w:r>
      <w:r w:rsidR="00B23567" w:rsidRPr="002A010F">
        <w:rPr>
          <w:rStyle w:val="Refdenotaderodap"/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footnoteReference w:id="2"/>
      </w:r>
    </w:p>
    <w:p w:rsidR="002A010F" w:rsidRDefault="002A010F" w:rsidP="00C06BB5">
      <w:pPr>
        <w:shd w:val="clear" w:color="auto" w:fill="FFFFFF"/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C06BB5" w:rsidRPr="00B23567" w:rsidRDefault="00C06BB5" w:rsidP="00C06BB5">
      <w:pPr>
        <w:shd w:val="clear" w:color="auto" w:fill="FFFFFF"/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Sumário</w:t>
      </w:r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</w:t>
      </w:r>
      <w:proofErr w:type="gramStart"/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1</w:t>
      </w:r>
      <w:proofErr w:type="gramEnd"/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Introdução. 2. 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Impenhorabilidade.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2.1 A impenhorabilidade do b</w:t>
      </w:r>
      <w:r w:rsidR="00590879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em de família.</w:t>
      </w:r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8156DE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82A37">
        <w:rPr>
          <w:rFonts w:ascii="Times New Roman" w:eastAsia="Times New Roman" w:hAnsi="Times New Roman" w:cs="Times New Roman"/>
          <w:sz w:val="20"/>
          <w:szCs w:val="20"/>
          <w:lang w:eastAsia="pt-BR"/>
        </w:rPr>
        <w:t>Penhora à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Luz de Princípios</w:t>
      </w:r>
      <w:r w:rsidR="008156DE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="008156DE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883685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</w:t>
      </w:r>
      <w:r w:rsidR="008156DE" w:rsidRPr="00B23567">
        <w:rPr>
          <w:rFonts w:ascii="Times New Roman" w:eastAsia="Times New Roman" w:hAnsi="Times New Roman" w:cs="Times New Roman"/>
          <w:sz w:val="20"/>
          <w:szCs w:val="20"/>
          <w:lang w:eastAsia="pt-BR"/>
        </w:rPr>
        <w:t>relativização da impenhorabilidade. Conclusão. Referências.</w:t>
      </w:r>
    </w:p>
    <w:p w:rsidR="008156DE" w:rsidRPr="00B23567" w:rsidRDefault="008156DE" w:rsidP="00815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156DE" w:rsidRPr="00B23567" w:rsidRDefault="008156DE" w:rsidP="00815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  <w:r w:rsidR="002A01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existência das regras de impenhorabilidade, dispostas pelo processo de</w:t>
      </w:r>
      <w:r w:rsidR="002A01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execução, por muitas vezes o credor acaba sendo prejudicado, na busca pela satisfação do seu interesse. Assim, apesar dessas regras, existem princípios aplicáveis à problemática, que</w:t>
      </w:r>
      <w:r w:rsidR="002A01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ser observados pelos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magistrados, de modo que possa garantir, através de vedações de normas legais prejudiciais ao credor, o seu interesse no processo de execução.</w:t>
      </w:r>
    </w:p>
    <w:p w:rsidR="00C06BB5" w:rsidRPr="00B23567" w:rsidRDefault="00C06BB5" w:rsidP="00C06BB5">
      <w:pPr>
        <w:shd w:val="clear" w:color="auto" w:fill="FFFFFF"/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color w:val="3A382C"/>
          <w:sz w:val="18"/>
          <w:szCs w:val="18"/>
          <w:lang w:eastAsia="pt-BR"/>
        </w:rPr>
      </w:pPr>
    </w:p>
    <w:p w:rsidR="00C06BB5" w:rsidRPr="00B23567" w:rsidRDefault="00C06BB5" w:rsidP="00C06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Palavras-chave: 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Execução. Credor. Impenhorabilidade. Penhora. Relativização. </w:t>
      </w:r>
    </w:p>
    <w:p w:rsidR="008156DE" w:rsidRPr="00B23567" w:rsidRDefault="008156DE" w:rsidP="00C06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BB5" w:rsidRPr="00B23567" w:rsidRDefault="00C06BB5" w:rsidP="00012E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INTRODUÇÃO</w:t>
      </w:r>
    </w:p>
    <w:p w:rsidR="008156DE" w:rsidRPr="00B23567" w:rsidRDefault="008156DE" w:rsidP="00D5074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EC176D" w:rsidRPr="00B23567" w:rsidRDefault="00954034" w:rsidP="00D5074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Este artigo </w:t>
      </w:r>
      <w:r w:rsidR="008156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tem por intuito realizar uma analise crítica</w:t>
      </w:r>
      <w:r w:rsidR="00EC176D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="008156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acerca dos bens impenhoráveis</w:t>
      </w:r>
      <w:r w:rsidR="00B4297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="00D5074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  <w:r w:rsidR="008156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existentes no processo de execução, tendo como </w:t>
      </w:r>
      <w:r w:rsidR="00EC176D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finalidade</w:t>
      </w:r>
      <w:r w:rsidR="008156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demonstrar a existência de princípios que tutelam </w:t>
      </w:r>
      <w:r w:rsidR="00EC176D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interesse do credor e que</w:t>
      </w:r>
      <w:r w:rsidR="008156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é possível relativizar</w:t>
      </w:r>
      <w:r w:rsidR="00012EA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as vedações legais presentes no Código de Processo Civil, de modo a </w:t>
      </w:r>
      <w:r w:rsidR="00EC176D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resguardar</w:t>
      </w:r>
      <w:r w:rsidR="00012EA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os direitos e garantias que o credor possui no processo de execução.</w:t>
      </w:r>
    </w:p>
    <w:p w:rsidR="00EC176D" w:rsidRPr="00B23567" w:rsidRDefault="00EC176D" w:rsidP="00D5074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 penhora é um ato judicial que, através dela, o Estado retira do devedor bens que possuem o valor necessário para a satisfação do interesse do credor. Porém, a norma de direito processual estabelece algumas restrições acerca da penhora, o que acaba por obstar a satisfação do interesse do credor.</w:t>
      </w:r>
      <w:r w:rsidR="00B4297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Assim, surgem críticas ao CPC sobre essa proteção dada ao devedor.</w:t>
      </w:r>
    </w:p>
    <w:p w:rsidR="00B4297F" w:rsidRPr="00B23567" w:rsidRDefault="00B4297F" w:rsidP="00D5074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lastRenderedPageBreak/>
        <w:t>Com a existência de normas que estabelecem a impenhorabilidade de alguns bens, faz-se necessária a relativização desses bens impenhoráveis, à l</w:t>
      </w:r>
      <w:r w:rsidR="00695EF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uz de princípios que garantam o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direito do exequente, observando, é claro, a dignidade da pessoa humana do devedor e do seu patrimônio mínimo</w:t>
      </w:r>
      <w:r w:rsidR="00695EF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</w:t>
      </w:r>
    </w:p>
    <w:p w:rsidR="00695EF5" w:rsidRPr="00B23567" w:rsidRDefault="00695EF5" w:rsidP="00D5074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As mudanças que o processo de execução sofreu no Brasil, teve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como um de seus objetivos uma maior celeridade e, por consequência, atingir com mais eficácia a satisfação do exequente. Porém, a discussão se volta para os liames de proteção do credor na Lei de penhora; tendo em vista que</w:t>
      </w:r>
      <w:r w:rsidR="00C03B2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para alguns, a impenhorabilidade protege apenas os interesses do executado.</w:t>
      </w:r>
    </w:p>
    <w:p w:rsidR="00D50749" w:rsidRPr="00B23567" w:rsidRDefault="00C03B24" w:rsidP="0086720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Este artigo analisará com afinco os bens de família, </w:t>
      </w:r>
      <w:r w:rsidR="00CB68B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tendo em vista que a Lei, 8.009/90, também tem sido </w:t>
      </w:r>
      <w:r w:rsidR="00D5074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criticada, bem como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as vedações previstas pelo art.</w:t>
      </w:r>
      <w:r w:rsidR="00D5074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649 do CPC.</w:t>
      </w:r>
    </w:p>
    <w:p w:rsidR="00867209" w:rsidRPr="00B23567" w:rsidRDefault="00867209" w:rsidP="0086720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C06BB5" w:rsidRPr="00B23567" w:rsidRDefault="00D50749" w:rsidP="00867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="00C06BB5"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IMPENHORABILIDADE</w:t>
      </w:r>
    </w:p>
    <w:p w:rsidR="00867209" w:rsidRDefault="00867209" w:rsidP="00867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A010F" w:rsidRPr="00B23567" w:rsidRDefault="002A010F" w:rsidP="00867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54034" w:rsidRPr="00B23567" w:rsidRDefault="00867209" w:rsidP="002A010F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A penhora é a primeira das fases de e</w:t>
      </w:r>
      <w:r w:rsidR="002A01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xpropriação de bem, seguida da 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alienação e do pagamento ao credor. A expropriação </w:t>
      </w:r>
      <w:r w:rsidR="00A51077"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tem por objetivo retirar do patrimônio do devedor bens para dirimir a obrigação da execução.</w:t>
      </w:r>
    </w:p>
    <w:p w:rsidR="00C06BB5" w:rsidRPr="00B23567" w:rsidRDefault="00C06BB5" w:rsidP="00954034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Misael</w:t>
      </w:r>
      <w:proofErr w:type="spell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Montenegro Filho </w:t>
      </w:r>
      <w:r w:rsidR="0095403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leciona:</w:t>
      </w:r>
    </w:p>
    <w:p w:rsidR="00C06BB5" w:rsidRPr="00B23567" w:rsidRDefault="00C06BB5" w:rsidP="00954034">
      <w:pPr>
        <w:shd w:val="clear" w:color="auto" w:fill="FFFFFF"/>
        <w:spacing w:before="100" w:beforeAutospacing="1"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A penhora é instituto que pertence ao direito processual, tendo por objetivo efetuar a apreensão de bens do patrimônio do devedor e/ou do responsável, com vista a permitir a posterior satisfação do credor, considerando que a execução por quantia certa contra devedor solvente é marcada pelo fato de ser expropriatória (art. 646 do CPC), atuando o Estado de forma substitutiva, mediante atos de sujeição impostos ao devedor, coma autorização para que o seu patrimônio seja invad</w:t>
      </w:r>
      <w:r w:rsidR="00B549D3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ido mesmo contra a sua vontade</w:t>
      </w:r>
      <w:proofErr w:type="gramStart"/>
      <w:r w:rsidR="00B549D3" w:rsidRPr="00B23567">
        <w:rPr>
          <w:rStyle w:val="Refdenotaderodap"/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footnoteReference w:id="3"/>
      </w:r>
      <w:proofErr w:type="gramEnd"/>
    </w:p>
    <w:p w:rsidR="00954034" w:rsidRPr="00B23567" w:rsidRDefault="00954034" w:rsidP="00954034">
      <w:pPr>
        <w:shd w:val="clear" w:color="auto" w:fill="FFFFFF"/>
        <w:spacing w:before="100" w:beforeAutospacing="1"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</w:p>
    <w:p w:rsidR="00A51077" w:rsidRPr="00B23567" w:rsidRDefault="00A51077" w:rsidP="00443F35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artigo 759, caput, do CPC, dispõe que a penhora recairá em todos os bem que forem necessários para o pagamento da obrigação atualizada, com juros, custas e honorários advocatícios. Vale ressaltar, que esta penhora não pode ultrapassar o valor da obrigação, ou seja, não pode exceder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 ponto de produzir efeitos além do devido e nem </w:t>
      </w:r>
      <w:r w:rsidR="00443F3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inferior, a ponto de não produzir efeito algum sobre a obrigação.</w:t>
      </w:r>
    </w:p>
    <w:p w:rsidR="00443F35" w:rsidRPr="00B23567" w:rsidRDefault="00443F35" w:rsidP="00443F35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lastRenderedPageBreak/>
        <w:t>Diante disto, a regra geral é que a penhora incide em todos os bens do patrimônio do executado, porém o art.591, caput, do CPC estabelece alguns limites e restrições à penhora: “o devedor responde, para o cumprimento de suas obrigações, com todos os seus bens presentes e futuros, salvo as restrições previstas em lei.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”</w:t>
      </w:r>
      <w:proofErr w:type="gramEnd"/>
    </w:p>
    <w:p w:rsidR="00ED2344" w:rsidRPr="00B23567" w:rsidRDefault="00443F35" w:rsidP="00ED234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18"/>
          <w:szCs w:val="18"/>
          <w:lang w:eastAsia="pt-BR"/>
        </w:rPr>
        <w:t xml:space="preserve"> </w:t>
      </w:r>
      <w:r w:rsidR="00A56FD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Esses bens impenhoráveis encontram-se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de forma taxativa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ou seja,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bens que n</w:t>
      </w:r>
      <w:r w:rsidR="00A56FD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ão poderão sujeitar-se a penhora. A impenhorabilidade pode ser relativa ou absoluta; a relativa diz respeito a bens que </w:t>
      </w:r>
      <w:r w:rsidR="00571AD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devem respeitar alguns critérios</w:t>
      </w:r>
      <w:r w:rsidR="00A56FD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para que se submetam ao regime de penhora. Assim, por </w:t>
      </w:r>
      <w:proofErr w:type="gramStart"/>
      <w:r w:rsidR="00A56FD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serem</w:t>
      </w:r>
      <w:proofErr w:type="gramEnd"/>
      <w:r w:rsidR="00A56FD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especialmente resguardados, a penhora só será autorizada quando outros bens ou valores não configurarem no patrimônio do devedor</w:t>
      </w:r>
      <w:r w:rsidR="00EC320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</w:t>
      </w:r>
      <w:r w:rsidR="00571AD9" w:rsidRPr="00B23567">
        <w:rPr>
          <w:rStyle w:val="Refdenotaderodap"/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footnoteReference w:id="4"/>
      </w:r>
      <w:r w:rsidR="00ED234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Conforme </w:t>
      </w:r>
      <w:proofErr w:type="spellStart"/>
      <w:r w:rsidR="00ED234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Araken</w:t>
      </w:r>
      <w:proofErr w:type="spellEnd"/>
      <w:r w:rsidR="00ED234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de Assis</w:t>
      </w:r>
      <w:r w:rsidR="00ED2344" w:rsidRPr="00B23567">
        <w:rPr>
          <w:rStyle w:val="Refdenotaderodap"/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footnoteReference w:id="5"/>
      </w:r>
      <w:r w:rsidR="00ED234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essa característica de impenhorabilidade, deve está ligada à  “exigência de humanidade”; este pensamento se coaduna com o de José Frederico Marques</w:t>
      </w:r>
      <w:r w:rsidR="00ED2344" w:rsidRPr="00B23567">
        <w:rPr>
          <w:rStyle w:val="Refdenotaderodap"/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footnoteReference w:id="6"/>
      </w:r>
      <w:r w:rsidR="00ED234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que entende que a solidariedade humana e a assistência social não depende do ato de executório.</w:t>
      </w:r>
    </w:p>
    <w:p w:rsidR="00C06BB5" w:rsidRDefault="00A56FD1" w:rsidP="00EC320F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O </w:t>
      </w:r>
      <w:r w:rsidR="00C06BB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art. 650 do CPC,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reformado pela</w:t>
      </w:r>
      <w:r w:rsidR="00C06BB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Lei nº 11.382/2006,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esclarece</w:t>
      </w:r>
      <w:r w:rsidR="00C06BB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: “Podem ser penhorados, à falta de outros bens, os frutos e rendimentos dos bens inalienáveis, salvo se dest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inados à prestação alimentícia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”</w:t>
      </w:r>
      <w:proofErr w:type="gramEnd"/>
    </w:p>
    <w:p w:rsidR="00B23567" w:rsidRPr="00B23567" w:rsidRDefault="00B23567" w:rsidP="00EC320F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C06BB5" w:rsidRPr="00B23567" w:rsidRDefault="00EC320F" w:rsidP="00954034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 </w:t>
      </w:r>
      <w:r w:rsidR="00C06BB5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A Lei 11.382 de 06/12/2006, alterou a regra em questão eliminando do rol da impenhorabilidade relativa </w:t>
      </w:r>
      <w:proofErr w:type="gramStart"/>
      <w:r w:rsidR="00C06BB5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as</w:t>
      </w:r>
      <w:proofErr w:type="gramEnd"/>
      <w:r w:rsidR="00C06BB5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 imagens e objetos do culto religioso, e dando outra redação à disciplina dos frutos e rendimentos dos bens inalienáveis. Havia, ainda, no texto oriundo do Congresso, que se transformou na Lei 11.382/2006, a instituição de parágrafo único para o art. 650, para limitar a impenhorabilidade do bem de família. Incidiu sobre ele, no entanto, veto presidencial. O texto anterior do art. 650 era de inteligência ambígua, pois não revelava bem se eram os frutos ou os créditos que haveriam de se referir </w:t>
      </w:r>
      <w:r w:rsidR="000467A5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a alimentos de pessoas carentes</w:t>
      </w:r>
      <w:r w:rsidR="00C06BB5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. </w:t>
      </w:r>
      <w:r w:rsidR="000467A5" w:rsidRPr="00B23567">
        <w:rPr>
          <w:rStyle w:val="Refdenotaderodap"/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footnoteReference w:id="7"/>
      </w:r>
    </w:p>
    <w:p w:rsidR="00883685" w:rsidRPr="00B23567" w:rsidRDefault="00883685" w:rsidP="00954034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</w:p>
    <w:p w:rsidR="00954034" w:rsidRPr="00B23567" w:rsidRDefault="00954034" w:rsidP="00954034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</w:p>
    <w:p w:rsidR="00954034" w:rsidRPr="00B23567" w:rsidRDefault="00EC320F" w:rsidP="00954034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É, portanto, relativamente impenhorável, aquele bem em que a penhora só será permitida quando não existirem, no patrimônio do executado, bens que possam prover as necessidades do exequente.</w:t>
      </w:r>
    </w:p>
    <w:p w:rsidR="002A010F" w:rsidRDefault="00954034" w:rsidP="002A010F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A Lei também estabelece </w:t>
      </w:r>
      <w:r w:rsidR="00EC320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rol taxativo dos bens que são considerados absolutamente impenhoráveis, ou seja, são aqueles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bem em que, de 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forma alguma, poderão</w:t>
      </w:r>
      <w:r w:rsidR="00EC320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incidir penhora, conforme estabelece o</w:t>
      </w:r>
      <w:r w:rsidR="002A010F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art. 649 do CPC.</w:t>
      </w:r>
      <w:r w:rsidR="00EC320F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   </w:t>
      </w:r>
    </w:p>
    <w:p w:rsidR="00590879" w:rsidRPr="002A010F" w:rsidRDefault="00883685" w:rsidP="002A01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2</w:t>
      </w:r>
      <w:r w:rsidR="00590879" w:rsidRPr="00B235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.1 </w:t>
      </w:r>
      <w:r w:rsidR="00590879" w:rsidRPr="00B2356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A impenhorabilidade do bem de família</w:t>
      </w:r>
    </w:p>
    <w:p w:rsidR="00883685" w:rsidRPr="00B23567" w:rsidRDefault="00883685" w:rsidP="008836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879" w:rsidRPr="00B23567" w:rsidRDefault="00590879" w:rsidP="00883685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Com o intuito de proteger o bem de família, </w:t>
      </w:r>
      <w:r w:rsidR="00C54E40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 fundado no princípio da dignidade da família,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fora promulgada em 1990, a Lei 8.009, que tutelava os bens que estavam 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sob poder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familiar, ou seja</w:t>
      </w:r>
      <w:r w:rsidR="00C54E40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o patrimônio da família, não podendo Estado se valer do uso da penhora, para executar forçadamente esses bens</w:t>
      </w:r>
      <w:r w:rsidR="00C54E40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 Mas para tal efeito, é necessário que este imóvel seja de residência única da família, ou seja, única moradia da entidade familiar.</w:t>
      </w:r>
    </w:p>
    <w:p w:rsidR="00086419" w:rsidRPr="00B23567" w:rsidRDefault="00C54E40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Podemos perceber que a impenhorabilidade do bem de família encontra-se fortemente estabelecido no art. 5º da Lei 8.009/90,</w:t>
      </w:r>
      <w:r w:rsidR="00B7282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porém, exclui em seus </w:t>
      </w:r>
      <w:r w:rsidR="0008641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artigos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1º e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 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2º,  as obras de arte, veículos e adereços  luxuosos. O </w:t>
      </w:r>
      <w:r w:rsidR="0008641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art.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3º</w:t>
      </w:r>
      <w:r w:rsidR="0008641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da mesma lei</w:t>
      </w:r>
      <w:r w:rsidR="000C48C1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afastar a absoluta impenhorabilidade do bem de família</w:t>
      </w:r>
      <w:r w:rsidR="0008641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</w:t>
      </w:r>
    </w:p>
    <w:p w:rsidR="00086419" w:rsidRPr="00B23567" w:rsidRDefault="00086419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art. 4º também limita a impenhorabilidade desses bens:</w:t>
      </w:r>
    </w:p>
    <w:p w:rsidR="00E971C2" w:rsidRPr="00B23567" w:rsidRDefault="00E971C2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086419" w:rsidRPr="00B23567" w:rsidRDefault="00086419" w:rsidP="00086419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23567">
        <w:rPr>
          <w:color w:val="000000"/>
          <w:sz w:val="20"/>
          <w:szCs w:val="20"/>
        </w:rPr>
        <w:t>Art. 4º Não se beneficiará do disposto nesta lei aquele que, sabendo-se insolvente, adquire de má-fé imóvel mais valioso para transferir a residência familiar, desfazendo-se ou não da moradia antiga.</w:t>
      </w:r>
    </w:p>
    <w:p w:rsidR="00086419" w:rsidRPr="00B23567" w:rsidRDefault="00086419" w:rsidP="00086419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23567">
        <w:rPr>
          <w:color w:val="000000"/>
          <w:sz w:val="20"/>
          <w:szCs w:val="20"/>
        </w:rPr>
        <w:t>§ 1º Neste caso, poderá o juiz, na respectiva ação do credor, transferir a impenhorabilidade para a moradia familiar anterior, ou anular-lhe a venda, liberando a mais valiosa para execução ou concurso, conforme a hipótese.</w:t>
      </w:r>
    </w:p>
    <w:p w:rsidR="00086419" w:rsidRPr="00B23567" w:rsidRDefault="00086419" w:rsidP="00086419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23567">
        <w:rPr>
          <w:color w:val="000000"/>
          <w:sz w:val="20"/>
          <w:szCs w:val="20"/>
        </w:rPr>
        <w:t>§ 2º Quando a residência familiar constituir-se em imóvel rural, a impenhorabilidade restringir-se-á à sede de moradia, com os respectivos bens móveis, e, nos casos do art. 5º, inciso XXVI, da Constituição, à área limitada como pequena propriedade rural.</w:t>
      </w:r>
    </w:p>
    <w:p w:rsidR="00E971C2" w:rsidRPr="00B23567" w:rsidRDefault="00E971C2" w:rsidP="00086419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E971C2" w:rsidRPr="00B23567" w:rsidRDefault="00E971C2" w:rsidP="00086419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C54E40" w:rsidRPr="00B23567" w:rsidRDefault="00C54E40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18"/>
          <w:szCs w:val="18"/>
          <w:lang w:eastAsia="pt-BR"/>
        </w:rPr>
        <w:t xml:space="preserve">     </w:t>
      </w:r>
      <w:r w:rsidR="0095403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Vale ressaltar que </w:t>
      </w:r>
      <w:r w:rsidR="00086419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STJ reconhece através da súmula 364, que a impenhorabilidade se estende ao imóvel que pertencem a pessoas solteiras, viúvas e separadas.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</w:t>
      </w:r>
    </w:p>
    <w:p w:rsidR="00C06BB5" w:rsidRPr="00B23567" w:rsidRDefault="00AC68E6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Em se tratando dos</w:t>
      </w:r>
      <w:r w:rsidR="00C06BB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bens de família, Alexandre Freitas Câmara </w:t>
      </w:r>
      <w:r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leciona:</w:t>
      </w:r>
    </w:p>
    <w:p w:rsidR="00E971C2" w:rsidRPr="00B23567" w:rsidRDefault="00E971C2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C06BB5" w:rsidRPr="00B23567" w:rsidRDefault="00C06BB5" w:rsidP="00D168C0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“A impenhorabilidade a que se refere 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a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 lei 8.009/90, ou seja, a impenhorabilidade do bem de residência, inclui não apenas o imóvel utilizado para moradia, mas também os móveis que o guarnecem, excluindo-se apenas os veículos, obras de arte e os adornos suntuosos(art. 1º, parágrafo único, c/c art. 2º da Lei 8.009/90). Não se pode, porém, pensar que este dispositivo é capaz de excluir da responsabilidade patrimonial todos os bens móveis que se encontrarem na residência do devedor. Isto porque, como se sabe, a regra é a penhorabilidade dos bens, e a impenhorabilidade exceção. Desta forma, deve-se interpretar restritivamente as normas que estabelecem a penhorabilidade de bens. Assim é que, a nosso sentir, deve-se considerar como adorno suntuoso todo e qualquer bem que não possa ser considerado indispensável à sobrevivência digna do devedor e de sua família. É preciso que este dispositivo seja à luz do que dispõe o art. 649, II do CPC, que afirma a absoluta impenhorabilidade dos móveis que integrarem o padrão médio de </w:t>
      </w:r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lastRenderedPageBreak/>
        <w:t>vida da população (como televisão, geladeira ou fogão), mas não os aparelhos que ultrapassem essa média(como é o caso de equipamentos eletrônicos de última geraç</w:t>
      </w:r>
      <w:r w:rsidR="0032386D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ão). A </w:t>
      </w:r>
      <w:proofErr w:type="spellStart"/>
      <w:r w:rsidR="0032386D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idéia</w:t>
      </w:r>
      <w:proofErr w:type="spellEnd"/>
      <w:r w:rsidR="0032386D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 fundamental por trá</w:t>
      </w:r>
      <w:r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>s dessa regra é a de que apenas o essencial à sobrevivência deve ser considerado impenhorável.</w:t>
      </w:r>
      <w:r w:rsidR="0032386D" w:rsidRPr="00B23567">
        <w:rPr>
          <w:rStyle w:val="Refdenotaderodap"/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footnoteReference w:id="8"/>
      </w:r>
      <w:r w:rsidR="0032386D" w:rsidRPr="00B23567"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  <w:t xml:space="preserve"> </w:t>
      </w:r>
    </w:p>
    <w:p w:rsidR="00D168C0" w:rsidRPr="00B23567" w:rsidRDefault="00D168C0" w:rsidP="00EB4A15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D168C0" w:rsidRPr="00B23567" w:rsidRDefault="00D168C0" w:rsidP="00EB4A15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Este entendimento nos leva ao raciocínio de que a impenhorabilidade de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b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ens de família</w:t>
      </w:r>
      <w:proofErr w:type="gramStart"/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deve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estar ligado à dignidade da família e de sua subsistência, devendo ser objeto de penhora os bens que se encontram no imóvel único da família, e que são </w:t>
      </w: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considerados como adornos suntuosos para satisfazer a obrigação para com o credor.   </w:t>
      </w:r>
    </w:p>
    <w:p w:rsidR="008405E0" w:rsidRPr="00B23567" w:rsidRDefault="008405E0" w:rsidP="00D168C0">
      <w:pPr>
        <w:shd w:val="clear" w:color="auto" w:fill="FFFFFF"/>
        <w:spacing w:after="0" w:line="36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BB5" w:rsidRPr="00B23567" w:rsidRDefault="00C06BB5" w:rsidP="00C06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PENHORA</w:t>
      </w:r>
      <w:r w:rsidR="00B92ED7" w:rsidRPr="00B235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À LUZ DE PRINCÍPIOS</w:t>
      </w:r>
    </w:p>
    <w:p w:rsidR="008405E0" w:rsidRPr="00B23567" w:rsidRDefault="008405E0" w:rsidP="00C06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67A5" w:rsidRPr="00B23567" w:rsidRDefault="000467A5" w:rsidP="000467A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23567">
        <w:rPr>
          <w:color w:val="000000"/>
          <w:sz w:val="20"/>
          <w:szCs w:val="20"/>
        </w:rPr>
        <w:t>Princípios jurídicos são normas jurídicas fundamentais de um sistema jurídico, dotadas de intensa carga valorativa e, por isso mesmo, superiores a todas as outras, que se espraiam, explícita ou implicitamente, por todo o sistema, dando-lhe fundamento e uma ordenação lógica, coerente e harmoniosa.</w:t>
      </w:r>
    </w:p>
    <w:p w:rsidR="000467A5" w:rsidRPr="00B23567" w:rsidRDefault="000467A5" w:rsidP="000467A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23567">
        <w:rPr>
          <w:color w:val="000000"/>
          <w:sz w:val="20"/>
          <w:szCs w:val="20"/>
        </w:rPr>
        <w:t>Em razão de sua força normativa e da elevada carga axiológica, os princípios determinam o conteúdo das demais normas e condicionam a compreensão e aplicação destas à efetivação dos valores que eles consagram.</w:t>
      </w:r>
      <w:proofErr w:type="gramStart"/>
      <w:r w:rsidRPr="00B23567">
        <w:rPr>
          <w:rStyle w:val="Refdenotaderodap"/>
          <w:color w:val="000000"/>
          <w:sz w:val="20"/>
          <w:szCs w:val="20"/>
        </w:rPr>
        <w:footnoteReference w:id="9"/>
      </w:r>
      <w:proofErr w:type="gramEnd"/>
    </w:p>
    <w:p w:rsidR="000467A5" w:rsidRPr="00B23567" w:rsidRDefault="000467A5" w:rsidP="008405E0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36623C" w:rsidRPr="00B23567" w:rsidRDefault="00EB4A15" w:rsidP="00B2356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Existem alguns princípios </w:t>
      </w:r>
      <w:r w:rsidR="00B7282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no processo de execução,</w:t>
      </w:r>
      <w:r w:rsidR="00BD23E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que incidem não só </w:t>
      </w:r>
      <w:r w:rsidR="00AC68E6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</w:t>
      </w:r>
      <w:r w:rsidR="00BD23E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obre a penhora, como também no direito e que</w:t>
      </w:r>
      <w:r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="00BD23E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aplicáveis de modo concomitante com a lei, podem alcançar a justiça do processo de execução.  </w:t>
      </w:r>
    </w:p>
    <w:p w:rsidR="00EB4A15" w:rsidRDefault="00BD23EC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princípio da menor onerosidade deve ser proposto segundo os interesses do credor, contudo deve estar em harmonia com os meios executórios, para que se efetive o princípio da equidade e da ponderação e, portanto, resguardar o interesse do credor.</w:t>
      </w:r>
      <w:r w:rsidR="0036623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Este 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princípio se coaduna </w:t>
      </w:r>
      <w:r w:rsidR="0036623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com a garantia do melhor interesse do credor, que por sua vez, deve ser efetivada durante todo o processo de execução, afinal, o credor é aquela figura que espera que sua pretensão seja </w:t>
      </w:r>
      <w:proofErr w:type="gramStart"/>
      <w:r w:rsidR="0036623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satisfeita</w:t>
      </w:r>
      <w:proofErr w:type="gramEnd"/>
      <w:r w:rsidR="0036623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</w:t>
      </w:r>
    </w:p>
    <w:p w:rsidR="0036623C" w:rsidRPr="00B23567" w:rsidRDefault="0036623C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18"/>
          <w:szCs w:val="18"/>
          <w:highlight w:val="yellow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 garantia dos interesses do credor fora estabelecida pelo próprio legislador, através do artigo 612 do CPC: “Ressalvado o caso de insolvência do devedor, em que tem lugar o concurso universal (art. 751, III), realiza-se a execução no interesse do credor, que adquire, pela penhora, o direito de preferência sobre os bens penhorados”.</w:t>
      </w:r>
    </w:p>
    <w:p w:rsidR="00BD23EC" w:rsidRPr="00B23567" w:rsidRDefault="00BD23EC" w:rsidP="008405E0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lastRenderedPageBreak/>
        <w:t>O princ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ípio da efetividade do processo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significa dizer que, o </w:t>
      </w:r>
      <w:r w:rsidR="008405E0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processo deve fornecer ao credor aquilo que ele teria direito, 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ou seja, o </w:t>
      </w:r>
      <w:r w:rsidR="008405E0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que o devedor deve a ele.</w:t>
      </w:r>
      <w:proofErr w:type="gramStart"/>
      <w:r w:rsidR="008405E0" w:rsidRPr="00B23567">
        <w:rPr>
          <w:rStyle w:val="Refdenotaderodap"/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footnoteReference w:id="10"/>
      </w:r>
      <w:proofErr w:type="gramEnd"/>
    </w:p>
    <w:p w:rsidR="008405E0" w:rsidRPr="00B23567" w:rsidRDefault="008405E0" w:rsidP="008405E0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exato adimplemento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nos dá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 conclusão de que a execução deverá dar ao cred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or, o mesmo resultado que teria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se o devedor tivesse cumprido a obrigação, este princípio esta atrelado ao princípio da efetividade, onde a execução atinge o patrimônio do executado e extrai o que for necessário para satisfazer a obrigação.</w:t>
      </w:r>
    </w:p>
    <w:p w:rsidR="008405E0" w:rsidRPr="00B23567" w:rsidRDefault="008405E0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O art. 659, em concomitância co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m o art. 692 do CPC, assegura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que os bens do executado será alvo de expropriação, porém somente o suficiente para satisfazer o exequente.</w:t>
      </w:r>
    </w:p>
    <w:p w:rsidR="00135F9A" w:rsidRPr="00B23567" w:rsidRDefault="00135F9A" w:rsidP="00E971C2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 partir do entendimento exposto acima, é possível perceber que a im</w:t>
      </w:r>
      <w:r w:rsidR="000F4703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p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enhorabilidade</w:t>
      </w:r>
      <w:r w:rsidR="000F4703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deve ser relativizada, embora já </w:t>
      </w:r>
      <w:proofErr w:type="gramStart"/>
      <w:r w:rsidR="000F4703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tem</w:t>
      </w:r>
      <w:proofErr w:type="gramEnd"/>
      <w:r w:rsidR="000F4703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se admitindo do uma maior flexibilidade do processo, de modo que o magistrado possa aplicar os princípios e, assim, garantir o direito do credor de ter sua satisfação garantida. </w:t>
      </w:r>
    </w:p>
    <w:p w:rsidR="000F4703" w:rsidRPr="00B23567" w:rsidRDefault="000F4703" w:rsidP="000F4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82C"/>
          <w:sz w:val="20"/>
          <w:szCs w:val="20"/>
          <w:lang w:eastAsia="pt-BR"/>
        </w:rPr>
      </w:pPr>
    </w:p>
    <w:p w:rsidR="000F4703" w:rsidRPr="00B23567" w:rsidRDefault="000F4703" w:rsidP="000F4703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Como exemplo</w:t>
      </w:r>
      <w:r w:rsidR="00954034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podemos citar uma hipótese em que o executad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 só possua um bem de família e,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ape</w:t>
      </w:r>
      <w:r w:rsidR="00EB4A15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ar de ser considerado um imóvel de luxo, assim como os demais bens de família, tem seu imóvel assegurado pela Lei 8.009/90.  Porém, em casos como este, o magistrado deve relativizar o dispositivo legal e à luz dos p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rincípios do direito, determinando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 expropriação deste bem, resguardando ao executado, um valor suficiente para a aquisição de outro bem que lhe garantirá o direito à digna moradia.</w:t>
      </w:r>
    </w:p>
    <w:p w:rsidR="00883685" w:rsidRPr="00B23567" w:rsidRDefault="00883685" w:rsidP="008836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883685" w:rsidRPr="00B23567" w:rsidRDefault="00883685" w:rsidP="008836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  <w:t>4.</w:t>
      </w:r>
      <w:r w:rsidR="00882A37"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  <w:t xml:space="preserve"> A RELATIVIZAÇÃO DA IMPENHORABI</w:t>
      </w:r>
      <w:r w:rsidRPr="00B23567"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  <w:t>LIDADE</w:t>
      </w:r>
    </w:p>
    <w:p w:rsidR="00AE6923" w:rsidRPr="00B23567" w:rsidRDefault="00AE6923" w:rsidP="0036623C">
      <w:pPr>
        <w:shd w:val="clear" w:color="auto" w:fill="FFFFFF"/>
        <w:spacing w:after="0" w:line="360" w:lineRule="auto"/>
        <w:ind w:firstLineChars="1134" w:firstLine="2722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</w:p>
    <w:p w:rsidR="00883685" w:rsidRPr="00B23567" w:rsidRDefault="00883685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As críticas que giram em torno da impenhorabilidade de bens, 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esta relacionado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ao privilégio que é dado ao devedor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que se choca com o a garantia do melhor interesse, que é destinada ao credor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.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P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or isso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  <w:r w:rsidR="003A3BDE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propõe-se a relativização da impenhorabilidade.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</w:p>
    <w:p w:rsidR="003A3BDE" w:rsidRPr="00B23567" w:rsidRDefault="003A3BDE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Não há como negar que por muitas vezes a impenhorabilidade é usada como “arapuca</w:t>
      </w:r>
      <w:r w:rsidR="002A010F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”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 para que os chamados “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maus pagadores” possam bloquear seus bens. Assim, a legislação acaba por permitir que </w:t>
      </w:r>
      <w:proofErr w:type="gramStart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devedores que possuam um grande patrimônio, venha</w:t>
      </w:r>
      <w:proofErr w:type="gramEnd"/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se valer deste benefício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da vedação à penhora, mantendo-se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em uma situação vantajosa.</w:t>
      </w:r>
    </w:p>
    <w:p w:rsidR="0095148D" w:rsidRPr="00B23567" w:rsidRDefault="003A3BDE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lastRenderedPageBreak/>
        <w:t>Além do privilégio que a legislação oportuniza ao devedor, através das vedações à penhora, é possível notar em outras ocasiões a proteção do legislador, como através da garantia de integridade do devedor, o que fica evidente que o legislador não visa proteger apenas o credor, como ta</w:t>
      </w:r>
      <w:r w:rsidR="0095148D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mbé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m o devedor.</w:t>
      </w:r>
    </w:p>
    <w:p w:rsidR="0095148D" w:rsidRPr="00B23567" w:rsidRDefault="0095148D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Fica claro que, o magistrado pode realizar a penhora de um bem, considerado impenhorável, isto porque o 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Estado-Juiz 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poderá transcender o interesse do credor, sem que com isto, afete os direito</w:t>
      </w:r>
      <w:r w:rsidR="0036623C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s</w:t>
      </w: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fundamentais do devedor. </w:t>
      </w:r>
    </w:p>
    <w:p w:rsidR="0095148D" w:rsidRPr="00B23567" w:rsidRDefault="0095148D" w:rsidP="0036623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Desse modo, os atos executórios devem ser realizados de uma forma mais ponderada, para que não haja um privilégio do devedor, apenas por imposições </w:t>
      </w:r>
      <w:r w:rsidR="00CD0187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meramente formais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,</w:t>
      </w:r>
      <w:r w:rsidR="00CD0187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de limitações à penhora.</w:t>
      </w:r>
    </w:p>
    <w:p w:rsidR="0036623C" w:rsidRPr="00623AC2" w:rsidRDefault="00883685" w:rsidP="008836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</w:pPr>
      <w:r w:rsidRPr="00623AC2"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  <w:t>CONCLUSÃO</w:t>
      </w:r>
    </w:p>
    <w:p w:rsidR="0036623C" w:rsidRPr="00B23567" w:rsidRDefault="0036623C" w:rsidP="003E7B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</w:pPr>
      <w:r w:rsidRPr="00623AC2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No decorrer deste trabalho, tivemos a intenção de </w:t>
      </w:r>
      <w:r w:rsidR="00CD0187" w:rsidRPr="00623AC2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demonstrar</w:t>
      </w:r>
      <w:r w:rsidR="001866A2" w:rsidRPr="00623AC2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a impenhorabilidade, prevista no</w:t>
      </w:r>
      <w:r w:rsidR="001866A2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Código de Processo Civil, à luz de alguns princípios correlatos à penhora</w:t>
      </w:r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e as ga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rantias do processo de execução. P</w:t>
      </w:r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udemos perceber que o magistrado pode transcender a letra da Lei, para estabelecer penho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ra de bens impenhoráveis, para </w:t>
      </w:r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então, garantir</w:t>
      </w:r>
      <w:proofErr w:type="gramStart"/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  </w:t>
      </w:r>
      <w:proofErr w:type="gramEnd"/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 efetivação da execução, ou seja a satisfação do exequente, sem que com isso gere dano à dignidade do executado. Desse modo, busca-se uma melhor adequação dos fatos com as normas soci</w:t>
      </w:r>
      <w:r w:rsidR="00CD018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 xml:space="preserve">ais, para que se possa adequar </w:t>
      </w:r>
      <w:r w:rsidR="003E7B45" w:rsidRPr="00B23567">
        <w:rPr>
          <w:rFonts w:ascii="Times New Roman" w:eastAsia="Times New Roman" w:hAnsi="Times New Roman" w:cs="Times New Roman"/>
          <w:color w:val="3A382C"/>
          <w:sz w:val="24"/>
          <w:szCs w:val="24"/>
          <w:lang w:eastAsia="pt-BR"/>
        </w:rPr>
        <w:t>a impenhorabilidade ao caso concreto individual, mas sempre garantindo a real finalidade da execução, a de fazer valer o melhor interesse do exequente sem prejuízo aos direitos do executado.</w:t>
      </w:r>
    </w:p>
    <w:p w:rsidR="00B23567" w:rsidRDefault="00B23567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623AC2" w:rsidRDefault="00623AC2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AE6923" w:rsidRPr="00B23567" w:rsidRDefault="00AE6923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  <w:lastRenderedPageBreak/>
        <w:t>Referências</w:t>
      </w:r>
    </w:p>
    <w:p w:rsidR="000467A5" w:rsidRPr="00B23567" w:rsidRDefault="000467A5" w:rsidP="00AE69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color w:val="3A382C"/>
          <w:sz w:val="24"/>
          <w:szCs w:val="24"/>
          <w:lang w:eastAsia="pt-BR"/>
        </w:rPr>
      </w:pPr>
    </w:p>
    <w:p w:rsidR="00DE7564" w:rsidRPr="00B23567" w:rsidRDefault="000467A5" w:rsidP="00DE7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ASSIS, </w:t>
      </w:r>
      <w:proofErr w:type="spellStart"/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Araken</w:t>
      </w:r>
      <w:proofErr w:type="spellEnd"/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. </w:t>
      </w:r>
      <w:r w:rsidRPr="00B23567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pt-BR"/>
        </w:rPr>
        <w:t>Comentários ao Código de Processo Civil</w:t>
      </w:r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, vol. 9, São Paulo: RT, 2000.</w:t>
      </w:r>
    </w:p>
    <w:p w:rsidR="000467A5" w:rsidRPr="00B23567" w:rsidRDefault="000467A5" w:rsidP="00DE7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7564" w:rsidRPr="00B23567" w:rsidRDefault="00DE7564" w:rsidP="008F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CÂMARA, Alexandre Freitas.  </w:t>
      </w:r>
      <w:r w:rsidRPr="00B235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Lições de Direito Processual Civil</w:t>
      </w:r>
      <w:r w:rsidRPr="00B23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16.</w:t>
      </w:r>
      <w:proofErr w:type="gram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ed. vol.2. Rio de Janeiro. 2008.</w:t>
      </w:r>
    </w:p>
    <w:p w:rsidR="00AE6923" w:rsidRPr="00B23567" w:rsidRDefault="00AE6923" w:rsidP="008F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7564" w:rsidRPr="00B23567" w:rsidRDefault="00DE7564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DIDIER JR., </w:t>
      </w:r>
      <w:proofErr w:type="spell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Frédie</w:t>
      </w:r>
      <w:proofErr w:type="spell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CUNHA, Leonardo José Carneiro </w:t>
      </w:r>
      <w:proofErr w:type="spellStart"/>
      <w:proofErr w:type="gram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da.</w:t>
      </w:r>
      <w:proofErr w:type="spellEnd"/>
      <w:proofErr w:type="gram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BRAGA, Paula </w:t>
      </w:r>
      <w:proofErr w:type="spell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Sarno</w:t>
      </w:r>
      <w:proofErr w:type="spell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OLIVEIRA, Rafael. </w:t>
      </w:r>
      <w:r w:rsidRPr="00B2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direito processual civil: execução</w:t>
      </w:r>
      <w:r w:rsidRPr="00B2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</w:t>
      </w:r>
      <w:proofErr w:type="gram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vol.</w:t>
      </w:r>
      <w:proofErr w:type="gram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5. Salvador:</w:t>
      </w:r>
      <w:r w:rsidR="000467A5"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Editora </w:t>
      </w:r>
      <w:proofErr w:type="spellStart"/>
      <w:proofErr w:type="gramStart"/>
      <w:r w:rsidR="000467A5"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JusPodivm</w:t>
      </w:r>
      <w:proofErr w:type="spellEnd"/>
      <w:proofErr w:type="gramEnd"/>
      <w:r w:rsidR="000467A5"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2009.</w:t>
      </w:r>
    </w:p>
    <w:p w:rsidR="00DE7564" w:rsidRPr="00B23567" w:rsidRDefault="00DE7564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1AD9" w:rsidRDefault="00571AD9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MARINORI, Luiz Guilherme e ARENHART, Sergio Cruz. </w:t>
      </w:r>
      <w:r w:rsidRPr="00B2356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Curso de Processo Civil. Execução</w:t>
      </w:r>
      <w:r w:rsidRPr="00B2356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 </w:t>
      </w:r>
      <w:proofErr w:type="gramStart"/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ed</w:t>
      </w:r>
      <w:proofErr w:type="spellEnd"/>
      <w:r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Paulo: Editora RT, 2008</w:t>
      </w:r>
      <w:r w:rsidR="00ED2344" w:rsidRPr="00B2356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D0187" w:rsidRPr="00B23567" w:rsidRDefault="00CD0187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1AD9" w:rsidRPr="00B23567" w:rsidRDefault="000467A5" w:rsidP="008F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ED234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MARQUES, José Frederico.</w:t>
      </w:r>
      <w:r w:rsidRPr="00B2356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 </w:t>
      </w:r>
      <w:r w:rsidRPr="00B23567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pt-BR"/>
        </w:rPr>
        <w:t>Instituições de direito processual civil</w:t>
      </w:r>
      <w:r w:rsidRPr="00B2356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,</w:t>
      </w:r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vol. V, Campinas:</w:t>
      </w:r>
      <w:r w:rsidRPr="00ED2344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Millennium, 2001</w:t>
      </w:r>
      <w:r w:rsidRPr="00B23567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.</w:t>
      </w:r>
    </w:p>
    <w:p w:rsidR="000467A5" w:rsidRPr="00B23567" w:rsidRDefault="000467A5" w:rsidP="008F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7564" w:rsidRPr="00B23567" w:rsidRDefault="00DE7564" w:rsidP="008F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MONTENEGRO FILHO, </w:t>
      </w:r>
      <w:proofErr w:type="spell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Misael</w:t>
      </w:r>
      <w:proofErr w:type="spell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B235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Teoria Geral dos Recursos, Recursos em espécie e Processo de Execução</w:t>
      </w: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São Paulo: Atlas Editora. Vol.2. 2007.</w:t>
      </w:r>
    </w:p>
    <w:p w:rsidR="00DE7564" w:rsidRPr="00B23567" w:rsidRDefault="00DE7564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</w:p>
    <w:p w:rsidR="008F17FC" w:rsidRPr="00B23567" w:rsidRDefault="008F17FC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SCARPINELLA BUENO, Cássio. </w:t>
      </w:r>
      <w:r w:rsidRPr="00B2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sistematizado de direito processual civil: tutela jurisdicional executiva </w:t>
      </w: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– v. 2. – São Paulo: </w:t>
      </w:r>
      <w:proofErr w:type="gramStart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Saraiva,</w:t>
      </w:r>
      <w:proofErr w:type="gramEnd"/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2008</w:t>
      </w:r>
      <w:r w:rsidR="000467A5"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F17FC" w:rsidRPr="00B23567" w:rsidRDefault="008F17FC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7564" w:rsidRPr="00B23567" w:rsidRDefault="00DE7564" w:rsidP="008F1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THEODORO JUNIOR, Humberto. </w:t>
      </w:r>
      <w:r w:rsidRPr="00B235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Processo de Execução e Cumprimento de Sentença</w:t>
      </w:r>
      <w:r w:rsidRPr="00B23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 </w:t>
      </w:r>
      <w:r w:rsidRPr="00B235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Processo cautelar e Tutela de Urgência.</w:t>
      </w:r>
      <w:r w:rsidRPr="00B23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B23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Vol.2. 2007.</w:t>
      </w:r>
    </w:p>
    <w:p w:rsidR="00DE7564" w:rsidRPr="00B23567" w:rsidRDefault="00DE7564" w:rsidP="00DE7564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</w:p>
    <w:p w:rsidR="0032386D" w:rsidRPr="00B23567" w:rsidRDefault="0032386D" w:rsidP="00DE7564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</w:p>
    <w:p w:rsidR="000467A5" w:rsidRPr="00ED2344" w:rsidRDefault="0032386D" w:rsidP="000467A5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</w:pPr>
      <w:r w:rsidRPr="00B2356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23567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0467A5" w:rsidRPr="00B23567" w:rsidRDefault="000467A5" w:rsidP="000467A5">
      <w:pPr>
        <w:pStyle w:val="Textodenotaderodap"/>
        <w:rPr>
          <w:rFonts w:ascii="Times New Roman" w:hAnsi="Times New Roman" w:cs="Times New Roman"/>
        </w:rPr>
      </w:pPr>
    </w:p>
    <w:p w:rsidR="00571AD9" w:rsidRPr="00B23567" w:rsidRDefault="00571AD9" w:rsidP="00571AD9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color w:val="3A382C"/>
          <w:sz w:val="24"/>
          <w:szCs w:val="24"/>
          <w:lang w:eastAsia="pt-BR"/>
        </w:rPr>
      </w:pPr>
    </w:p>
    <w:sectPr w:rsidR="00571AD9" w:rsidRPr="00B23567" w:rsidSect="00F63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7F" w:rsidRDefault="00E84C7F" w:rsidP="005B7632">
      <w:pPr>
        <w:spacing w:after="0" w:line="240" w:lineRule="auto"/>
      </w:pPr>
      <w:r>
        <w:separator/>
      </w:r>
    </w:p>
  </w:endnote>
  <w:endnote w:type="continuationSeparator" w:id="0">
    <w:p w:rsidR="00E84C7F" w:rsidRDefault="00E84C7F" w:rsidP="005B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7F" w:rsidRDefault="00E84C7F" w:rsidP="005B7632">
      <w:pPr>
        <w:spacing w:after="0" w:line="240" w:lineRule="auto"/>
      </w:pPr>
      <w:r>
        <w:separator/>
      </w:r>
    </w:p>
  </w:footnote>
  <w:footnote w:type="continuationSeparator" w:id="0">
    <w:p w:rsidR="00E84C7F" w:rsidRDefault="00E84C7F" w:rsidP="005B7632">
      <w:pPr>
        <w:spacing w:after="0" w:line="240" w:lineRule="auto"/>
      </w:pPr>
      <w:r>
        <w:continuationSeparator/>
      </w:r>
    </w:p>
  </w:footnote>
  <w:footnote w:id="1">
    <w:p w:rsidR="005B7632" w:rsidRPr="00B23567" w:rsidRDefault="005B7632">
      <w:pPr>
        <w:pStyle w:val="Textodenotaderodap"/>
        <w:rPr>
          <w:rFonts w:ascii="Times New Roman" w:hAnsi="Times New Roman" w:cs="Times New Roman"/>
        </w:rPr>
      </w:pPr>
      <w:r w:rsidRPr="00B23567">
        <w:rPr>
          <w:rStyle w:val="Refdenotaderodap"/>
          <w:rFonts w:ascii="Times New Roman" w:hAnsi="Times New Roman" w:cs="Times New Roman"/>
        </w:rPr>
        <w:footnoteRef/>
      </w:r>
      <w:r w:rsidRPr="00B23567">
        <w:rPr>
          <w:rFonts w:ascii="Times New Roman" w:hAnsi="Times New Roman" w:cs="Times New Roman"/>
        </w:rPr>
        <w:t xml:space="preserve"> Aluna da Cadeira Especial de </w:t>
      </w:r>
      <w:r w:rsidR="00B72825" w:rsidRPr="00B23567">
        <w:rPr>
          <w:rFonts w:ascii="Times New Roman" w:hAnsi="Times New Roman" w:cs="Times New Roman"/>
        </w:rPr>
        <w:t>E</w:t>
      </w:r>
      <w:r w:rsidRPr="00B23567">
        <w:rPr>
          <w:rFonts w:ascii="Times New Roman" w:hAnsi="Times New Roman" w:cs="Times New Roman"/>
        </w:rPr>
        <w:t>xecução</w:t>
      </w:r>
    </w:p>
  </w:footnote>
  <w:footnote w:id="2">
    <w:p w:rsidR="00B23567" w:rsidRDefault="00B23567">
      <w:pPr>
        <w:pStyle w:val="Textodenotaderodap"/>
      </w:pPr>
      <w:r w:rsidRPr="00B23567">
        <w:rPr>
          <w:rStyle w:val="Refdenotaderodap"/>
          <w:rFonts w:ascii="Times New Roman" w:hAnsi="Times New Roman" w:cs="Times New Roman"/>
        </w:rPr>
        <w:footnoteRef/>
      </w:r>
      <w:r w:rsidRPr="00B23567">
        <w:rPr>
          <w:rFonts w:ascii="Times New Roman" w:hAnsi="Times New Roman" w:cs="Times New Roman"/>
        </w:rPr>
        <w:t xml:space="preserve"> Professores da Cadeira Especial de Execução.</w:t>
      </w:r>
    </w:p>
  </w:footnote>
  <w:footnote w:id="3">
    <w:p w:rsidR="00B549D3" w:rsidRPr="008F17FC" w:rsidRDefault="00B549D3" w:rsidP="00B54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Refdenotaderodap"/>
        </w:rPr>
        <w:footnoteRef/>
      </w:r>
      <w:r w:rsidRPr="00B549D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MONTENEGRO FILHO, </w:t>
      </w:r>
      <w:proofErr w:type="spellStart"/>
      <w:r w:rsidRPr="00B549D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Misael</w:t>
      </w:r>
      <w:proofErr w:type="spellEnd"/>
      <w:r w:rsidRPr="00B549D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 </w:t>
      </w:r>
      <w:r w:rsidRPr="00B549D3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pt-BR"/>
        </w:rPr>
        <w:t>Teoria Geral dos Recursos, Recursos em espécie e Processo de Execução</w:t>
      </w:r>
      <w:r w:rsidRPr="00B549D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São Paulo: Atlas Editora. Vol.2. 2007</w:t>
      </w:r>
      <w:r w:rsidRPr="008F17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323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323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</w:t>
      </w:r>
      <w:proofErr w:type="gramEnd"/>
      <w:r w:rsidR="00323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402</w:t>
      </w:r>
    </w:p>
    <w:p w:rsidR="00B549D3" w:rsidRDefault="00B549D3">
      <w:pPr>
        <w:pStyle w:val="Textodenotaderodap"/>
      </w:pPr>
    </w:p>
  </w:footnote>
  <w:footnote w:id="4">
    <w:p w:rsidR="00571AD9" w:rsidRDefault="00571AD9" w:rsidP="00ED2344">
      <w:pPr>
        <w:spacing w:after="0" w:line="240" w:lineRule="auto"/>
        <w:jc w:val="both"/>
      </w:pPr>
      <w:r>
        <w:rPr>
          <w:rStyle w:val="Refdenotaderodap"/>
        </w:rPr>
        <w:footnoteRef/>
      </w:r>
      <w:r w:rsidRPr="00571AD9">
        <w:rPr>
          <w:rFonts w:ascii="Times New Roman" w:eastAsia="Times New Roman" w:hAnsi="Times New Roman" w:cs="Times New Roman"/>
          <w:sz w:val="20"/>
          <w:szCs w:val="20"/>
          <w:lang w:eastAsia="pt-BR"/>
        </w:rPr>
        <w:t>MARINORI, Luiz Guilherme e ARENHART, Sergio Cruz. </w:t>
      </w:r>
      <w:r w:rsidRPr="00571AD9"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  <w:t>Curso de Processo Civil. Execução</w:t>
      </w:r>
      <w:r w:rsidRPr="00571AD9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. 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Pr="00571AD9">
        <w:rPr>
          <w:rFonts w:ascii="Times New Roman" w:eastAsia="Times New Roman" w:hAnsi="Times New Roman" w:cs="Times New Roman"/>
          <w:sz w:val="20"/>
          <w:szCs w:val="20"/>
          <w:lang w:eastAsia="pt-BR"/>
        </w:rPr>
        <w:t>d</w:t>
      </w:r>
      <w:proofErr w:type="spellEnd"/>
      <w:r w:rsidRPr="00571A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São Paulo: Editora RT, 2008. </w:t>
      </w:r>
      <w:proofErr w:type="gramStart"/>
      <w:r w:rsidRPr="00571AD9">
        <w:rPr>
          <w:rFonts w:ascii="Times New Roman" w:eastAsia="Times New Roman" w:hAnsi="Times New Roman" w:cs="Times New Roman"/>
          <w:sz w:val="20"/>
          <w:szCs w:val="20"/>
          <w:lang w:eastAsia="pt-BR"/>
        </w:rPr>
        <w:t>p.</w:t>
      </w:r>
      <w:proofErr w:type="gramEnd"/>
      <w:r w:rsidRPr="00571A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256.</w:t>
      </w:r>
    </w:p>
  </w:footnote>
  <w:footnote w:id="5">
    <w:p w:rsidR="00ED2344" w:rsidRPr="00ED2344" w:rsidRDefault="00ED2344" w:rsidP="00ED23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234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 xml:space="preserve">ASSIS, </w:t>
      </w:r>
      <w:proofErr w:type="spellStart"/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>Araken</w:t>
      </w:r>
      <w:proofErr w:type="spellEnd"/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>. </w:t>
      </w:r>
      <w:r w:rsidRPr="00ED2344">
        <w:rPr>
          <w:rFonts w:ascii="Times New Roman" w:eastAsia="Times New Roman" w:hAnsi="Times New Roman" w:cs="Times New Roman"/>
          <w:b/>
          <w:iCs/>
          <w:color w:val="444444"/>
          <w:sz w:val="20"/>
          <w:szCs w:val="20"/>
          <w:lang w:eastAsia="pt-BR"/>
        </w:rPr>
        <w:t>Comentários ao Código de Processo Civil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>, vol. 9, São Paulo:</w:t>
      </w:r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 xml:space="preserve"> RT, 2000, p. 75.</w:t>
      </w:r>
    </w:p>
  </w:footnote>
  <w:footnote w:id="6">
    <w:p w:rsidR="00ED2344" w:rsidRDefault="00ED2344" w:rsidP="000467A5">
      <w:pPr>
        <w:spacing w:after="0" w:line="240" w:lineRule="auto"/>
        <w:jc w:val="both"/>
      </w:pPr>
      <w:r w:rsidRPr="00ED234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>MARQUES, José Frederico.</w:t>
      </w:r>
      <w:r w:rsidRPr="00ED2344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pt-BR"/>
        </w:rPr>
        <w:t> </w:t>
      </w:r>
      <w:r w:rsidRPr="00ED2344">
        <w:rPr>
          <w:rFonts w:ascii="Times New Roman" w:eastAsia="Times New Roman" w:hAnsi="Times New Roman" w:cs="Times New Roman"/>
          <w:b/>
          <w:iCs/>
          <w:color w:val="444444"/>
          <w:sz w:val="20"/>
          <w:szCs w:val="20"/>
          <w:lang w:eastAsia="pt-BR"/>
        </w:rPr>
        <w:t>Instituições de direito processual civil</w:t>
      </w:r>
      <w:r w:rsidRPr="00ED2344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 xml:space="preserve"> vol. V, Campinas:</w:t>
      </w:r>
      <w:r w:rsidRPr="00ED2344"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  <w:t xml:space="preserve"> Millennium, 2001, p. 172.</w:t>
      </w:r>
    </w:p>
  </w:footnote>
  <w:footnote w:id="7">
    <w:p w:rsidR="000467A5" w:rsidRPr="00883685" w:rsidRDefault="000467A5" w:rsidP="00883685">
      <w:pPr>
        <w:pStyle w:val="Textodenotaderodap"/>
        <w:jc w:val="both"/>
        <w:rPr>
          <w:rFonts w:ascii="Times New Roman" w:hAnsi="Times New Roman" w:cs="Times New Roman"/>
        </w:rPr>
      </w:pPr>
      <w:r w:rsidRPr="00883685">
        <w:rPr>
          <w:rStyle w:val="Refdenotaderodap"/>
          <w:rFonts w:ascii="Times New Roman" w:hAnsi="Times New Roman" w:cs="Times New Roman"/>
        </w:rPr>
        <w:footnoteRef/>
      </w:r>
      <w:r w:rsidRPr="00883685">
        <w:rPr>
          <w:rFonts w:ascii="Times New Roman" w:eastAsia="Times New Roman" w:hAnsi="Times New Roman" w:cs="Times New Roman"/>
          <w:color w:val="000000"/>
          <w:lang w:eastAsia="pt-BR"/>
        </w:rPr>
        <w:t>THEODORO JUNIOR, Humberto. </w:t>
      </w:r>
      <w:r w:rsidRPr="00883685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Proces</w:t>
      </w:r>
      <w:r w:rsidR="00883685" w:rsidRPr="00883685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so de Execução e Cumprimento de</w:t>
      </w:r>
      <w:proofErr w:type="gramStart"/>
      <w:r w:rsidR="00883685" w:rsidRPr="00883685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 </w:t>
      </w:r>
      <w:proofErr w:type="gramEnd"/>
      <w:r w:rsidRPr="00883685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Sentença</w:t>
      </w:r>
      <w:r w:rsidRPr="00883685">
        <w:rPr>
          <w:rFonts w:ascii="Times New Roman" w:eastAsia="Times New Roman" w:hAnsi="Times New Roman" w:cs="Times New Roman"/>
          <w:b/>
          <w:color w:val="000000"/>
          <w:lang w:eastAsia="pt-BR"/>
        </w:rPr>
        <w:t>, </w:t>
      </w:r>
      <w:r w:rsidRPr="00883685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Processo cautelar e Tutela de Urgência.</w:t>
      </w:r>
      <w:r w:rsidRPr="00883685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 </w:t>
      </w:r>
      <w:r w:rsidRPr="00883685">
        <w:rPr>
          <w:rFonts w:ascii="Times New Roman" w:eastAsia="Times New Roman" w:hAnsi="Times New Roman" w:cs="Times New Roman"/>
          <w:color w:val="000000"/>
          <w:lang w:eastAsia="pt-BR"/>
        </w:rPr>
        <w:t>Vol.2. 2007</w:t>
      </w:r>
      <w:r w:rsidR="00883685">
        <w:rPr>
          <w:rFonts w:ascii="Times New Roman" w:eastAsia="Times New Roman" w:hAnsi="Times New Roman" w:cs="Times New Roman"/>
          <w:color w:val="000000"/>
          <w:lang w:eastAsia="pt-BR"/>
        </w:rPr>
        <w:t>, p. 313.</w:t>
      </w:r>
    </w:p>
  </w:footnote>
  <w:footnote w:id="8">
    <w:p w:rsidR="0032386D" w:rsidRPr="0032386D" w:rsidRDefault="0032386D" w:rsidP="00323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 w:rsidRPr="0032386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THEODORO JUNIOR, Humberto. </w:t>
      </w:r>
      <w:r w:rsidRPr="003238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pt-BR"/>
        </w:rPr>
        <w:t>Processo de Execução e Cumprimento de Sentença</w:t>
      </w:r>
      <w:r w:rsidRPr="003238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, </w:t>
      </w:r>
      <w:r w:rsidRPr="0032386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pt-BR"/>
        </w:rPr>
        <w:t>Processo cautelar e Tutela de Urgência.</w:t>
      </w:r>
      <w:r w:rsidRPr="0032386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 </w:t>
      </w:r>
      <w:r w:rsidRPr="0032386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Vol.2. 2008</w:t>
      </w:r>
      <w:r w:rsidR="00571AD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</w:t>
      </w:r>
      <w:proofErr w:type="gramStart"/>
      <w:r w:rsidRPr="0032386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gramEnd"/>
      <w:r w:rsidRPr="0032386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p. 280.</w:t>
      </w:r>
    </w:p>
  </w:footnote>
  <w:footnote w:id="9">
    <w:p w:rsidR="000467A5" w:rsidRPr="00B23567" w:rsidRDefault="000467A5">
      <w:pPr>
        <w:pStyle w:val="Textodenotaderodap"/>
        <w:rPr>
          <w:rFonts w:ascii="Times New Roman" w:hAnsi="Times New Roman" w:cs="Times New Roman"/>
        </w:rPr>
      </w:pPr>
      <w:r w:rsidRPr="00B23567">
        <w:rPr>
          <w:rStyle w:val="Refdenotaderodap"/>
          <w:rFonts w:ascii="Times New Roman" w:hAnsi="Times New Roman" w:cs="Times New Roman"/>
        </w:rPr>
        <w:footnoteRef/>
      </w:r>
      <w:r w:rsidRPr="00B23567">
        <w:rPr>
          <w:rFonts w:ascii="Times New Roman" w:hAnsi="Times New Roman" w:cs="Times New Roman"/>
        </w:rPr>
        <w:t xml:space="preserve"> </w:t>
      </w:r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JÚNIOR, </w:t>
      </w:r>
      <w:proofErr w:type="spellStart"/>
      <w:r w:rsidRPr="00B23567">
        <w:rPr>
          <w:rFonts w:ascii="Times New Roman" w:hAnsi="Times New Roman" w:cs="Times New Roman"/>
          <w:color w:val="000000"/>
          <w:shd w:val="clear" w:color="auto" w:fill="FFFFFF"/>
        </w:rPr>
        <w:t>Dirley</w:t>
      </w:r>
      <w:proofErr w:type="spellEnd"/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 da Cunha.</w:t>
      </w:r>
      <w:r w:rsidRPr="00B2356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23567">
        <w:rPr>
          <w:rStyle w:val="nfase"/>
          <w:rFonts w:ascii="Times New Roman" w:hAnsi="Times New Roman" w:cs="Times New Roman"/>
          <w:b/>
          <w:i w:val="0"/>
          <w:color w:val="000000"/>
        </w:rPr>
        <w:t>Curso de direito administrativo.</w:t>
      </w:r>
      <w:r w:rsidRPr="00B2356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proofErr w:type="gramStart"/>
      <w:r w:rsidRPr="00B23567">
        <w:rPr>
          <w:rFonts w:ascii="Times New Roman" w:hAnsi="Times New Roman" w:cs="Times New Roman"/>
          <w:color w:val="000000"/>
          <w:shd w:val="clear" w:color="auto" w:fill="FFFFFF"/>
        </w:rPr>
        <w:t>4</w:t>
      </w:r>
      <w:proofErr w:type="gramEnd"/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23567">
        <w:rPr>
          <w:rFonts w:ascii="Times New Roman" w:hAnsi="Times New Roman" w:cs="Times New Roman"/>
          <w:color w:val="000000"/>
          <w:shd w:val="clear" w:color="auto" w:fill="FFFFFF"/>
        </w:rPr>
        <w:t>ed</w:t>
      </w:r>
      <w:proofErr w:type="spellEnd"/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, Salvador: Edições </w:t>
      </w:r>
      <w:proofErr w:type="spellStart"/>
      <w:r w:rsidRPr="00B23567">
        <w:rPr>
          <w:rFonts w:ascii="Times New Roman" w:hAnsi="Times New Roman" w:cs="Times New Roman"/>
          <w:color w:val="000000"/>
          <w:shd w:val="clear" w:color="auto" w:fill="FFFFFF"/>
        </w:rPr>
        <w:t>Juspodivm</w:t>
      </w:r>
      <w:proofErr w:type="spellEnd"/>
      <w:r w:rsidRPr="00B23567">
        <w:rPr>
          <w:rStyle w:val="nfase"/>
          <w:rFonts w:ascii="Times New Roman" w:hAnsi="Times New Roman" w:cs="Times New Roman"/>
          <w:color w:val="000000"/>
        </w:rPr>
        <w:t>,</w:t>
      </w:r>
      <w:r w:rsidRPr="00B23567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2006. </w:t>
      </w:r>
      <w:proofErr w:type="gramStart"/>
      <w:r w:rsidRPr="00B23567">
        <w:rPr>
          <w:rFonts w:ascii="Times New Roman" w:hAnsi="Times New Roman" w:cs="Times New Roman"/>
          <w:color w:val="000000"/>
          <w:shd w:val="clear" w:color="auto" w:fill="FFFFFF"/>
        </w:rPr>
        <w:t>p.</w:t>
      </w:r>
      <w:proofErr w:type="gramEnd"/>
      <w:r w:rsidRPr="00B23567">
        <w:rPr>
          <w:rFonts w:ascii="Times New Roman" w:hAnsi="Times New Roman" w:cs="Times New Roman"/>
          <w:color w:val="000000"/>
          <w:shd w:val="clear" w:color="auto" w:fill="FFFFFF"/>
        </w:rPr>
        <w:t xml:space="preserve"> 12.</w:t>
      </w:r>
    </w:p>
  </w:footnote>
  <w:footnote w:id="10">
    <w:p w:rsidR="0032386D" w:rsidRPr="00B23567" w:rsidRDefault="008405E0" w:rsidP="00323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</w:pPr>
      <w:r w:rsidRPr="00B2356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32386D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SCARPINELLA BUENO, Cássio. </w:t>
      </w:r>
      <w:r w:rsidR="0032386D" w:rsidRPr="00B235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Curso sistematizado de direito processual civil: tutela jurisdicional </w:t>
      </w:r>
      <w:proofErr w:type="gramStart"/>
      <w:r w:rsidR="0032386D" w:rsidRPr="00B235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executiva </w:t>
      </w:r>
      <w:r w:rsidR="00571AD9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proofErr w:type="gramEnd"/>
      <w:r w:rsidR="00571AD9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Vol</w:t>
      </w:r>
      <w:r w:rsidR="0032386D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r w:rsidR="00B23567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2. </w:t>
      </w:r>
      <w:r w:rsidR="0032386D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São Paulo: </w:t>
      </w:r>
      <w:proofErr w:type="gramStart"/>
      <w:r w:rsidR="0032386D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Saraiva,</w:t>
      </w:r>
      <w:proofErr w:type="gramEnd"/>
      <w:r w:rsidR="0032386D" w:rsidRPr="00B2356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2008, p. 1.</w:t>
      </w:r>
    </w:p>
    <w:p w:rsidR="008405E0" w:rsidRDefault="008405E0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887"/>
    <w:multiLevelType w:val="multilevel"/>
    <w:tmpl w:val="890C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83E1E"/>
    <w:multiLevelType w:val="multilevel"/>
    <w:tmpl w:val="87FC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34203"/>
    <w:multiLevelType w:val="multilevel"/>
    <w:tmpl w:val="43B2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BB5"/>
    <w:rsid w:val="00012EA5"/>
    <w:rsid w:val="000467A5"/>
    <w:rsid w:val="00086419"/>
    <w:rsid w:val="000C48C1"/>
    <w:rsid w:val="000F4703"/>
    <w:rsid w:val="00135F9A"/>
    <w:rsid w:val="001866A2"/>
    <w:rsid w:val="002A010F"/>
    <w:rsid w:val="002B7DBF"/>
    <w:rsid w:val="0032386D"/>
    <w:rsid w:val="0036623C"/>
    <w:rsid w:val="003A3BDE"/>
    <w:rsid w:val="003E7B45"/>
    <w:rsid w:val="00443F35"/>
    <w:rsid w:val="004E4ED0"/>
    <w:rsid w:val="00550C92"/>
    <w:rsid w:val="00571AD9"/>
    <w:rsid w:val="00590879"/>
    <w:rsid w:val="005B7632"/>
    <w:rsid w:val="00623AC2"/>
    <w:rsid w:val="00695EF5"/>
    <w:rsid w:val="006F60C8"/>
    <w:rsid w:val="007F228E"/>
    <w:rsid w:val="008156DE"/>
    <w:rsid w:val="008405E0"/>
    <w:rsid w:val="00867209"/>
    <w:rsid w:val="00882A37"/>
    <w:rsid w:val="00883685"/>
    <w:rsid w:val="008F17FC"/>
    <w:rsid w:val="0095148D"/>
    <w:rsid w:val="00954034"/>
    <w:rsid w:val="00981AA9"/>
    <w:rsid w:val="00A51077"/>
    <w:rsid w:val="00A56FD1"/>
    <w:rsid w:val="00AC68E6"/>
    <w:rsid w:val="00AE6923"/>
    <w:rsid w:val="00B14843"/>
    <w:rsid w:val="00B23567"/>
    <w:rsid w:val="00B4297F"/>
    <w:rsid w:val="00B549D3"/>
    <w:rsid w:val="00B72825"/>
    <w:rsid w:val="00B8053C"/>
    <w:rsid w:val="00B92ED7"/>
    <w:rsid w:val="00BD23EC"/>
    <w:rsid w:val="00C03B24"/>
    <w:rsid w:val="00C06BB5"/>
    <w:rsid w:val="00C54E40"/>
    <w:rsid w:val="00CB68BF"/>
    <w:rsid w:val="00CD0187"/>
    <w:rsid w:val="00CD78F1"/>
    <w:rsid w:val="00D008EC"/>
    <w:rsid w:val="00D168C0"/>
    <w:rsid w:val="00D50749"/>
    <w:rsid w:val="00DD031C"/>
    <w:rsid w:val="00DE7564"/>
    <w:rsid w:val="00E84C7F"/>
    <w:rsid w:val="00E971C2"/>
    <w:rsid w:val="00EB4A15"/>
    <w:rsid w:val="00EC176D"/>
    <w:rsid w:val="00EC320F"/>
    <w:rsid w:val="00ED2344"/>
    <w:rsid w:val="00F01A62"/>
    <w:rsid w:val="00F63EEF"/>
    <w:rsid w:val="00FC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06BB5"/>
  </w:style>
  <w:style w:type="character" w:styleId="Forte">
    <w:name w:val="Strong"/>
    <w:basedOn w:val="Fontepargpadro"/>
    <w:uiPriority w:val="22"/>
    <w:qFormat/>
    <w:rsid w:val="00C06BB5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54E4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35F9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35F9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6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6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763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E7564"/>
    <w:pPr>
      <w:ind w:left="720"/>
      <w:contextualSpacing/>
    </w:pPr>
  </w:style>
  <w:style w:type="character" w:customStyle="1" w:styleId="qterm">
    <w:name w:val="qterm"/>
    <w:basedOn w:val="Fontepargpadro"/>
    <w:rsid w:val="0057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27DF-9440-446B-A8ED-40DF7742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Narciso Pereira</Company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Narciso</dc:creator>
  <cp:keywords/>
  <dc:description/>
  <cp:lastModifiedBy>Narciso</cp:lastModifiedBy>
  <cp:revision>2</cp:revision>
  <dcterms:created xsi:type="dcterms:W3CDTF">2013-07-26T03:24:00Z</dcterms:created>
  <dcterms:modified xsi:type="dcterms:W3CDTF">2013-07-26T03:24:00Z</dcterms:modified>
</cp:coreProperties>
</file>