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F70" w:rsidRDefault="00853F70" w:rsidP="00853F7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 olho nas Contas!</w:t>
      </w:r>
    </w:p>
    <w:p w:rsidR="00341E81" w:rsidRDefault="00341E81" w:rsidP="00853F70">
      <w:pPr>
        <w:jc w:val="center"/>
        <w:rPr>
          <w:rFonts w:ascii="Arial" w:hAnsi="Arial" w:cs="Arial"/>
          <w:b/>
          <w:sz w:val="28"/>
          <w:szCs w:val="28"/>
        </w:rPr>
      </w:pPr>
    </w:p>
    <w:p w:rsidR="0081196F" w:rsidRDefault="00853F70" w:rsidP="0040326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nível de endividamento das famílias brasileiras com as entidades financeiras avança e já atinge o recorde de 44,25%</w:t>
      </w:r>
      <w:r w:rsidR="006455D5">
        <w:rPr>
          <w:rFonts w:ascii="Arial" w:hAnsi="Arial" w:cs="Arial"/>
          <w:sz w:val="24"/>
          <w:szCs w:val="24"/>
        </w:rPr>
        <w:t>, em maio</w:t>
      </w:r>
      <w:r>
        <w:rPr>
          <w:rFonts w:ascii="Arial" w:hAnsi="Arial" w:cs="Arial"/>
          <w:sz w:val="24"/>
          <w:szCs w:val="24"/>
        </w:rPr>
        <w:t>, segundo informações do Banco Central.</w:t>
      </w:r>
    </w:p>
    <w:p w:rsidR="00853F70" w:rsidRDefault="00853F70" w:rsidP="0040326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elevação esta relacionada com o fraco crescimento da economia brasileira, gerando menos renda; com o aumento da inflação, que</w:t>
      </w:r>
      <w:r w:rsidR="00E17239">
        <w:rPr>
          <w:rFonts w:ascii="Arial" w:hAnsi="Arial" w:cs="Arial"/>
          <w:sz w:val="24"/>
          <w:szCs w:val="24"/>
        </w:rPr>
        <w:t xml:space="preserve"> corrói</w:t>
      </w:r>
      <w:r>
        <w:rPr>
          <w:rFonts w:ascii="Arial" w:hAnsi="Arial" w:cs="Arial"/>
          <w:sz w:val="24"/>
          <w:szCs w:val="24"/>
        </w:rPr>
        <w:t xml:space="preserve"> o poder de compra, impulsionando a população a buscar empréstimos; e, também, com a procura pelo crédito imobiliário.</w:t>
      </w:r>
    </w:p>
    <w:p w:rsidR="00E17239" w:rsidRDefault="00E17239" w:rsidP="0040326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o Banco Central, excluindo-se o crédito imobiliário, o endividamento das famílias até abril era estável, no patamar de 30%. Os números da autoridade monetária também revelam que o comprometimento mensal com o pagamento de empréstimos registrou queda no mês de maio.</w:t>
      </w:r>
    </w:p>
    <w:p w:rsidR="00E17239" w:rsidRDefault="00E17239" w:rsidP="0040326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Importante estar em alerta, pois, </w:t>
      </w:r>
      <w:r w:rsidR="006455D5">
        <w:rPr>
          <w:rFonts w:ascii="Arial" w:hAnsi="Arial" w:cs="Arial"/>
          <w:sz w:val="24"/>
          <w:szCs w:val="24"/>
        </w:rPr>
        <w:t xml:space="preserve">além do aumento do endividamento </w:t>
      </w:r>
      <w:r>
        <w:rPr>
          <w:rFonts w:ascii="Arial" w:hAnsi="Arial" w:cs="Arial"/>
          <w:sz w:val="24"/>
          <w:szCs w:val="24"/>
        </w:rPr>
        <w:t>os juros bancários médios</w:t>
      </w:r>
      <w:r w:rsidR="006455D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dos empréstimos para pessoas físicas</w:t>
      </w:r>
      <w:r w:rsidR="006455D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começaram a subir em junho. Esta </w:t>
      </w:r>
      <w:r w:rsidR="006455D5">
        <w:rPr>
          <w:rFonts w:ascii="Arial" w:hAnsi="Arial" w:cs="Arial"/>
          <w:sz w:val="24"/>
          <w:szCs w:val="24"/>
        </w:rPr>
        <w:t xml:space="preserve">alta </w:t>
      </w:r>
      <w:r>
        <w:rPr>
          <w:rFonts w:ascii="Arial" w:hAnsi="Arial" w:cs="Arial"/>
          <w:sz w:val="24"/>
          <w:szCs w:val="24"/>
        </w:rPr>
        <w:t>veio após tr</w:t>
      </w:r>
      <w:r w:rsidR="006455D5">
        <w:rPr>
          <w:rFonts w:ascii="Arial" w:hAnsi="Arial" w:cs="Arial"/>
          <w:sz w:val="24"/>
          <w:szCs w:val="24"/>
        </w:rPr>
        <w:t>ês meses consecutivos de queda. Ainda existe</w:t>
      </w:r>
      <w:r w:rsidR="00341E81">
        <w:rPr>
          <w:rFonts w:ascii="Arial" w:hAnsi="Arial" w:cs="Arial"/>
          <w:sz w:val="24"/>
          <w:szCs w:val="24"/>
        </w:rPr>
        <w:t>m</w:t>
      </w:r>
      <w:r w:rsidR="006455D5">
        <w:rPr>
          <w:rFonts w:ascii="Arial" w:hAnsi="Arial" w:cs="Arial"/>
          <w:sz w:val="24"/>
          <w:szCs w:val="24"/>
        </w:rPr>
        <w:t xml:space="preserve"> </w:t>
      </w:r>
      <w:r w:rsidR="00341E81">
        <w:rPr>
          <w:rFonts w:ascii="Arial" w:hAnsi="Arial" w:cs="Arial"/>
          <w:sz w:val="24"/>
          <w:szCs w:val="24"/>
        </w:rPr>
        <w:t>preocupações</w:t>
      </w:r>
      <w:r w:rsidR="006455D5">
        <w:rPr>
          <w:rFonts w:ascii="Arial" w:hAnsi="Arial" w:cs="Arial"/>
          <w:sz w:val="24"/>
          <w:szCs w:val="24"/>
        </w:rPr>
        <w:t xml:space="preserve"> com</w:t>
      </w:r>
      <w:r w:rsidR="00341E81">
        <w:rPr>
          <w:rFonts w:ascii="Arial" w:hAnsi="Arial" w:cs="Arial"/>
          <w:sz w:val="24"/>
          <w:szCs w:val="24"/>
        </w:rPr>
        <w:t>:</w:t>
      </w:r>
      <w:r w:rsidR="006455D5">
        <w:rPr>
          <w:rFonts w:ascii="Arial" w:hAnsi="Arial" w:cs="Arial"/>
          <w:sz w:val="24"/>
          <w:szCs w:val="24"/>
        </w:rPr>
        <w:t xml:space="preserve"> a Dívida Pública elevada, a oferta de crédito diminuindo, aumento da inadimplência, alta da inflação e a indústria em ritmo desacelerado, enfim, é essencial repensar atitudes.</w:t>
      </w:r>
    </w:p>
    <w:p w:rsidR="00341E81" w:rsidRDefault="00341E81" w:rsidP="00341E81">
      <w:pPr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524000" cy="2057400"/>
            <wp:effectExtent l="171450" t="133350" r="361950" b="304800"/>
            <wp:docPr id="2" name="Imagem 1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057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41E81" w:rsidRPr="00341E81" w:rsidRDefault="00341E81" w:rsidP="00341E81">
      <w:pPr>
        <w:ind w:firstLine="708"/>
        <w:jc w:val="right"/>
        <w:rPr>
          <w:rFonts w:ascii="Arial" w:hAnsi="Arial" w:cs="Arial"/>
          <w:sz w:val="20"/>
          <w:szCs w:val="20"/>
        </w:rPr>
      </w:pPr>
      <w:r w:rsidRPr="00341E81">
        <w:rPr>
          <w:rFonts w:ascii="Arial" w:hAnsi="Arial" w:cs="Arial"/>
          <w:sz w:val="20"/>
          <w:szCs w:val="20"/>
        </w:rPr>
        <w:t>Fonte: Banco Central do Brasil</w:t>
      </w:r>
    </w:p>
    <w:sectPr w:rsidR="00341E81" w:rsidRPr="00341E81" w:rsidSect="006A28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32A31"/>
    <w:multiLevelType w:val="hybridMultilevel"/>
    <w:tmpl w:val="0B24C9BE"/>
    <w:lvl w:ilvl="0" w:tplc="6D4438A8"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D6058"/>
    <w:rsid w:val="001256D4"/>
    <w:rsid w:val="001568A4"/>
    <w:rsid w:val="001921AC"/>
    <w:rsid w:val="00284754"/>
    <w:rsid w:val="00341E81"/>
    <w:rsid w:val="00403263"/>
    <w:rsid w:val="006455D5"/>
    <w:rsid w:val="006A2840"/>
    <w:rsid w:val="0081196F"/>
    <w:rsid w:val="008531EE"/>
    <w:rsid w:val="00853F70"/>
    <w:rsid w:val="00875256"/>
    <w:rsid w:val="008D6058"/>
    <w:rsid w:val="00980A1B"/>
    <w:rsid w:val="009965EC"/>
    <w:rsid w:val="00AA5D72"/>
    <w:rsid w:val="00B9325E"/>
    <w:rsid w:val="00DB0AEF"/>
    <w:rsid w:val="00E17239"/>
    <w:rsid w:val="00E6062E"/>
    <w:rsid w:val="00E65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8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403263"/>
  </w:style>
  <w:style w:type="character" w:styleId="Forte">
    <w:name w:val="Strong"/>
    <w:basedOn w:val="Fontepargpadro"/>
    <w:uiPriority w:val="22"/>
    <w:qFormat/>
    <w:rsid w:val="0040326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0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0AE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60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921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2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77E57-9804-4AA9-AF3F-D7977D4FE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Cris</cp:lastModifiedBy>
  <cp:revision>2</cp:revision>
  <dcterms:created xsi:type="dcterms:W3CDTF">2013-07-31T22:48:00Z</dcterms:created>
  <dcterms:modified xsi:type="dcterms:W3CDTF">2013-07-31T22:48:00Z</dcterms:modified>
</cp:coreProperties>
</file>