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50" w:rsidRDefault="00074250" w:rsidP="00074250">
      <w:pPr>
        <w:spacing w:before="24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VIOLÊNCIA CONTRA A MULHER E SUAS FORMAS DE APRESENTAÇÃO E ENFRENTAMENTO </w:t>
      </w:r>
    </w:p>
    <w:p w:rsidR="00074250" w:rsidRDefault="00074250" w:rsidP="00074250">
      <w:pPr>
        <w:spacing w:before="24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Considerações Gerais</w:t>
      </w:r>
    </w:p>
    <w:p w:rsidR="00074250" w:rsidRPr="007C2826" w:rsidRDefault="00074250" w:rsidP="00074250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Ao se falar em violência contra a mulher faz-se necessário fundamentar-se acerca dos conceitos existentes sobre o tema. </w:t>
      </w:r>
      <w:r w:rsidRPr="007C282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7C2826">
        <w:rPr>
          <w:rFonts w:ascii="Times New Roman" w:hAnsi="Times New Roman"/>
          <w:sz w:val="24"/>
          <w:szCs w:val="24"/>
        </w:rPr>
        <w:t xml:space="preserve">a definição da Convenção de Belém do Pará (Convenção Interamericana para Prevenir, Punir e Erradicar a Violência Contra a Mulher, adotada pela OEA em 1994), a violência contra a mulher é: </w:t>
      </w:r>
    </w:p>
    <w:p w:rsidR="00074250" w:rsidRPr="007C2826" w:rsidRDefault="00074250" w:rsidP="00074250">
      <w:pPr>
        <w:spacing w:before="240" w:line="240" w:lineRule="auto"/>
        <w:ind w:left="2268"/>
        <w:jc w:val="both"/>
        <w:rPr>
          <w:rFonts w:ascii="Times New Roman" w:hAnsi="Times New Roman"/>
        </w:rPr>
      </w:pPr>
      <w:r w:rsidRPr="00F002A1">
        <w:rPr>
          <w:rFonts w:ascii="Times New Roman" w:hAnsi="Times New Roman"/>
        </w:rPr>
        <w:t xml:space="preserve">“qualquer ato ou conduta baseada no gênero, que cause morte, dano ou sofrimento físico, sexual ou psicológico à mulher, tanto na esfera pública como na esfera privada”. </w:t>
      </w:r>
    </w:p>
    <w:p w:rsidR="00074250" w:rsidRPr="007C2826" w:rsidRDefault="00074250" w:rsidP="00074250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7C2826">
        <w:rPr>
          <w:rFonts w:ascii="Times New Roman" w:hAnsi="Times New Roman"/>
          <w:sz w:val="24"/>
          <w:szCs w:val="24"/>
        </w:rPr>
        <w:t xml:space="preserve">Dessa forma, ao se afirmar que é uma conduta de gênero, afirma-se que necessariamente deve ser realizada contra a mulher. Essa violência se remete de tempos remotos onde o homem sempre imperou como superior frente às relações de poder, impedindo o crescimento e o avanço destas nas mais diversas manifestações. </w:t>
      </w:r>
    </w:p>
    <w:p w:rsidR="00074250" w:rsidRPr="007C2826" w:rsidRDefault="00074250" w:rsidP="00074250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7C2826">
        <w:rPr>
          <w:rFonts w:ascii="Times New Roman" w:hAnsi="Times New Roman"/>
          <w:sz w:val="24"/>
          <w:szCs w:val="24"/>
        </w:rPr>
        <w:tab/>
        <w:t xml:space="preserve">Essa violência contra a mulher é fruto de sentimentos machistas que afloram diante, inclusive, das mulheres que acreditam na sobreposição dos homens frente as mais diversas atividades desenvolvidas atualmente numa sociedade, deixando a mulher sempre numa situação desfavorecida. Atitudes estas que desenvolvem nos homens, sejam eles maridos, namorados, pais, irmãos chefes e outros homens, um sentimento de posse e de imposição das suas vontades às mulheres. Sentindo-se agredidos quando estas se desenvolvem de maneira autônoma e segura. </w:t>
      </w:r>
    </w:p>
    <w:p w:rsidR="00074250" w:rsidRDefault="00074250" w:rsidP="00074250">
      <w:pPr>
        <w:spacing w:before="240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C3228">
        <w:rPr>
          <w:rFonts w:ascii="Times New Roman" w:hAnsi="Times New Roman"/>
          <w:color w:val="000000" w:themeColor="text1"/>
          <w:sz w:val="24"/>
          <w:szCs w:val="24"/>
        </w:rPr>
        <w:t>Acredita-se que essa violência se inicia a part</w:t>
      </w:r>
      <w:r>
        <w:rPr>
          <w:rFonts w:ascii="Times New Roman" w:hAnsi="Times New Roman"/>
          <w:color w:val="000000" w:themeColor="text1"/>
          <w:sz w:val="24"/>
          <w:szCs w:val="24"/>
        </w:rPr>
        <w:t>ir de relações adultas onde se estabelece em algumas relações entre homem e mulher,</w:t>
      </w:r>
      <w:r w:rsidRPr="002C3228">
        <w:rPr>
          <w:rFonts w:ascii="Times New Roman" w:hAnsi="Times New Roman"/>
          <w:color w:val="000000" w:themeColor="text1"/>
          <w:sz w:val="24"/>
          <w:szCs w:val="24"/>
        </w:rPr>
        <w:t xml:space="preserve"> a relação entre mandante e mandado. Porém, isso é um grande equívoco, uma vez que a semente está na valorização do papel masculino dentro de casa,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no domicílio familiar, </w:t>
      </w:r>
      <w:r w:rsidRPr="002C3228">
        <w:rPr>
          <w:rFonts w:ascii="Times New Roman" w:hAnsi="Times New Roman"/>
          <w:color w:val="000000" w:themeColor="text1"/>
          <w:sz w:val="24"/>
          <w:szCs w:val="24"/>
        </w:rPr>
        <w:t>quando se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estabelece maneiras diferenciadas</w:t>
      </w:r>
      <w:r w:rsidRPr="002C3228">
        <w:rPr>
          <w:rFonts w:ascii="Times New Roman" w:hAnsi="Times New Roman"/>
          <w:color w:val="000000" w:themeColor="text1"/>
          <w:sz w:val="24"/>
          <w:szCs w:val="24"/>
        </w:rPr>
        <w:t xml:space="preserve"> de educar meninos e meninas. Enquanto os meninos devem ser desenvolvidos para valorizar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2C3228">
        <w:rPr>
          <w:rFonts w:ascii="Times New Roman" w:hAnsi="Times New Roman"/>
          <w:color w:val="000000" w:themeColor="text1"/>
          <w:sz w:val="24"/>
          <w:szCs w:val="24"/>
        </w:rPr>
        <w:t>agressividade como forma de comprovação de sua masculinidade e de seus desejos, inclusive os sexuais, incitados desde a fase infantil, as meninas</w:t>
      </w:r>
      <w:r>
        <w:rPr>
          <w:rFonts w:ascii="Times New Roman" w:hAnsi="Times New Roman"/>
          <w:color w:val="000000" w:themeColor="text1"/>
          <w:sz w:val="24"/>
          <w:szCs w:val="24"/>
        </w:rPr>
        <w:t>, por sua vez, são criadas para seguir um modelo de dona de casa, onde lhes são ensinadas as prendas do lar, àquelas capazes de agradar ao seu esposo, devendo</w:t>
      </w:r>
      <w:r w:rsidRPr="002C3228">
        <w:rPr>
          <w:rFonts w:ascii="Times New Roman" w:hAnsi="Times New Roman"/>
          <w:color w:val="000000" w:themeColor="text1"/>
          <w:sz w:val="24"/>
          <w:szCs w:val="24"/>
        </w:rPr>
        <w:t xml:space="preserve"> seguir modelos de delicadeza, submissão, passividade e dependência.  </w:t>
      </w:r>
    </w:p>
    <w:p w:rsidR="00074250" w:rsidRDefault="00074250" w:rsidP="00074250">
      <w:pPr>
        <w:spacing w:before="24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6A9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Considerando 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repercussão e a gravidade da problemática que permeia a violência contra as mulheres, nas relações afetivas e sexuais em que estas estão inseridas, bem como as discussões sobre os modos de lidar com esse tema, foi promulgada, no Brasil, a Lei 11.340/06, conhecida como Lei Maria da Penha, que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tempor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objetivo maior o combate direto à violência de gênero. </w:t>
      </w:r>
    </w:p>
    <w:p w:rsidR="00074250" w:rsidRDefault="00074250" w:rsidP="00074250">
      <w:pPr>
        <w:spacing w:before="24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Implementação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da Lei Maria da Penha</w:t>
      </w:r>
    </w:p>
    <w:p w:rsidR="00074250" w:rsidRDefault="00074250" w:rsidP="00074250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Lei 11.340/ 06, conhecida como Lei Maria da Penha, foi aprovada pelo Congresso Nacional e sancionada pelo presidente do Brasil em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agosto de 2006. Entrando em vigor no dia 22 de setembro. A Lei versa em seu texto acerca dos mecanismos para coibir a Violência Doméstica e Familiar contra a Mulher. Com a publicação desta, foi alterado o Código de Processo Penal, Código Penal e a Lei de Execução penal. </w:t>
      </w:r>
    </w:p>
    <w:p w:rsidR="00074250" w:rsidRPr="00F752C7" w:rsidRDefault="00074250" w:rsidP="00074250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A Lei é reconhecida </w:t>
      </w:r>
      <w:r w:rsidRPr="00F752C7">
        <w:rPr>
          <w:rFonts w:ascii="Times New Roman" w:hAnsi="Times New Roman"/>
          <w:color w:val="000000" w:themeColor="text1"/>
          <w:sz w:val="24"/>
          <w:szCs w:val="24"/>
        </w:rPr>
        <w:t>pela Organização das Nações Unidas, pela sua eficácia e enfrentamento à violência contra as mulheres. Diante dessa assertiva, interessante perceber que a Lei Maria da Penha apesar de tutelar os direitos da mulher contra qualquer tipo de violência de gênero, não coloca a mulher uma posição de su</w:t>
      </w:r>
      <w:r w:rsidRPr="00F752C7">
        <w:rPr>
          <w:rFonts w:ascii="Times New Roman" w:eastAsiaTheme="minorHAnsi" w:hAnsi="Times New Roman"/>
          <w:sz w:val="24"/>
          <w:szCs w:val="24"/>
        </w:rPr>
        <w:t>perioridade, porém, busca permitir que essa mulher possa atuar na sociedade com as mesmas possibilidades masculinas.</w:t>
      </w:r>
    </w:p>
    <w:p w:rsidR="00074250" w:rsidRDefault="00074250" w:rsidP="00074250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A Lei Maria da Penha recebeu este nome em homenagem a uma ativista que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tornou-se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vítima direta da violência contra as mulheres, quando em 1983, sofreu tentativa de assassinato, duas vezes, por parte do, então, marido. A primeira tentativa realizada contra a vida da Maria da Penha foi realizada com o uso de arma de fogo. Na segunda vez, por eletrocussão e afogamento. Ambas as tentativas de homicídio resultaram em lesões irreversíveis à sua saúde. Tendo ficado esta paraplégica e com outras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sequelas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graves. A ativista teve sua vida atentada pelo seu ex-marido, ficando impossibilitada de desenvolver suas atividades profissionais realizadas até as tentativas de homicídio. Atualmente recebe a aposentadoria do INSS por atestado de invalidez.  </w:t>
      </w:r>
    </w:p>
    <w:p w:rsidR="00074250" w:rsidRDefault="00074250" w:rsidP="00074250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Buscando a eficácia e uma penalidade compatível com o delito cometido a Lei instituiu um aumento da pena máxima em abstrato para o crime de lesão corporal leve (art. 129, parágrafo 9º do Código Penal), que passou a ser punido com três meses a três anos de detenção. Com essa medida, retirou dos Juizados Criminais a competência para o processamento deste delito, e previu a criação de Juizado de Violência Doméstica e Familiar contra a mulher. A criação desses Juizados, também representa mudanças estruturais na prática jurídica. (MEDRADO; MELLO, 2008). </w:t>
      </w:r>
    </w:p>
    <w:p w:rsidR="00074250" w:rsidRDefault="00074250" w:rsidP="00074250">
      <w:pPr>
        <w:spacing w:before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  <w:t xml:space="preserve">A nova Lei inclui a prisão preventiva de urgência cabível em algumas circunstancias, dando ainda ampla discricionariedade ao juiz para decidir sobre a necessidade de segregação cautelar do indivíduo acusado da prática de violência contra a mulher, valendo-se de relações domésticas a familiares. </w:t>
      </w:r>
    </w:p>
    <w:p w:rsidR="00074250" w:rsidRDefault="00074250" w:rsidP="00074250">
      <w:pPr>
        <w:spacing w:before="24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84AD1">
        <w:rPr>
          <w:rFonts w:ascii="Times New Roman" w:hAnsi="Times New Roman"/>
          <w:b/>
          <w:color w:val="000000" w:themeColor="text1"/>
          <w:sz w:val="24"/>
          <w:szCs w:val="24"/>
        </w:rPr>
        <w:t xml:space="preserve">Tipos de Violência contra a Mulher previsto na Lei Maria da Penha </w:t>
      </w:r>
    </w:p>
    <w:p w:rsidR="00074250" w:rsidRPr="00726DD4" w:rsidRDefault="00074250" w:rsidP="00074250">
      <w:pPr>
        <w:spacing w:before="240" w:line="36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6DD4">
        <w:rPr>
          <w:rFonts w:ascii="Times New Roman" w:eastAsiaTheme="minorHAnsi" w:hAnsi="Times New Roman"/>
          <w:sz w:val="24"/>
          <w:szCs w:val="24"/>
        </w:rPr>
        <w:t xml:space="preserve">Cumpre lembrar que a Lei nº 11.340/2006 não cria tipos penais, mas prevê a aplicação de seus institutos a qualquer tipo de conduta atentatória prevista nos diversos diplomas legais quando resultantes do subjugo da mulher em relação ao agressor. </w:t>
      </w:r>
    </w:p>
    <w:p w:rsidR="00074250" w:rsidRPr="00726DD4" w:rsidRDefault="00074250" w:rsidP="00074250">
      <w:pPr>
        <w:spacing w:before="24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>Entr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>tanto, em seu dispositivo no Art. 7</w:t>
      </w:r>
      <w:r w:rsidRPr="00726DD4">
        <w:rPr>
          <w:rFonts w:ascii="Times New Roman" w:eastAsia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>a Lei Maria da Penha elenca as formas de violência doméstica e familiar contra a mulher, entre outras:</w:t>
      </w:r>
    </w:p>
    <w:p w:rsidR="00074250" w:rsidRPr="00726DD4" w:rsidRDefault="00074250" w:rsidP="00074250">
      <w:pPr>
        <w:spacing w:before="24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 xml:space="preserve">I - a violência física, entendida como qualquer conduta que ofenda sua integridade ou saúde corporal; </w:t>
      </w:r>
    </w:p>
    <w:p w:rsidR="00074250" w:rsidRPr="00726DD4" w:rsidRDefault="00074250" w:rsidP="00074250">
      <w:pPr>
        <w:spacing w:before="24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 xml:space="preserve">II - a violência psicológica, entendida como qualquer conduta que lhe cause dano emocional e diminuição da auto-estima ou que lhe prejudique e perturbe o pleno desenvolvimento ou que vise degradar ou controlar suas ações, comportamentos, crenças e decisões, mediante ameaça, constrangimento, humilhação, manipulação, isolamento, vigilância constante, perseguição contumaz, insulto, chantagem, </w:t>
      </w:r>
      <w:proofErr w:type="spellStart"/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>ridicularização</w:t>
      </w:r>
      <w:proofErr w:type="spellEnd"/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>, exploração e limitação do direito de ir e vir ou qualquer outro meio que lhe cause prejuízo à saúde psicológica e à autodeterminação;</w:t>
      </w:r>
    </w:p>
    <w:p w:rsidR="00074250" w:rsidRPr="00726DD4" w:rsidRDefault="00074250" w:rsidP="00074250">
      <w:pPr>
        <w:spacing w:before="24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>III - a violência sexual, entendida como qualquer conduta que a constranja a presenciar, a manter ou a participar de relação sexual não desejada, mediante intimidação, ameaça, coação ou uso da força; que a induza a comercializar ou a utilizar, de qualquer modo, a sua sexualidade, que a impeça de usar qualquer método contraceptivo ou que a force ao matrimônio, à gravidez, ao aborto ou à prostituição, mediante coação, chantagem, suborno ou manipulação; ou que limite ou anule o exercício de seus direitos sexuais e reprodutivos;</w:t>
      </w:r>
    </w:p>
    <w:p w:rsidR="00074250" w:rsidRPr="00726DD4" w:rsidRDefault="00074250" w:rsidP="00074250">
      <w:pPr>
        <w:spacing w:before="24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>IV - a violência patrimonial, entendida como qualquer conduta que configure retenção, subtração, destruição parcial ou total de seus objetos, instrumentos de trabalho, documentos pessoais, bens, valores e direitos ou recursos econômicos, incluindo os destinados a satisfazer suas necessidades;</w:t>
      </w:r>
    </w:p>
    <w:p w:rsidR="00074250" w:rsidRPr="00726DD4" w:rsidRDefault="00074250" w:rsidP="00074250">
      <w:pPr>
        <w:spacing w:before="24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V - a violência moral, entendida como qualquer conduta que configure calúnia, difamação ou injúria.</w:t>
      </w:r>
    </w:p>
    <w:p w:rsidR="00074250" w:rsidRPr="000759C1" w:rsidRDefault="00074250" w:rsidP="00074250">
      <w:pPr>
        <w:spacing w:before="24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 xml:space="preserve">Assim sendo percebe-se que foram contemplados os vários tipos de violência praticados contra as mulheres, sendo elas nas áreas: física, psicológica, sexual, patrimonial e moral. Para Campos (2010), a Lei Maria da Pena trouxe consigo um paradigma jurídico novo ao proporcionar uma proteção específica e mais individualizada às mulheres, quando estabeleceu a </w:t>
      </w:r>
      <w:r w:rsidRPr="000759C1">
        <w:rPr>
          <w:rFonts w:ascii="Times New Roman" w:eastAsia="Times New Roman" w:hAnsi="Times New Roman"/>
          <w:sz w:val="24"/>
          <w:szCs w:val="24"/>
          <w:lang w:eastAsia="pt-BR"/>
        </w:rPr>
        <w:t>criação de juizados especializados p</w:t>
      </w: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>ara o julgamento dos crimes</w:t>
      </w:r>
      <w:r w:rsidRPr="000759C1">
        <w:rPr>
          <w:rFonts w:ascii="Times New Roman" w:eastAsia="Times New Roman" w:hAnsi="Times New Roman"/>
          <w:sz w:val="24"/>
          <w:szCs w:val="24"/>
          <w:lang w:eastAsia="pt-BR"/>
        </w:rPr>
        <w:t xml:space="preserve"> previstos</w:t>
      </w:r>
      <w:r w:rsidRPr="00726DD4">
        <w:rPr>
          <w:rFonts w:ascii="Times New Roman" w:eastAsia="Times New Roman" w:hAnsi="Times New Roman"/>
          <w:sz w:val="24"/>
          <w:szCs w:val="24"/>
          <w:lang w:eastAsia="pt-BR"/>
        </w:rPr>
        <w:t xml:space="preserve"> na Lei</w:t>
      </w:r>
      <w:r w:rsidRPr="000759C1">
        <w:rPr>
          <w:rFonts w:ascii="Times New Roman" w:eastAsia="Times New Roman" w:hAnsi="Times New Roman"/>
          <w:sz w:val="24"/>
          <w:szCs w:val="24"/>
          <w:lang w:eastAsia="pt-BR"/>
        </w:rPr>
        <w:t>, de acordo com o artigo 14 da citada lei.</w:t>
      </w:r>
    </w:p>
    <w:p w:rsidR="00074250" w:rsidRPr="00726DD4" w:rsidRDefault="00074250" w:rsidP="00074250">
      <w:pPr>
        <w:tabs>
          <w:tab w:val="left" w:pos="8504"/>
        </w:tabs>
        <w:spacing w:before="100" w:beforeAutospacing="1" w:after="100" w:afterAutospacing="1" w:line="240" w:lineRule="auto"/>
        <w:ind w:left="2268" w:right="-1"/>
        <w:jc w:val="both"/>
        <w:rPr>
          <w:rFonts w:ascii="Times New Roman" w:eastAsia="Times New Roman" w:hAnsi="Times New Roman"/>
          <w:lang w:eastAsia="pt-BR"/>
        </w:rPr>
      </w:pPr>
      <w:r w:rsidRPr="000759C1">
        <w:rPr>
          <w:rFonts w:ascii="Times New Roman" w:eastAsia="Times New Roman" w:hAnsi="Times New Roman"/>
          <w:lang w:eastAsia="pt-BR"/>
        </w:rPr>
        <w:t xml:space="preserve">A Lei n. 11.340/2006 prevê que os </w:t>
      </w:r>
      <w:r>
        <w:rPr>
          <w:rFonts w:ascii="Times New Roman" w:eastAsia="Times New Roman" w:hAnsi="Times New Roman"/>
          <w:lang w:eastAsia="pt-BR"/>
        </w:rPr>
        <w:t xml:space="preserve">juizados poderão contar </w:t>
      </w:r>
      <w:r w:rsidRPr="000759C1">
        <w:rPr>
          <w:rFonts w:ascii="Times New Roman" w:eastAsia="Times New Roman" w:hAnsi="Times New Roman"/>
          <w:lang w:eastAsia="pt-BR"/>
        </w:rPr>
        <w:t>com uma equipe multidisciplinar qu</w:t>
      </w:r>
      <w:r>
        <w:rPr>
          <w:rFonts w:ascii="Times New Roman" w:eastAsia="Times New Roman" w:hAnsi="Times New Roman"/>
          <w:lang w:eastAsia="pt-BR"/>
        </w:rPr>
        <w:t xml:space="preserve">e será composta por uma rede de </w:t>
      </w:r>
      <w:r w:rsidRPr="000759C1">
        <w:rPr>
          <w:rFonts w:ascii="Times New Roman" w:eastAsia="Times New Roman" w:hAnsi="Times New Roman"/>
          <w:lang w:eastAsia="pt-BR"/>
        </w:rPr>
        <w:t>profissionais das áreas psicossocial, ju</w:t>
      </w:r>
      <w:r>
        <w:rPr>
          <w:rFonts w:ascii="Times New Roman" w:eastAsia="Times New Roman" w:hAnsi="Times New Roman"/>
          <w:lang w:eastAsia="pt-BR"/>
        </w:rPr>
        <w:t xml:space="preserve">rídica e de saúde. Nas comarcas </w:t>
      </w:r>
      <w:r w:rsidRPr="000759C1">
        <w:rPr>
          <w:rFonts w:ascii="Times New Roman" w:eastAsia="Times New Roman" w:hAnsi="Times New Roman"/>
          <w:lang w:eastAsia="pt-BR"/>
        </w:rPr>
        <w:t>onde esses ainda não tenham si</w:t>
      </w:r>
      <w:r>
        <w:rPr>
          <w:rFonts w:ascii="Times New Roman" w:eastAsia="Times New Roman" w:hAnsi="Times New Roman"/>
          <w:lang w:eastAsia="pt-BR"/>
        </w:rPr>
        <w:t xml:space="preserve">do criados, os crimes devem ser </w:t>
      </w:r>
      <w:r w:rsidRPr="000759C1">
        <w:rPr>
          <w:rFonts w:ascii="Times New Roman" w:eastAsia="Times New Roman" w:hAnsi="Times New Roman"/>
          <w:lang w:eastAsia="pt-BR"/>
        </w:rPr>
        <w:t>julgados nas varas criminais. A l</w:t>
      </w:r>
      <w:r>
        <w:rPr>
          <w:rFonts w:ascii="Times New Roman" w:eastAsia="Times New Roman" w:hAnsi="Times New Roman"/>
          <w:lang w:eastAsia="pt-BR"/>
        </w:rPr>
        <w:t xml:space="preserve">ei também proíbe a aplicação de </w:t>
      </w:r>
      <w:r w:rsidRPr="000759C1">
        <w:rPr>
          <w:rFonts w:ascii="Times New Roman" w:eastAsia="Times New Roman" w:hAnsi="Times New Roman"/>
          <w:lang w:eastAsia="pt-BR"/>
        </w:rPr>
        <w:t xml:space="preserve">penas pecuniárias e pagamentos de cestas básicas. </w:t>
      </w:r>
      <w:r w:rsidRPr="00726DD4">
        <w:rPr>
          <w:rFonts w:ascii="Times New Roman" w:eastAsia="Times New Roman" w:hAnsi="Times New Roman"/>
          <w:lang w:eastAsia="pt-BR"/>
        </w:rPr>
        <w:t>(Lei 11.340/06)</w:t>
      </w:r>
    </w:p>
    <w:p w:rsidR="00074250" w:rsidRPr="00384AD1" w:rsidRDefault="00074250" w:rsidP="00074250">
      <w:pPr>
        <w:spacing w:before="24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Estatísticas da Violência Fatal contra a Mulher no Brasil </w:t>
      </w:r>
    </w:p>
    <w:p w:rsidR="00074250" w:rsidRPr="00AA06B6" w:rsidRDefault="00074250" w:rsidP="00074250">
      <w:pPr>
        <w:spacing w:before="24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598C">
        <w:rPr>
          <w:rFonts w:ascii="Times New Roman" w:hAnsi="Times New Roman"/>
          <w:color w:val="000000"/>
          <w:sz w:val="24"/>
          <w:szCs w:val="24"/>
        </w:rPr>
        <w:t>A construção de conquistas e direitos sempre foi tema gerador de grandes discussões. Pois somos frutos de uma sociedade marcada por uma cultura extremamente patriarcal, onde a mulher tem por quase por obrigação que desenvolver uma postura de obediência. Entretanto apesar e muitas conquistas outras ainda estão por serem concretizadas, como por exemplo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8598C">
        <w:rPr>
          <w:rFonts w:ascii="Times New Roman" w:hAnsi="Times New Roman"/>
          <w:color w:val="000000"/>
          <w:sz w:val="24"/>
          <w:szCs w:val="24"/>
        </w:rPr>
        <w:t xml:space="preserve"> a conscientização acerca da</w:t>
      </w:r>
      <w:r w:rsidRPr="00F8598C">
        <w:rPr>
          <w:rFonts w:ascii="Times New Roman" w:hAnsi="Times New Roman"/>
          <w:sz w:val="24"/>
          <w:szCs w:val="24"/>
        </w:rPr>
        <w:t xml:space="preserve"> violência doméstica contra a mulher, uma vez que ainda faz parte de uma realidade que assombra o público feminino, violando os seus direitos em diferentes cantos do planeta, nas mais variadas idades, etnias e estratos sociais.</w:t>
      </w:r>
    </w:p>
    <w:p w:rsidR="00074250" w:rsidRPr="00384AD1" w:rsidRDefault="00074250" w:rsidP="00074250">
      <w:pPr>
        <w:spacing w:before="240" w:line="36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84AD1">
        <w:rPr>
          <w:rFonts w:ascii="Times New Roman" w:hAnsi="Times New Roman"/>
          <w:color w:val="000000" w:themeColor="text1"/>
          <w:sz w:val="24"/>
          <w:szCs w:val="24"/>
        </w:rPr>
        <w:t>Segundonos</w:t>
      </w:r>
      <w:proofErr w:type="spellEnd"/>
      <w:r w:rsidRPr="00384AD1">
        <w:rPr>
          <w:rFonts w:ascii="Times New Roman" w:hAnsi="Times New Roman"/>
          <w:color w:val="000000" w:themeColor="text1"/>
          <w:sz w:val="24"/>
          <w:szCs w:val="24"/>
        </w:rPr>
        <w:t xml:space="preserve"> informa </w:t>
      </w:r>
      <w:proofErr w:type="spellStart"/>
      <w:proofErr w:type="gramStart"/>
      <w:r w:rsidRPr="00384AD1">
        <w:rPr>
          <w:rFonts w:ascii="Times New Roman" w:hAnsi="Times New Roman"/>
          <w:color w:val="000000" w:themeColor="text1"/>
          <w:sz w:val="24"/>
          <w:szCs w:val="24"/>
        </w:rPr>
        <w:t>oCaderno</w:t>
      </w:r>
      <w:proofErr w:type="spellEnd"/>
      <w:proofErr w:type="gramEnd"/>
      <w:r w:rsidRPr="00384AD1">
        <w:rPr>
          <w:rFonts w:ascii="Times New Roman" w:hAnsi="Times New Roman"/>
          <w:color w:val="000000" w:themeColor="text1"/>
          <w:sz w:val="24"/>
          <w:szCs w:val="24"/>
        </w:rPr>
        <w:t xml:space="preserve"> Complementar 1 - Homicídio de Mulheres no Brasil do supracitado Mapa da Violência 2012 nos 30 anos decorridos entre 1980 e 2010 acima de 92mil </w:t>
      </w:r>
      <w:proofErr w:type="spellStart"/>
      <w:r w:rsidRPr="00384AD1">
        <w:rPr>
          <w:rFonts w:ascii="Times New Roman" w:hAnsi="Times New Roman"/>
          <w:color w:val="000000" w:themeColor="text1"/>
          <w:sz w:val="24"/>
          <w:szCs w:val="24"/>
        </w:rPr>
        <w:t>mulheresforam</w:t>
      </w:r>
      <w:proofErr w:type="spellEnd"/>
      <w:r w:rsidRPr="00384AD1">
        <w:rPr>
          <w:rFonts w:ascii="Times New Roman" w:hAnsi="Times New Roman"/>
          <w:color w:val="000000" w:themeColor="text1"/>
          <w:sz w:val="24"/>
          <w:szCs w:val="24"/>
        </w:rPr>
        <w:t xml:space="preserve"> assassinadas no país, 43,7mil só na última década</w:t>
      </w:r>
      <w:r w:rsidRPr="00384AD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074250" w:rsidRPr="00332275" w:rsidRDefault="00074250" w:rsidP="00074250">
      <w:pPr>
        <w:spacing w:before="24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2275">
        <w:rPr>
          <w:rFonts w:ascii="Times New Roman" w:hAnsi="Times New Roman"/>
          <w:sz w:val="24"/>
          <w:szCs w:val="24"/>
          <w:shd w:val="clear" w:color="auto" w:fill="FFFFFF"/>
        </w:rPr>
        <w:t>O número de mortes nesse período passou de 1.353 para 4.465, o que representa um aumento de 230%, mais que triplicando o quantitativo de mulheres vítimas de assassinato no país, em taxa duplicou, passando de 2,3 para 4,6. A tabela 1 ilustra ano a ano o número e a taxa de homicídios cometidos.</w:t>
      </w:r>
    </w:p>
    <w:p w:rsidR="00074250" w:rsidRPr="00332275" w:rsidRDefault="00074250" w:rsidP="00074250">
      <w:pPr>
        <w:pStyle w:val="Legenda"/>
        <w:keepNext/>
        <w:spacing w:before="200"/>
        <w:rPr>
          <w:rFonts w:ascii="Times New Roman" w:hAnsi="Times New Roman"/>
          <w:b w:val="0"/>
          <w:color w:val="auto"/>
          <w:sz w:val="20"/>
        </w:rPr>
      </w:pPr>
      <w:bookmarkStart w:id="0" w:name="_Toc340470948"/>
      <w:r w:rsidRPr="00332275">
        <w:rPr>
          <w:rFonts w:ascii="Times New Roman" w:hAnsi="Times New Roman"/>
          <w:b w:val="0"/>
          <w:color w:val="auto"/>
          <w:sz w:val="20"/>
        </w:rPr>
        <w:t xml:space="preserve">Tabela </w:t>
      </w:r>
      <w:r w:rsidR="00AD05B2" w:rsidRPr="00332275">
        <w:rPr>
          <w:rFonts w:ascii="Times New Roman" w:hAnsi="Times New Roman"/>
          <w:b w:val="0"/>
          <w:color w:val="auto"/>
          <w:sz w:val="20"/>
        </w:rPr>
        <w:fldChar w:fldCharType="begin"/>
      </w:r>
      <w:r w:rsidRPr="00332275">
        <w:rPr>
          <w:rFonts w:ascii="Times New Roman" w:hAnsi="Times New Roman"/>
          <w:b w:val="0"/>
          <w:color w:val="auto"/>
          <w:sz w:val="20"/>
        </w:rPr>
        <w:instrText xml:space="preserve"> SEQ Tabela \* ARABIC </w:instrText>
      </w:r>
      <w:r w:rsidR="00AD05B2" w:rsidRPr="00332275">
        <w:rPr>
          <w:rFonts w:ascii="Times New Roman" w:hAnsi="Times New Roman"/>
          <w:b w:val="0"/>
          <w:color w:val="auto"/>
          <w:sz w:val="20"/>
        </w:rPr>
        <w:fldChar w:fldCharType="separate"/>
      </w:r>
      <w:r>
        <w:rPr>
          <w:rFonts w:ascii="Times New Roman" w:hAnsi="Times New Roman"/>
          <w:b w:val="0"/>
          <w:noProof/>
          <w:color w:val="auto"/>
          <w:sz w:val="20"/>
        </w:rPr>
        <w:t>2</w:t>
      </w:r>
      <w:r w:rsidR="00AD05B2" w:rsidRPr="00332275">
        <w:rPr>
          <w:rFonts w:ascii="Times New Roman" w:hAnsi="Times New Roman"/>
          <w:b w:val="0"/>
          <w:color w:val="auto"/>
          <w:sz w:val="20"/>
        </w:rPr>
        <w:fldChar w:fldCharType="end"/>
      </w:r>
      <w:r w:rsidRPr="00332275">
        <w:rPr>
          <w:rFonts w:ascii="Times New Roman" w:hAnsi="Times New Roman"/>
          <w:b w:val="0"/>
          <w:color w:val="auto"/>
          <w:sz w:val="20"/>
        </w:rPr>
        <w:t>. Número e taxas (em 100mil mulheres) de homicídios femininos no Brasil no período de 1980 a 2010.</w:t>
      </w:r>
      <w:bookmarkEnd w:id="0"/>
    </w:p>
    <w:tbl>
      <w:tblPr>
        <w:tblStyle w:val="Tabelacomgrade"/>
        <w:tblW w:w="7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42"/>
        <w:gridCol w:w="803"/>
        <w:gridCol w:w="836"/>
        <w:gridCol w:w="268"/>
        <w:gridCol w:w="742"/>
        <w:gridCol w:w="803"/>
        <w:gridCol w:w="836"/>
        <w:gridCol w:w="268"/>
        <w:gridCol w:w="742"/>
        <w:gridCol w:w="803"/>
        <w:gridCol w:w="836"/>
      </w:tblGrid>
      <w:tr w:rsidR="00074250" w:rsidRPr="00332275" w:rsidTr="00226EB3">
        <w:trPr>
          <w:trHeight w:val="20"/>
          <w:tblHeader/>
        </w:trPr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Taxas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Taxas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Taxas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1980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1.353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2,3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2.585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3,5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3.743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4,3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1981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1.487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2,4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2.727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3,7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3.851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4,4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1982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1.497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2,4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2.399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3,2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3.867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4,4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1983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1.700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2,7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2.622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3,4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3.937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4,4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1984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1.736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2,7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2.838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3,6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3.830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4,2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1985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1.766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2,7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3.325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3.884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4,2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1986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1.799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2,7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3.682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4.022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4,2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1987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1.935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2,8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3.587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3.772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3,9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1988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2.025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2,9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3.503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4.023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4,2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1989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2.344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3,3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1999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3.536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2009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4.260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4,4</w:t>
            </w:r>
          </w:p>
        </w:tc>
      </w:tr>
      <w:tr w:rsidR="00074250" w:rsidRPr="00332275" w:rsidTr="00226EB3">
        <w:trPr>
          <w:trHeight w:val="20"/>
        </w:trPr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2010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4.465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4,6</w:t>
            </w:r>
          </w:p>
        </w:tc>
      </w:tr>
    </w:tbl>
    <w:p w:rsidR="00074250" w:rsidRPr="00332275" w:rsidRDefault="00074250" w:rsidP="00074250">
      <w:pPr>
        <w:spacing w:line="240" w:lineRule="auto"/>
        <w:jc w:val="both"/>
        <w:rPr>
          <w:rFonts w:ascii="Times New Roman" w:hAnsi="Times New Roman"/>
          <w:color w:val="000000"/>
          <w:sz w:val="16"/>
          <w:szCs w:val="24"/>
          <w:shd w:val="clear" w:color="auto" w:fill="FFFFFF"/>
        </w:rPr>
      </w:pPr>
      <w:r w:rsidRPr="00332275">
        <w:rPr>
          <w:rFonts w:ascii="Times New Roman" w:hAnsi="Times New Roman"/>
          <w:color w:val="000000"/>
          <w:sz w:val="16"/>
          <w:szCs w:val="24"/>
          <w:shd w:val="clear" w:color="auto" w:fill="FFFFFF"/>
        </w:rPr>
        <w:t>Fonte: SIM/SVS/MS</w:t>
      </w:r>
    </w:p>
    <w:p w:rsidR="00074250" w:rsidRDefault="00074250" w:rsidP="0007425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074250" w:rsidRDefault="00074250" w:rsidP="0007425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Dessa forma o mapa deve servir como parâmetro para que sejam criadas e postas em prática políticas públicas que façam valer os direitos sobre o respeito ideal à vida e a dignidade da mulher. </w:t>
      </w:r>
    </w:p>
    <w:p w:rsidR="00074250" w:rsidRDefault="00074250" w:rsidP="0007425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Ainda acerca da análise quantitativa e qualitativa percebe-se que em 2007, ano seguinte a criação da Lei Maria da Penha (2006), houve uma pequena redução das mortes violentas contra as mulheres, sendo possível inferir que, ainda que minimamente, mas a campanha de valorização ao ser humano atinge positivamente a população, porém,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é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necessário maiores investimentos, realizados regularmente. </w:t>
      </w:r>
    </w:p>
    <w:p w:rsidR="00074250" w:rsidRDefault="00074250" w:rsidP="0007425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22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Ao longo desses 30anos muito se fez para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recrudescer a </w:t>
      </w:r>
      <w:r w:rsidRPr="003322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criminaliza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ção</w:t>
      </w:r>
      <w:r w:rsidRPr="003322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conter essa violência.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 seguida, apresentamos uma breve cronologia desses esforços:</w:t>
      </w:r>
    </w:p>
    <w:p w:rsidR="00074250" w:rsidRPr="005F251C" w:rsidRDefault="00074250" w:rsidP="00074250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78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1980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2,3/1000)</w:t>
      </w:r>
    </w:p>
    <w:p w:rsidR="00074250" w:rsidRPr="00222E3D" w:rsidRDefault="00074250" w:rsidP="00074250">
      <w:pPr>
        <w:shd w:val="clear" w:color="auto" w:fill="FFFFFF"/>
        <w:spacing w:before="100" w:beforeAutospacing="1" w:after="24" w:line="360" w:lineRule="auto"/>
        <w:ind w:left="24" w:firstLine="6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 e</w:t>
      </w:r>
      <w:r w:rsidRPr="00E4785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ncontro Feminista de Valinhos, São Paulo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foi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recomendado</w:t>
      </w:r>
      <w:proofErr w:type="gramEnd"/>
      <w:r w:rsidRPr="00E4785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 criação de centros de autodefesa, para coibir a violência contra a mulher. Surge o lema: </w:t>
      </w:r>
      <w:r w:rsidRPr="00E47852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"Quem ama não mata"</w:t>
      </w:r>
      <w:r w:rsidRPr="00E4785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670AB8">
        <w:rPr>
          <w:rFonts w:ascii="Times New Roman" w:hAnsi="Times New Roman"/>
          <w:color w:val="000000"/>
          <w:sz w:val="24"/>
          <w:szCs w:val="24"/>
        </w:rPr>
        <w:t>O título tem sua origem na onda de crimes passionais que ocorria no país na época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70AB8">
        <w:rPr>
          <w:rFonts w:ascii="Times New Roman" w:hAnsi="Times New Roman"/>
          <w:color w:val="000000"/>
          <w:sz w:val="24"/>
          <w:szCs w:val="24"/>
        </w:rPr>
        <w:t xml:space="preserve">Um dos mais famosos casos é o </w:t>
      </w:r>
      <w:proofErr w:type="spellStart"/>
      <w:r w:rsidRPr="00670AB8">
        <w:rPr>
          <w:rFonts w:ascii="Times New Roman" w:hAnsi="Times New Roman"/>
          <w:color w:val="000000"/>
          <w:sz w:val="24"/>
          <w:szCs w:val="24"/>
        </w:rPr>
        <w:t>de</w:t>
      </w:r>
      <w:hyperlink r:id="rId4" w:tooltip="Doca Street" w:history="1">
        <w:r w:rsidRPr="00670AB8">
          <w:rPr>
            <w:rStyle w:val="Hyperlink"/>
            <w:rFonts w:ascii="Times New Roman" w:hAnsi="Times New Roman"/>
            <w:sz w:val="24"/>
            <w:szCs w:val="24"/>
          </w:rPr>
          <w:t>Doca</w:t>
        </w:r>
        <w:proofErr w:type="spellEnd"/>
        <w:r w:rsidRPr="00670AB8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70AB8">
          <w:rPr>
            <w:rStyle w:val="Hyperlink"/>
            <w:rFonts w:ascii="Times New Roman" w:hAnsi="Times New Roman"/>
            <w:sz w:val="24"/>
            <w:szCs w:val="24"/>
          </w:rPr>
          <w:t>Street</w:t>
        </w:r>
        <w:proofErr w:type="spellEnd"/>
      </w:hyperlink>
      <w:r w:rsidRPr="00670AB8">
        <w:rPr>
          <w:rFonts w:ascii="Times New Roman" w:hAnsi="Times New Roman"/>
          <w:sz w:val="24"/>
          <w:szCs w:val="24"/>
        </w:rPr>
        <w:t xml:space="preserve">, que matou sua </w:t>
      </w:r>
      <w:proofErr w:type="spellStart"/>
      <w:proofErr w:type="gramStart"/>
      <w:r w:rsidRPr="00670AB8">
        <w:rPr>
          <w:rFonts w:ascii="Times New Roman" w:hAnsi="Times New Roman"/>
          <w:sz w:val="24"/>
          <w:szCs w:val="24"/>
        </w:rPr>
        <w:t>companheira</w:t>
      </w:r>
      <w:r w:rsidRPr="00222E3D">
        <w:rPr>
          <w:rFonts w:ascii="Times New Roman" w:hAnsi="Times New Roman"/>
          <w:bCs/>
          <w:sz w:val="24"/>
          <w:szCs w:val="24"/>
        </w:rPr>
        <w:t>Ângela</w:t>
      </w:r>
      <w:proofErr w:type="spellEnd"/>
      <w:proofErr w:type="gramEnd"/>
      <w:r w:rsidRPr="00222E3D">
        <w:rPr>
          <w:rFonts w:ascii="Times New Roman" w:hAnsi="Times New Roman"/>
          <w:bCs/>
          <w:sz w:val="24"/>
          <w:szCs w:val="24"/>
        </w:rPr>
        <w:t xml:space="preserve"> Diniz</w:t>
      </w:r>
      <w:r w:rsidRPr="00222E3D">
        <w:rPr>
          <w:rFonts w:ascii="Times New Roman" w:hAnsi="Times New Roman"/>
          <w:sz w:val="24"/>
          <w:szCs w:val="24"/>
        </w:rPr>
        <w:t>.</w:t>
      </w:r>
    </w:p>
    <w:p w:rsidR="00074250" w:rsidRPr="00F8598C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Ganha fôlego 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SOS M</w:t>
      </w:r>
      <w:r w:rsidRPr="00E4785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ulher,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com atendimento multidisciplinar que se traduziria, em seguida, na criação de Delegacias Especiais de Atendimento à Mulher.</w:t>
      </w:r>
    </w:p>
    <w:p w:rsidR="00074250" w:rsidRDefault="00074250" w:rsidP="00074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7"/>
          <w:lang w:eastAsia="pt-BR"/>
        </w:rPr>
      </w:pPr>
    </w:p>
    <w:p w:rsidR="00074250" w:rsidRDefault="00074250" w:rsidP="00074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b/>
          <w:color w:val="000000"/>
          <w:sz w:val="24"/>
          <w:szCs w:val="27"/>
          <w:lang w:eastAsia="pt-BR"/>
        </w:rPr>
        <w:t>1982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2,4/1000)</w:t>
      </w:r>
    </w:p>
    <w:p w:rsidR="00074250" w:rsidRPr="00E47852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Nas eleições diretas para os governos estaduais, o movimento de mulheres elabora uma plataforma feminista submetida aos candidatos. Recebeu o título de </w:t>
      </w:r>
      <w:r w:rsidRPr="00E47852">
        <w:rPr>
          <w:rFonts w:ascii="Times New Roman" w:eastAsia="Times New Roman" w:hAnsi="Times New Roman"/>
          <w:i/>
          <w:color w:val="000000"/>
          <w:sz w:val="24"/>
          <w:szCs w:val="27"/>
          <w:lang w:eastAsia="pt-BR"/>
        </w:rPr>
        <w:t>Alerta Feminista</w:t>
      </w: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, que acabou virando uma tradição.</w:t>
      </w:r>
    </w:p>
    <w:p w:rsidR="00074250" w:rsidRDefault="00074250" w:rsidP="00074250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  <w:t>1983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2,7/1000)</w:t>
      </w:r>
    </w:p>
    <w:p w:rsidR="00074250" w:rsidRPr="00E47852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lastRenderedPageBreak/>
        <w:t>Criados em São Paulo e Minas Gerais os primeiros conselhos estaduais da condição feminina, para traçar políticas públicas para as mulheres.</w:t>
      </w:r>
    </w:p>
    <w:p w:rsidR="00074250" w:rsidRPr="00AA06B6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O Ministério da Saúde cria o PAISM - Programa de Atenção Integral à Saúde da Mulher, resultado da forte mobilização empreendida pelos movimentos feministas no final dos anos 70 e início dos 80. O PAISM surgiu fundamentado nos princípio mais importante do modelo de assistência: o da integralidade do corpo, da mente e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da sexualidade de cada mulher.</w:t>
      </w:r>
    </w:p>
    <w:p w:rsidR="00074250" w:rsidRDefault="00074250" w:rsidP="00074250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  <w:t>1985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2,7/1000)</w:t>
      </w:r>
    </w:p>
    <w:p w:rsidR="00074250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Surge a primeira Delegacia de Atendimento Especializado à Mulher - DEAM, em São Paulo e, rapidamente, várias outras são implantadas em outros estados </w:t>
      </w:r>
      <w:proofErr w:type="gramStart"/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brasileiros.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A Delegacia de Defesa da Mulher de Fortaleza, foi a primeira criada no Ceará no ano 1986. </w:t>
      </w:r>
    </w:p>
    <w:p w:rsidR="00074250" w:rsidRPr="00E47852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A Câmara dos Deputados aprova o Projeto de Lei nº 7353, que criou o Conselho Nacional dos Direitos da Mulher.</w:t>
      </w:r>
    </w:p>
    <w:p w:rsidR="00074250" w:rsidRDefault="00074250" w:rsidP="00074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7852"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  <w:t>1992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3,2/1000)</w:t>
      </w:r>
    </w:p>
    <w:p w:rsidR="00074250" w:rsidRDefault="00074250" w:rsidP="00074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</w:pPr>
    </w:p>
    <w:p w:rsidR="00074250" w:rsidRPr="00E47852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Realizada no Rio de Janeiro a ECO 92 - Conferência da ONU sobre o Meio Ambiente e o Desenvolvimento Sustentável, que teve participação ativa das mulheres, através do </w:t>
      </w:r>
      <w:proofErr w:type="gramStart"/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Planeta Fêmea</w:t>
      </w:r>
      <w:proofErr w:type="gramEnd"/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, a Agenda 21 e no Tratado da Convenção.</w:t>
      </w:r>
    </w:p>
    <w:p w:rsidR="00074250" w:rsidRPr="006012B0" w:rsidRDefault="00074250" w:rsidP="00074250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7852"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  <w:t>1993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3,4/1000)</w:t>
      </w:r>
    </w:p>
    <w:p w:rsidR="00074250" w:rsidRPr="00E47852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Ocorre na </w:t>
      </w: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Áustria, 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na capital Viena a</w:t>
      </w: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Conferência de Direitos Humanos de Viena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que teve como deliberação o repúdio </w:t>
      </w: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e condenação veemente a todas as formas de violência contra as mulheres. Durante o evento, a violação de Gê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nero assume o mesmo status</w:t>
      </w: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que outras violações brutais dos direitos humanos como o genocídio, a limpeza étnica, as torturas, a discr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iminação racial e o terrorismo.</w:t>
      </w: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É declarado que “Os direitos das mulheres e das meninas são parte inalienável e indivisível dos direitos humanos”.</w:t>
      </w:r>
    </w:p>
    <w:p w:rsidR="00074250" w:rsidRDefault="00074250" w:rsidP="00074250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  <w:t>1994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3,6/1000)</w:t>
      </w:r>
    </w:p>
    <w:p w:rsidR="00074250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É aprovada a Convenção Interamericana para Prevenir, Punir e Erradicar a Violência Contra a Mulher, conhecida como a Convenção de Belém do Pará.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Em suas variadas discussões acerca de temas tendo a mulher como foco, definiu por violência contra a mulher “qualquer ato ou conduta 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lastRenderedPageBreak/>
        <w:t xml:space="preserve">baseada no gênero, que cause morte dano ou sofrimento físico, sexual ou psicológico à mulher, tanto na esfera pública como na esfera privada”. </w:t>
      </w:r>
    </w:p>
    <w:p w:rsidR="00074250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Ainda acerca da Convenção de Belém do Pará, esta dispôs em um documento os direitos das mulheres, em seu art. 4. Caput, “toda mulher tem direito ao reconhecimento, desfrute, exercício e proteção de todos os direitos humanos e liberdades consagrados em todos os direitos humanos e liberdades consagrados em todos os instrumentos regionais e internacionais relativos aos direitos humanos”.</w:t>
      </w:r>
    </w:p>
    <w:p w:rsidR="00074250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Dessa forma, o texto dos artigos 4,5 e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6</w:t>
      </w:r>
      <w:proofErr w:type="gramEnd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tem por objeto a tutela dos direitos que buscam proteger s mulheres contra quaisquer atos de violência capaz de atingi-los fisicamente ou moralmente.  </w:t>
      </w:r>
    </w:p>
    <w:p w:rsidR="00074250" w:rsidRPr="006012B0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Os artigos seguintes 7, 8 e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9</w:t>
      </w:r>
      <w:proofErr w:type="gramEnd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versam sobre os deveres dos Estados frente as necessidades das mulheres prevendo a organização e implementação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políticas públicas, descrevendo no art. 7, em seu caput que “os Estados Partes condenam todas as formas de violência contra a mulher e convêm adotar, por todos os meios apropriados e sem demora, políticas públicas destinadas a prevenir, punir 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erradicarl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violência”. </w:t>
      </w:r>
    </w:p>
    <w:p w:rsidR="00074250" w:rsidRDefault="00074250" w:rsidP="00074250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  <w:t>1995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4,2/1000)</w:t>
      </w:r>
    </w:p>
    <w:p w:rsidR="00074250" w:rsidRPr="00E47852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Empossado, o Presidente da República, Fernando Henrique Cardoso reativou o CNDM - Conselho Nacional dos Direitos da Mulher, vinculad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o ao Ministério da Justiça, que</w:t>
      </w: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novamente é esvaziado em estrutu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ra e status nos anos de 97 e 98</w:t>
      </w: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. Em 1999 começa uma reestruturação resultante de pressões do movimento feminista.</w:t>
      </w:r>
    </w:p>
    <w:p w:rsidR="00074250" w:rsidRPr="00E47852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China, </w:t>
      </w:r>
      <w:proofErr w:type="spellStart"/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Beijing</w:t>
      </w:r>
      <w:proofErr w:type="spellEnd"/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- Realizada a IV Conferência Mundial das Nações Unidas sobre a Mulher. Marcou o reconhecimento definitivo do papel econômico e social da mulher; abriu os caminhos do futuro, consagrou todas as conquistas das mulheres; o princípio da universalidade dos direitos humanos, o respeito à especificidade das culturas.</w:t>
      </w:r>
    </w:p>
    <w:p w:rsidR="00074250" w:rsidRDefault="00074250" w:rsidP="00074250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b/>
          <w:bCs/>
          <w:color w:val="000000"/>
          <w:sz w:val="24"/>
          <w:szCs w:val="27"/>
          <w:lang w:eastAsia="pt-BR"/>
        </w:rPr>
        <w:t>1996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4,6/1000)</w:t>
      </w:r>
    </w:p>
    <w:p w:rsidR="00074250" w:rsidRPr="00E47852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O Congresso Nacional incluiu o sistema de cotas, na Legislação Eleitoral, obrigando os partidos políticos a inscreverem, no mínimo 20% de mulheres em suas chapas proporcionais </w:t>
      </w:r>
      <w:proofErr w:type="gramStart"/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( </w:t>
      </w:r>
      <w:proofErr w:type="gramEnd"/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Lei nº 9.100/95 - § 3º, art. 11), e a Lei 9504/97 eleva para 30%, sendo que para 1998 foi definido 25% das vagas.</w:t>
      </w:r>
    </w:p>
    <w:p w:rsidR="00074250" w:rsidRPr="000C06E1" w:rsidRDefault="00074250" w:rsidP="00074250">
      <w:pPr>
        <w:shd w:val="clear" w:color="auto" w:fill="FFFFFF"/>
        <w:spacing w:before="240" w:line="360" w:lineRule="auto"/>
        <w:ind w:firstLine="708"/>
        <w:jc w:val="both"/>
        <w:rPr>
          <w:rStyle w:val="Forte"/>
          <w:rFonts w:ascii="Times New Roman" w:eastAsia="Times New Roman" w:hAnsi="Times New Roman"/>
          <w:b w:val="0"/>
          <w:bCs w:val="0"/>
          <w:color w:val="000000"/>
          <w:sz w:val="24"/>
          <w:szCs w:val="27"/>
          <w:lang w:eastAsia="pt-BR"/>
        </w:rPr>
      </w:pP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lastRenderedPageBreak/>
        <w:t>As mulheres ocupam 7% das cadeiras da Câmara dos Deputados; 7,4% do Senado Federal; 6% das prefeituras brasileiras (302). O índice de vereadoras eleitas aumentou d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e 5,5%, em 92, para 12%, em 96.</w:t>
      </w:r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 xml:space="preserve"> As mulheres são ainda apenas </w:t>
      </w:r>
      <w:proofErr w:type="gramStart"/>
      <w:r w:rsidRPr="00E47852"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7,85% (82) dos deputados estaduais e 5,6</w:t>
      </w:r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5% (29) dos deputados federais</w:t>
      </w:r>
      <w:proofErr w:type="gramEnd"/>
      <w:r>
        <w:rPr>
          <w:rFonts w:ascii="Times New Roman" w:eastAsia="Times New Roman" w:hAnsi="Times New Roman"/>
          <w:color w:val="000000"/>
          <w:sz w:val="24"/>
          <w:szCs w:val="27"/>
          <w:lang w:eastAsia="pt-BR"/>
        </w:rPr>
        <w:t>.</w:t>
      </w:r>
    </w:p>
    <w:p w:rsidR="00074250" w:rsidRDefault="00074250" w:rsidP="00074250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0451FC">
        <w:rPr>
          <w:rStyle w:val="Forte"/>
          <w:rFonts w:ascii="Times New Roman" w:hAnsi="Times New Roman"/>
          <w:sz w:val="24"/>
          <w:szCs w:val="12"/>
        </w:rPr>
        <w:t>2000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4,3/1000)</w:t>
      </w:r>
    </w:p>
    <w:p w:rsidR="00074250" w:rsidRDefault="00074250" w:rsidP="00074250">
      <w:pPr>
        <w:spacing w:line="360" w:lineRule="auto"/>
        <w:ind w:firstLine="708"/>
        <w:jc w:val="both"/>
        <w:rPr>
          <w:rFonts w:ascii="Times New Roman" w:hAnsi="Times New Roman"/>
          <w:sz w:val="24"/>
          <w:szCs w:val="12"/>
        </w:rPr>
      </w:pPr>
      <w:r w:rsidRPr="000451FC">
        <w:rPr>
          <w:rFonts w:ascii="Times New Roman" w:hAnsi="Times New Roman"/>
          <w:sz w:val="24"/>
          <w:szCs w:val="12"/>
        </w:rPr>
        <w:t xml:space="preserve">É lançada a Marcha das Margaridas, que é uma a mobilização organizada nacionalmente pelas trabalhadoras rurais, acontece a cada 04 anos, sempre no mês de agosto. O mês é simbólico por se tratar da data do assassinato, </w:t>
      </w:r>
      <w:proofErr w:type="gramStart"/>
      <w:r w:rsidRPr="000451FC">
        <w:rPr>
          <w:rFonts w:ascii="Times New Roman" w:hAnsi="Times New Roman"/>
          <w:sz w:val="24"/>
          <w:szCs w:val="12"/>
        </w:rPr>
        <w:t>há</w:t>
      </w:r>
      <w:proofErr w:type="gramEnd"/>
      <w:r w:rsidRPr="000451FC">
        <w:rPr>
          <w:rFonts w:ascii="Times New Roman" w:hAnsi="Times New Roman"/>
          <w:sz w:val="24"/>
          <w:szCs w:val="12"/>
        </w:rPr>
        <w:t xml:space="preserve"> 27 anos, da líder sindical Margarida Alves, que defendia direitos das trabalhadoras e dos trabalhadores rurais.</w:t>
      </w:r>
    </w:p>
    <w:p w:rsidR="00074250" w:rsidRDefault="00074250" w:rsidP="00074250">
      <w:pPr>
        <w:spacing w:line="360" w:lineRule="auto"/>
        <w:jc w:val="both"/>
        <w:rPr>
          <w:rStyle w:val="Forte"/>
          <w:rFonts w:ascii="Times New Roman" w:hAnsi="Times New Roman"/>
          <w:sz w:val="24"/>
          <w:szCs w:val="12"/>
        </w:rPr>
      </w:pPr>
      <w:r>
        <w:rPr>
          <w:rStyle w:val="Forte"/>
          <w:rFonts w:ascii="Times New Roman" w:hAnsi="Times New Roman"/>
          <w:sz w:val="24"/>
          <w:szCs w:val="12"/>
        </w:rPr>
        <w:t xml:space="preserve">2007 (taxa de </w:t>
      </w:r>
      <w:proofErr w:type="spellStart"/>
      <w:r>
        <w:rPr>
          <w:rStyle w:val="Forte"/>
          <w:rFonts w:ascii="Times New Roman" w:hAnsi="Times New Roman"/>
          <w:sz w:val="24"/>
          <w:szCs w:val="12"/>
        </w:rPr>
        <w:t>femicídio</w:t>
      </w:r>
      <w:proofErr w:type="spellEnd"/>
      <w:r>
        <w:rPr>
          <w:rStyle w:val="Forte"/>
          <w:rFonts w:ascii="Times New Roman" w:hAnsi="Times New Roman"/>
          <w:sz w:val="24"/>
          <w:szCs w:val="12"/>
        </w:rPr>
        <w:t xml:space="preserve"> 3,9/1000)</w:t>
      </w:r>
    </w:p>
    <w:p w:rsidR="00074250" w:rsidRPr="006012B0" w:rsidRDefault="00074250" w:rsidP="00074250">
      <w:pPr>
        <w:spacing w:line="360" w:lineRule="auto"/>
        <w:ind w:firstLine="708"/>
        <w:jc w:val="both"/>
        <w:rPr>
          <w:rStyle w:val="Forte"/>
          <w:rFonts w:ascii="Times New Roman" w:hAnsi="Times New Roman"/>
          <w:b w:val="0"/>
          <w:sz w:val="24"/>
          <w:szCs w:val="12"/>
        </w:rPr>
      </w:pPr>
      <w:r>
        <w:rPr>
          <w:rStyle w:val="Forte"/>
          <w:rFonts w:ascii="Times New Roman" w:hAnsi="Times New Roman"/>
          <w:sz w:val="24"/>
          <w:szCs w:val="12"/>
        </w:rPr>
        <w:t xml:space="preserve">É sancionada a </w:t>
      </w:r>
      <w:r w:rsidRPr="00B516F8">
        <w:rPr>
          <w:rStyle w:val="Forte"/>
          <w:rFonts w:ascii="Times New Roman" w:hAnsi="Times New Roman"/>
          <w:sz w:val="24"/>
          <w:szCs w:val="12"/>
        </w:rPr>
        <w:t>Lei Maria da Penha</w:t>
      </w:r>
      <w:r>
        <w:rPr>
          <w:rStyle w:val="Forte"/>
          <w:rFonts w:ascii="Times New Roman" w:hAnsi="Times New Roman"/>
          <w:sz w:val="24"/>
          <w:szCs w:val="12"/>
        </w:rPr>
        <w:t xml:space="preserve">. </w:t>
      </w:r>
    </w:p>
    <w:p w:rsidR="00074250" w:rsidRDefault="00074250" w:rsidP="00074250">
      <w:pPr>
        <w:spacing w:line="360" w:lineRule="auto"/>
        <w:jc w:val="both"/>
        <w:rPr>
          <w:rStyle w:val="Forte"/>
          <w:rFonts w:ascii="Times New Roman" w:hAnsi="Times New Roman"/>
          <w:sz w:val="24"/>
          <w:szCs w:val="12"/>
        </w:rPr>
      </w:pPr>
      <w:r w:rsidRPr="000451FC">
        <w:rPr>
          <w:rStyle w:val="Forte"/>
          <w:rFonts w:ascii="Times New Roman" w:hAnsi="Times New Roman"/>
          <w:sz w:val="24"/>
          <w:szCs w:val="12"/>
        </w:rPr>
        <w:t>2010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(taxa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femicídio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4,6/1000)</w:t>
      </w:r>
    </w:p>
    <w:p w:rsidR="00074250" w:rsidRDefault="00074250" w:rsidP="0007425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51FC">
        <w:rPr>
          <w:rFonts w:ascii="Times New Roman" w:hAnsi="Times New Roman"/>
          <w:sz w:val="24"/>
          <w:szCs w:val="12"/>
        </w:rPr>
        <w:t xml:space="preserve">É eleita a primeira presidente do Brasil, Dilma </w:t>
      </w:r>
      <w:proofErr w:type="spellStart"/>
      <w:r w:rsidRPr="000451FC">
        <w:rPr>
          <w:rFonts w:ascii="Times New Roman" w:hAnsi="Times New Roman"/>
          <w:sz w:val="24"/>
          <w:szCs w:val="12"/>
        </w:rPr>
        <w:t>Roussef</w:t>
      </w:r>
      <w:proofErr w:type="spellEnd"/>
      <w:r w:rsidRPr="000451FC">
        <w:rPr>
          <w:rFonts w:ascii="Times New Roman" w:hAnsi="Times New Roman"/>
          <w:sz w:val="24"/>
          <w:szCs w:val="12"/>
        </w:rPr>
        <w:t>.</w:t>
      </w:r>
    </w:p>
    <w:p w:rsidR="00074250" w:rsidRDefault="00074250" w:rsidP="0007425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Esses acontecimentos são pontuados por unanimidade pelo movimento de mulheres como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marco históricos na luta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pela defesa dos seus direitos e das suas vidas.</w:t>
      </w:r>
    </w:p>
    <w:p w:rsidR="00074250" w:rsidRPr="00332275" w:rsidRDefault="00074250" w:rsidP="0007425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Atribui-se (também) a toda essa movimentação os achados da </w:t>
      </w:r>
      <w:r w:rsidRPr="003322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tabela 2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que </w:t>
      </w:r>
      <w:r w:rsidRPr="003322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atualiza e permite verificar a grande heterogeneidade existente entre os estados do país em 2010. Espírito Santo, com sua taxa de 9,6 homicídios em cada 100mil mulheres, mais que duplica a média nacional e quase quadruplica a taxa de Piauí, estado que apresenta o menor índice do país. O </w:t>
      </w:r>
      <w:proofErr w:type="spellStart"/>
      <w:r w:rsidRPr="003322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Cearáocupa</w:t>
      </w:r>
      <w:proofErr w:type="spellEnd"/>
      <w:r w:rsidRPr="003322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22ª posição com uma taxa de 4,0.</w:t>
      </w:r>
    </w:p>
    <w:p w:rsidR="00074250" w:rsidRPr="00332275" w:rsidRDefault="00074250" w:rsidP="00074250">
      <w:pPr>
        <w:pStyle w:val="Legenda"/>
        <w:keepNext/>
        <w:rPr>
          <w:rFonts w:ascii="Times New Roman" w:hAnsi="Times New Roman"/>
          <w:b w:val="0"/>
          <w:color w:val="auto"/>
          <w:sz w:val="20"/>
        </w:rPr>
      </w:pPr>
      <w:bookmarkStart w:id="1" w:name="_Toc340470949"/>
      <w:r w:rsidRPr="00332275">
        <w:rPr>
          <w:rFonts w:ascii="Times New Roman" w:hAnsi="Times New Roman"/>
          <w:b w:val="0"/>
          <w:color w:val="auto"/>
          <w:sz w:val="20"/>
        </w:rPr>
        <w:t xml:space="preserve">Tabela </w:t>
      </w:r>
      <w:r w:rsidR="00AD05B2" w:rsidRPr="00332275">
        <w:rPr>
          <w:rFonts w:ascii="Times New Roman" w:hAnsi="Times New Roman"/>
          <w:b w:val="0"/>
          <w:color w:val="auto"/>
          <w:sz w:val="20"/>
        </w:rPr>
        <w:fldChar w:fldCharType="begin"/>
      </w:r>
      <w:r w:rsidRPr="00332275">
        <w:rPr>
          <w:rFonts w:ascii="Times New Roman" w:hAnsi="Times New Roman"/>
          <w:b w:val="0"/>
          <w:color w:val="auto"/>
          <w:sz w:val="20"/>
        </w:rPr>
        <w:instrText xml:space="preserve"> SEQ Tabela \* ARABIC </w:instrText>
      </w:r>
      <w:r w:rsidR="00AD05B2" w:rsidRPr="00332275">
        <w:rPr>
          <w:rFonts w:ascii="Times New Roman" w:hAnsi="Times New Roman"/>
          <w:b w:val="0"/>
          <w:color w:val="auto"/>
          <w:sz w:val="20"/>
        </w:rPr>
        <w:fldChar w:fldCharType="separate"/>
      </w:r>
      <w:r>
        <w:rPr>
          <w:rFonts w:ascii="Times New Roman" w:hAnsi="Times New Roman"/>
          <w:b w:val="0"/>
          <w:noProof/>
          <w:color w:val="auto"/>
          <w:sz w:val="20"/>
        </w:rPr>
        <w:t>3</w:t>
      </w:r>
      <w:r w:rsidR="00AD05B2" w:rsidRPr="00332275">
        <w:rPr>
          <w:rFonts w:ascii="Times New Roman" w:hAnsi="Times New Roman"/>
          <w:b w:val="0"/>
          <w:color w:val="auto"/>
          <w:sz w:val="20"/>
        </w:rPr>
        <w:fldChar w:fldCharType="end"/>
      </w:r>
      <w:r w:rsidRPr="00332275">
        <w:rPr>
          <w:rFonts w:ascii="Times New Roman" w:hAnsi="Times New Roman"/>
          <w:b w:val="0"/>
          <w:color w:val="auto"/>
          <w:sz w:val="20"/>
        </w:rPr>
        <w:t>. Número e taxas de homicídio feminino (em 100mil mulheres) por UF no ano de 2010.</w:t>
      </w:r>
      <w:bookmarkEnd w:id="1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822"/>
        <w:gridCol w:w="666"/>
        <w:gridCol w:w="616"/>
        <w:gridCol w:w="839"/>
        <w:gridCol w:w="222"/>
        <w:gridCol w:w="1899"/>
        <w:gridCol w:w="516"/>
        <w:gridCol w:w="616"/>
        <w:gridCol w:w="839"/>
      </w:tblGrid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UF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Nº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Taxa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Posição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UF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Nº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Taxa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Posição</w:t>
            </w:r>
          </w:p>
        </w:tc>
      </w:tr>
      <w:tr w:rsidR="00074250" w:rsidRPr="00332275" w:rsidTr="00226EB3"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Brasil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4.465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Espírito Santo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175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9,8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Rondônia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37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15º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Alagoas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134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8,3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Amapá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16º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Paraná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338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6,4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3º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Rio Grande do Norte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71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17º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Pará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230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6,1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Sergipe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18º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Mato Grosso do Sul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75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6,1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5º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Rio Grande do Sul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227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19º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Bahia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433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6,1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6º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Minas Gerais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405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20º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Paraíba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117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6,0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7º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Rio de Janeiro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339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21º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Distrito Federal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78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5,8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8º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Ceará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174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22º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Goiás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172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5,7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9º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Amazonas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66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3,8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23º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Pernambuco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251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5,5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10º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Maranhão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117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3,5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24º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Mato Grosso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80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5,4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11º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Santa Catarina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111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3,5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25º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Tocantins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34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5,0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12º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São Paulo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671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3,2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26º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lastRenderedPageBreak/>
              <w:t>Roraima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11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5,0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13º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Piauí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40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2,5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27º</w:t>
            </w:r>
          </w:p>
        </w:tc>
      </w:tr>
      <w:tr w:rsidR="00074250" w:rsidRPr="00332275" w:rsidTr="00226EB3"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Acre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18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4,9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332275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14º</w:t>
            </w: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4250" w:rsidRPr="00332275" w:rsidRDefault="00074250" w:rsidP="00226EB3">
            <w:pPr>
              <w:jc w:val="right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</w:tr>
    </w:tbl>
    <w:p w:rsidR="00074250" w:rsidRDefault="00074250" w:rsidP="00074250">
      <w:pPr>
        <w:spacing w:line="240" w:lineRule="auto"/>
        <w:rPr>
          <w:rFonts w:ascii="Times New Roman" w:hAnsi="Times New Roman"/>
          <w:color w:val="000000"/>
          <w:sz w:val="16"/>
          <w:szCs w:val="24"/>
          <w:shd w:val="clear" w:color="auto" w:fill="FFFFFF"/>
        </w:rPr>
      </w:pPr>
      <w:r w:rsidRPr="00332275">
        <w:rPr>
          <w:rFonts w:ascii="Times New Roman" w:hAnsi="Times New Roman"/>
          <w:color w:val="000000"/>
          <w:sz w:val="16"/>
          <w:szCs w:val="24"/>
          <w:shd w:val="clear" w:color="auto" w:fill="FFFFFF"/>
        </w:rPr>
        <w:t xml:space="preserve">Fonte: SIM/SVS/MS. Disponível em </w:t>
      </w:r>
      <w:hyperlink r:id="rId5" w:anchor="mulheres" w:history="1">
        <w:r w:rsidRPr="00332275">
          <w:rPr>
            <w:rStyle w:val="Hyperlink"/>
            <w:rFonts w:ascii="Times New Roman" w:hAnsi="Times New Roman"/>
            <w:sz w:val="16"/>
            <w:szCs w:val="24"/>
            <w:shd w:val="clear" w:color="auto" w:fill="FFFFFF"/>
          </w:rPr>
          <w:t>http://www.mapadaviolencia.org.br/mapa2012.php#mulheres</w:t>
        </w:r>
      </w:hyperlink>
      <w:r w:rsidRPr="00332275">
        <w:rPr>
          <w:rFonts w:ascii="Times New Roman" w:hAnsi="Times New Roman"/>
          <w:color w:val="000000"/>
          <w:sz w:val="16"/>
          <w:szCs w:val="24"/>
          <w:shd w:val="clear" w:color="auto" w:fill="FFFFFF"/>
        </w:rPr>
        <w:t>. Acesso em 10/11/2012.</w:t>
      </w:r>
    </w:p>
    <w:p w:rsidR="00074250" w:rsidRDefault="00074250" w:rsidP="00074250">
      <w:pPr>
        <w:spacing w:line="240" w:lineRule="auto"/>
        <w:rPr>
          <w:rFonts w:ascii="Times New Roman" w:hAnsi="Times New Roman"/>
          <w:color w:val="000000"/>
          <w:sz w:val="16"/>
          <w:szCs w:val="24"/>
          <w:shd w:val="clear" w:color="auto" w:fill="FFFFFF"/>
        </w:rPr>
      </w:pPr>
    </w:p>
    <w:p w:rsidR="001D746D" w:rsidRDefault="001D746D"/>
    <w:sectPr w:rsidR="001D746D" w:rsidSect="00A957A4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74250"/>
    <w:rsid w:val="00074250"/>
    <w:rsid w:val="001D746D"/>
    <w:rsid w:val="00402DB2"/>
    <w:rsid w:val="00521AC8"/>
    <w:rsid w:val="0065626E"/>
    <w:rsid w:val="00A957A4"/>
    <w:rsid w:val="00AD05B2"/>
    <w:rsid w:val="00CE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50"/>
    <w:pPr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74250"/>
    <w:rPr>
      <w:b/>
      <w:bCs/>
    </w:rPr>
  </w:style>
  <w:style w:type="character" w:styleId="Hyperlink">
    <w:name w:val="Hyperlink"/>
    <w:basedOn w:val="Fontepargpadro"/>
    <w:uiPriority w:val="99"/>
    <w:unhideWhenUsed/>
    <w:rsid w:val="000742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4250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07425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padaviolencia.org.br/mapa2012.php" TargetMode="External"/><Relationship Id="rId4" Type="http://schemas.openxmlformats.org/officeDocument/2006/relationships/hyperlink" Target="http://pt.wikipedia.org/wiki/Doca_Stree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2811</Words>
  <Characters>15185</Characters>
  <Application>Microsoft Office Word</Application>
  <DocSecurity>0</DocSecurity>
  <Lines>126</Lines>
  <Paragraphs>35</Paragraphs>
  <ScaleCrop>false</ScaleCrop>
  <Company>MicroSoft</Company>
  <LinksUpToDate>false</LinksUpToDate>
  <CharactersWithSpaces>17961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2013-06-29T13:17:00Z</dcterms:created>
  <dcterms:modified xsi:type="dcterms:W3CDTF">2013-07-02T19:18:00Z</dcterms:modified>
</cp:coreProperties>
</file>