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73" w:rsidRDefault="005463D0" w:rsidP="008E243F">
      <w:pPr>
        <w:spacing w:before="100" w:beforeAutospacing="1" w:after="120" w:line="360" w:lineRule="auto"/>
        <w:jc w:val="right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pt-BR"/>
        </w:rPr>
      </w:pPr>
      <w:r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pt-BR"/>
        </w:rPr>
        <w:t>O SPHAN E O ENGESSAMENTO DAS POLÍTICAS DE PATRIMÔNIO</w:t>
      </w:r>
    </w:p>
    <w:p w:rsidR="008E243F" w:rsidRPr="008E243F" w:rsidRDefault="008E243F" w:rsidP="008E243F">
      <w:pPr>
        <w:spacing w:before="100" w:beforeAutospacing="1" w:after="120" w:line="360" w:lineRule="auto"/>
        <w:jc w:val="right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lang w:eastAsia="pt-BR"/>
        </w:rPr>
      </w:pPr>
    </w:p>
    <w:p w:rsidR="00804CBD" w:rsidRPr="008E243F" w:rsidRDefault="00804CBD" w:rsidP="00804CBD">
      <w:pPr>
        <w:spacing w:before="100" w:beforeAutospacing="1" w:after="120" w:line="360" w:lineRule="auto"/>
        <w:jc w:val="right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8E243F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Rafael Francisco Bensi</w:t>
      </w:r>
    </w:p>
    <w:p w:rsidR="00804CBD" w:rsidRPr="00C13BC6" w:rsidRDefault="00804CBD" w:rsidP="00804CBD">
      <w:pPr>
        <w:spacing w:before="100" w:beforeAutospacing="1" w:after="12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83394" w:rsidRPr="00C13BC6" w:rsidRDefault="00804CBD" w:rsidP="004972F5">
      <w:pPr>
        <w:spacing w:before="100" w:beforeAutospacing="1" w:after="120" w:line="36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Nos anos </w:t>
      </w:r>
      <w:r w:rsidR="008217EC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19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30 o Brasil viveu momentos decisivos do ponto de vista da preservação de seu patrimônio, pois a efervescência causada pela semana </w:t>
      </w:r>
      <w:r w:rsidR="008217EC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Arte Moderna 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8217EC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19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22</w:t>
      </w:r>
      <w:r w:rsidR="00583394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trouxe novos questionamentos, novas demandas e novos desafios. Diante disso, </w:t>
      </w:r>
      <w:r w:rsidR="00B34337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exigência</w:t>
      </w:r>
      <w:r w:rsidR="00583394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Estado Novo, surge a necessidade de se criar uma política de preservação do patrimônio</w:t>
      </w:r>
      <w:r w:rsidR="004972F5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583394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ligado intimamente à cultura e a questão da identidade nacional, foco do governo Vargas.</w:t>
      </w:r>
    </w:p>
    <w:p w:rsidR="00804CBD" w:rsidRPr="00C13BC6" w:rsidRDefault="00583394" w:rsidP="004972F5">
      <w:pPr>
        <w:spacing w:before="100" w:beforeAutospacing="1" w:after="120" w:line="36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</w:t>
      </w:r>
      <w:r w:rsidR="00804CB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intel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ectuais nos anos </w:t>
      </w:r>
      <w:r w:rsidR="008E24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19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</w:t>
      </w:r>
      <w:r w:rsidR="004972F5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envolvidos diretamente com a questão do patrimônio no Brasil,</w:t>
      </w:r>
      <w:r w:rsidR="008217EC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são até os dias de hoje, f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ruto de estudos, controvérsias e especulações, principalmente </w:t>
      </w:r>
      <w:r w:rsidR="008217EC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</w:t>
      </w:r>
      <w:r w:rsidR="004022F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não foram poucos os intelectuais que procuraram justificar suas ações e obras como uma missão civilizatória ou nacional, como se fossem os detentores de todo o saber necessário e único para a construção de um país. É 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justamente nesse momento que os intelectuais </w:t>
      </w:r>
      <w:r w:rsidR="004972F5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aproximam-se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Estado, para manter uma relação</w:t>
      </w:r>
      <w:r w:rsidR="00804CB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próxima 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ao mesmo tempo comple</w:t>
      </w:r>
      <w:r w:rsidR="00646C70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xa, onde havia o predomínio </w:t>
      </w:r>
      <w:r w:rsidR="00804CB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="00646C70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ideia de </w:t>
      </w:r>
      <w:r w:rsidR="00804CB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moderni</w:t>
      </w:r>
      <w:r w:rsidR="00646C70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dade que colocava o Estado como mais moderno que a própria sociedade</w:t>
      </w:r>
      <w:r w:rsidR="00804CB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646C70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sendo um</w:t>
      </w:r>
      <w:r w:rsidR="00804CB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mediador de conflitos e organizador da v</w:t>
      </w:r>
      <w:r w:rsidR="00646C70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ontade nacional.</w:t>
      </w:r>
    </w:p>
    <w:p w:rsidR="00946361" w:rsidRPr="00C13BC6" w:rsidRDefault="00646C70" w:rsidP="004972F5">
      <w:pPr>
        <w:spacing w:before="100" w:beforeAutospacing="1" w:after="120" w:line="36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D568C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importante dizer</w:t>
      </w:r>
      <w:r w:rsidR="00B34337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D568C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B34337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intelectuais vindos originalmente de </w:t>
      </w:r>
      <w:r w:rsidR="00804CB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setores decadentes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classe dirigente, destituídos </w:t>
      </w:r>
      <w:r w:rsidR="00804CB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pela ampliação do mercado cultural e p</w:t>
      </w:r>
      <w:r w:rsidR="00B34337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ela disseminação de diplomas, viam-se </w:t>
      </w:r>
      <w:r w:rsidR="00804CB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</w:t>
      </w:r>
      <w:r w:rsidR="00B34337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eaçados pela perda sistemática de prestígio </w:t>
      </w:r>
      <w:r w:rsidR="00804CB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decor</w:t>
      </w:r>
      <w:r w:rsidR="00B34337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rente de sua posição.  Dentro dessa conjuntura, recorreram ao Estado, </w:t>
      </w:r>
      <w:r w:rsidR="00804CB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B34337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vinha se fortalecendo </w:t>
      </w:r>
      <w:r w:rsidR="00804CB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num </w:t>
      </w:r>
      <w:r w:rsidR="00B34337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modelo nacionalista e centralizado. </w:t>
      </w:r>
    </w:p>
    <w:p w:rsidR="00B34337" w:rsidRPr="00C13BC6" w:rsidRDefault="00946361" w:rsidP="004972F5">
      <w:pPr>
        <w:spacing w:before="100" w:beforeAutospacing="1" w:after="120" w:line="36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hAnsi="Arial" w:cs="Arial"/>
          <w:bCs/>
          <w:sz w:val="24"/>
          <w:szCs w:val="24"/>
          <w:shd w:val="clear" w:color="auto" w:fill="FFFFFF"/>
        </w:rPr>
        <w:t>O Serviço do Patrimônio Histórico e Artístico Nacional</w:t>
      </w:r>
      <w:r w:rsidRPr="00C13BC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C13BC6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C13BC6">
        <w:rPr>
          <w:rFonts w:ascii="Arial" w:hAnsi="Arial" w:cs="Arial"/>
          <w:bCs/>
          <w:sz w:val="24"/>
          <w:szCs w:val="24"/>
          <w:shd w:val="clear" w:color="auto" w:fill="FFFFFF"/>
        </w:rPr>
        <w:t>SPHAN</w:t>
      </w:r>
      <w:r w:rsidRPr="00C13BC6">
        <w:rPr>
          <w:rFonts w:ascii="Arial" w:hAnsi="Arial" w:cs="Arial"/>
          <w:sz w:val="24"/>
          <w:szCs w:val="24"/>
          <w:shd w:val="clear" w:color="auto" w:fill="FFFFFF"/>
        </w:rPr>
        <w:t>) criado em 13 de janeiro de</w:t>
      </w:r>
      <w:r w:rsidRPr="00C13BC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5" w:tooltip="1937" w:history="1">
        <w:r w:rsidRPr="00C13BC6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1937</w:t>
        </w:r>
      </w:hyperlink>
      <w:r w:rsidRPr="00C13BC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C13BC6">
        <w:rPr>
          <w:rFonts w:ascii="Arial" w:hAnsi="Arial" w:cs="Arial"/>
          <w:sz w:val="24"/>
          <w:szCs w:val="24"/>
          <w:shd w:val="clear" w:color="auto" w:fill="FFFFFF"/>
        </w:rPr>
        <w:t>e regulamentado pelo Decreto-Lei nº 25 no dia 30 de novembro do mesmo ano, poucos dias após o golpe que instituiu o</w:t>
      </w:r>
      <w:r w:rsidRPr="00C13BC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6" w:tooltip="Estado Novo (Brasil)" w:history="1">
        <w:r w:rsidRPr="00C13BC6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Estado Novo</w:t>
        </w:r>
      </w:hyperlink>
      <w:r w:rsidRPr="00C13BC6">
        <w:rPr>
          <w:rFonts w:ascii="Arial" w:hAnsi="Arial" w:cs="Arial"/>
          <w:sz w:val="24"/>
          <w:szCs w:val="24"/>
        </w:rPr>
        <w:t xml:space="preserve">, precisava de intelectuais dispostos a criar as diretrizes para a chamada cultura nacional. </w:t>
      </w:r>
      <w:r w:rsidR="00B34337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Obviamente, a criação do SPHAN ficou marcada por muitas </w:t>
      </w:r>
      <w:r w:rsidR="00B34337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tensões e embates ideológicos</w:t>
      </w:r>
      <w:r w:rsidR="00AD568C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que torna a investigação sobre o </w:t>
      </w:r>
      <w:r w:rsidR="004972F5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serviço necessária e útil para entendermos o modelo de preservação de patrimônio que fora adotado, portanto,</w:t>
      </w:r>
    </w:p>
    <w:p w:rsidR="003F31E9" w:rsidRPr="00C13BC6" w:rsidRDefault="003F31E9" w:rsidP="004972F5">
      <w:pPr>
        <w:spacing w:before="100" w:beforeAutospacing="1" w:after="120" w:line="36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34337" w:rsidRDefault="004972F5" w:rsidP="004972F5">
      <w:pPr>
        <w:spacing w:before="100" w:beforeAutospacing="1" w:after="100" w:afterAutospacing="1" w:line="24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</w:t>
      </w:r>
      <w:r w:rsidR="00B34337"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esse</w:t>
      </w:r>
      <w:proofErr w:type="gramEnd"/>
      <w:r w:rsidR="00B34337"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sentido o SPHAN é um capítulo da história intelectual e institucional da geração modernista</w:t>
      </w:r>
      <w:r w:rsidR="00AD568C"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um passo decisivo da intervenção governamental no campo da cultura e o lance acertado de um regime autoritário empenhado em construir a “identidade nacional” i</w:t>
      </w:r>
      <w:r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luminista no trópico dependente. </w:t>
      </w:r>
      <w:r w:rsidR="00AD568C"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(MICELI, 1987, p.44)</w:t>
      </w:r>
    </w:p>
    <w:p w:rsidR="008E243F" w:rsidRPr="00C13BC6" w:rsidRDefault="008E243F" w:rsidP="004972F5">
      <w:pPr>
        <w:spacing w:before="100" w:beforeAutospacing="1" w:after="100" w:afterAutospacing="1" w:line="24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66CA3" w:rsidRPr="00C13BC6" w:rsidRDefault="00A66CA3" w:rsidP="004972F5">
      <w:pPr>
        <w:spacing w:before="100" w:beforeAutospacing="1" w:after="100" w:afterAutospacing="1" w:line="24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3F31E9" w:rsidRPr="00C13BC6" w:rsidRDefault="003F31E9" w:rsidP="004972F5">
      <w:pPr>
        <w:spacing w:before="100" w:beforeAutospacing="1" w:after="100" w:afterAutospacing="1" w:line="24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66CA3" w:rsidRPr="00C13BC6" w:rsidRDefault="00A66CA3" w:rsidP="00A66CA3">
      <w:pPr>
        <w:spacing w:before="100" w:beforeAutospacing="1" w:after="120" w:line="36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hAnsi="Arial" w:cs="Arial"/>
          <w:sz w:val="24"/>
          <w:szCs w:val="24"/>
        </w:rPr>
        <w:t>O papel exercido pelo SPHAN na tentativa de formação da identidade nacional brasileira no início de sua atuação, no contexto do Estado Novo foi bem claro. Durante a participação de Lúcio Costa no SPHAN, o serviço defendia a causa da defesa do patrimônio arquitetônico tradicional do país, e desconsiderando as obras representativas do e</w:t>
      </w:r>
      <w:r w:rsidR="001A284B" w:rsidRPr="00C13BC6">
        <w:rPr>
          <w:rFonts w:ascii="Arial" w:hAnsi="Arial" w:cs="Arial"/>
          <w:sz w:val="24"/>
          <w:szCs w:val="24"/>
        </w:rPr>
        <w:t xml:space="preserve">cletismo </w:t>
      </w:r>
      <w:r w:rsidRPr="00C13BC6">
        <w:rPr>
          <w:rFonts w:ascii="Arial" w:hAnsi="Arial" w:cs="Arial"/>
          <w:sz w:val="24"/>
          <w:szCs w:val="24"/>
        </w:rPr>
        <w:t>do final do século XIX e início do século XX e do movimento neocolonial. A cons</w:t>
      </w:r>
      <w:r w:rsidR="001A284B" w:rsidRPr="00C13BC6">
        <w:rPr>
          <w:rFonts w:ascii="Arial" w:hAnsi="Arial" w:cs="Arial"/>
          <w:sz w:val="24"/>
          <w:szCs w:val="24"/>
        </w:rPr>
        <w:t xml:space="preserve">trução de uma memória coletiva </w:t>
      </w:r>
      <w:r w:rsidRPr="00C13BC6">
        <w:rPr>
          <w:rFonts w:ascii="Arial" w:hAnsi="Arial" w:cs="Arial"/>
          <w:sz w:val="24"/>
          <w:szCs w:val="24"/>
        </w:rPr>
        <w:t>era o objetivo do SPHAN, nesse sentido, o juízo de valor que norteava sua ação centrava-se no paradigma de nação, numa busca de vestígios simbólicos da pátria em formação.</w:t>
      </w:r>
    </w:p>
    <w:p w:rsidR="00946361" w:rsidRPr="00C13BC6" w:rsidRDefault="00946361" w:rsidP="001A284B">
      <w:pPr>
        <w:spacing w:before="100" w:beforeAutospacing="1" w:after="120" w:line="36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Sérgio </w:t>
      </w:r>
      <w:proofErr w:type="spellStart"/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Miceli</w:t>
      </w:r>
      <w:proofErr w:type="spellEnd"/>
      <w:r w:rsidR="00E3243F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(1987)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os intelectuais ligados ao SPHAN - aqueles que tiveram seu projeto como vencedor - tinham a plena convicção de </w:t>
      </w:r>
      <w:r w:rsidR="00B9275B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Barroco era o r</w:t>
      </w:r>
      <w:r w:rsidR="0090289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epresentante legítimo do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nacional, neste sentido, destituindo de valor as demais tendências arquitetônicas e artísticas que c</w:t>
      </w:r>
      <w:r w:rsidR="00E3243F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onstruíram nossa cultura e país, pois eles se consideravam os donos da “memória nacional”.</w:t>
      </w:r>
    </w:p>
    <w:p w:rsidR="008E7E0C" w:rsidRPr="00C13BC6" w:rsidRDefault="008E7E0C" w:rsidP="004972F5">
      <w:pPr>
        <w:spacing w:before="100" w:beforeAutospacing="1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A política adotada pelo SPHAN</w:t>
      </w:r>
      <w:r w:rsidR="00B34563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demonstra</w:t>
      </w:r>
      <w:r w:rsidR="00B9275B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sua faceta classista, pois não deu importância ao ecletismo, fase em que predominavam os mestres de obra, detentores das técnicas construtivas, to</w:t>
      </w:r>
      <w:r w:rsidR="007B7D43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davia, sem um diploma acadêmico. Também foram elencadas apenas tendências ligadas 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às</w:t>
      </w:r>
      <w:r w:rsidR="007B7D43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características da classe dirigente em seus diversos ramos de representatividade.</w:t>
      </w:r>
    </w:p>
    <w:p w:rsidR="007B7D43" w:rsidRPr="00C13BC6" w:rsidRDefault="007B7D43" w:rsidP="008E7E0C">
      <w:pPr>
        <w:spacing w:before="100" w:beforeAutospacing="1" w:after="120" w:line="36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Diante dessa conjuntura, o popular, ou seja, aquela produção cultural e arquitetônica ligada aos negros, indígenas e pobres, acabou renegado no projeto do SPHAN. Segundo Sergio </w:t>
      </w:r>
      <w:proofErr w:type="spellStart"/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Miceli</w:t>
      </w:r>
      <w:proofErr w:type="spellEnd"/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“essa orientação se associa sem dúvida ao fato de terem sido os arquitetos os principais mentores na fixação de propriedade da política </w:t>
      </w:r>
      <w:r w:rsidR="008E7E0C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preservacionista.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="008E7E0C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(MICELI, 1987, p.44)</w:t>
      </w:r>
    </w:p>
    <w:p w:rsidR="00E3243F" w:rsidRPr="00C13BC6" w:rsidRDefault="00E3243F" w:rsidP="004972F5">
      <w:pPr>
        <w:spacing w:before="100" w:beforeAutospacing="1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ab/>
      </w:r>
      <w:r w:rsidR="008E7E0C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Faltava aos intelectuais ligados ao SPHAN a percepçã</w:t>
      </w:r>
      <w:r w:rsidR="00C743A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do popular, da maneira como a história é construída por diversos setores, através dos embates, das experiências </w:t>
      </w:r>
      <w:r w:rsidR="00B34563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grupos e </w:t>
      </w:r>
      <w:r w:rsidR="00C743AD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coletivas, do processo histórico heterogêneo, criador das mais diversas realidades. Para o SPHAN, a ostentação da riqueza, o monumental, as técnicas ornamentais que traziam a primazia elitizada de uma organização espacial, estavam em primeiro plano, justificando os critérios autônomos adotados pelo serviço.</w:t>
      </w:r>
    </w:p>
    <w:p w:rsidR="004878A4" w:rsidRPr="00C13BC6" w:rsidRDefault="004878A4" w:rsidP="004972F5">
      <w:pPr>
        <w:spacing w:before="100" w:beforeAutospacing="1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Todavia, é impossível negar que os técnicos do SPHAN realizaram seu trabalho com maestria. O que se discute é o processo que levou o SPHAN a adotar um modelo de preservação e não outro, afinal, </w:t>
      </w:r>
    </w:p>
    <w:p w:rsidR="003F31E9" w:rsidRPr="00C13BC6" w:rsidRDefault="003F31E9" w:rsidP="004972F5">
      <w:pPr>
        <w:spacing w:before="100" w:beforeAutospacing="1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878A4" w:rsidRDefault="004878A4" w:rsidP="004878A4">
      <w:pPr>
        <w:spacing w:before="100" w:beforeAutospacing="1" w:after="120" w:line="24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É forçoso reconhecer que seus membros fizeram muito bem a política que pretenderam implantar, cercando-se de uma equipe competente de especialistas, organizando um corpo doutrinário de técnicas e procedimentos, obtendo aprovação para uma legislação adequada aos alvos que se propunham, editando uma revista internacional (a mesma que hoje nos convida a esse debate franco sobre a experiência institucional), e suscitando a afirmação de lideranças da estatura de Rodrigo Melo Franco de Andrade e Aloísio Magalhães </w:t>
      </w:r>
      <w:r w:rsidR="004E2FF3"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 campo da política cultural. (</w:t>
      </w:r>
      <w:r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MICELI, 1987, p.44)</w:t>
      </w:r>
    </w:p>
    <w:p w:rsidR="008E243F" w:rsidRPr="00C13BC6" w:rsidRDefault="008E243F" w:rsidP="004878A4">
      <w:pPr>
        <w:spacing w:before="100" w:beforeAutospacing="1" w:after="120" w:line="24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3F31E9" w:rsidRPr="00C13BC6" w:rsidRDefault="003F31E9" w:rsidP="004878A4">
      <w:pPr>
        <w:spacing w:before="100" w:beforeAutospacing="1" w:after="120" w:line="24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D2BF6" w:rsidRPr="00C13BC6" w:rsidRDefault="005D2BF6" w:rsidP="005D2BF6">
      <w:pPr>
        <w:spacing w:before="100" w:beforeAutospacing="1" w:after="12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C438D0" w:rsidRPr="00C13BC6" w:rsidRDefault="005D2BF6" w:rsidP="004E2FF3">
      <w:pPr>
        <w:spacing w:before="100" w:beforeAutospacing="1"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Sérgio </w:t>
      </w:r>
      <w:proofErr w:type="spellStart"/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Miceli</w:t>
      </w:r>
      <w:proofErr w:type="spellEnd"/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sua análise do SPHAN, sugere que a elitização nas políticas preservacionistas criou uma “desimportância” política nas instituições culturais criadas no âmbito do Ministério da Educação e Saúde Pública, o que de certa forma criou uma reserva de profissionais que foram recrutados na gestão Capanema. Não obstante, o SPHAN</w:t>
      </w:r>
    </w:p>
    <w:p w:rsidR="003F31E9" w:rsidRPr="00C13BC6" w:rsidRDefault="003F31E9" w:rsidP="005D2BF6">
      <w:pPr>
        <w:spacing w:before="100" w:beforeAutospacing="1" w:after="120" w:line="24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F31E9" w:rsidRPr="00C13BC6" w:rsidRDefault="003F31E9" w:rsidP="005D2BF6">
      <w:pPr>
        <w:spacing w:before="100" w:beforeAutospacing="1" w:after="120" w:line="24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E243F" w:rsidRPr="00C13BC6" w:rsidRDefault="005D2BF6" w:rsidP="008E243F">
      <w:pPr>
        <w:spacing w:before="100" w:beforeAutospacing="1" w:after="120" w:line="24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acabou</w:t>
      </w:r>
      <w:proofErr w:type="gramEnd"/>
      <w:r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assumindo a feição de uma agência de política cultural empenhada em salvar do abandono os exemplares arquitetônicos considerados esteticamente significativos para uma história das formas e estilos da classe dirigente</w:t>
      </w:r>
      <w:r w:rsidR="00C13BC6"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brasileira</w:t>
      </w:r>
      <w:r w:rsidR="00C438D0"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  <w:r w:rsidR="00C13BC6"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C438D0" w:rsidRPr="00C13B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(MICELI, 1987, p.45)</w:t>
      </w:r>
    </w:p>
    <w:p w:rsidR="003F31E9" w:rsidRPr="00C13BC6" w:rsidRDefault="003F31E9" w:rsidP="00C438D0">
      <w:pPr>
        <w:spacing w:before="100" w:beforeAutospacing="1" w:after="120" w:line="24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C438D0" w:rsidRPr="00C13BC6" w:rsidRDefault="00C438D0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3650DE" w:rsidRPr="00C13BC6" w:rsidRDefault="00C438D0" w:rsidP="004E2FF3">
      <w:pPr>
        <w:spacing w:before="100" w:beforeAutospacing="1" w:after="0" w:line="360" w:lineRule="auto"/>
        <w:ind w:left="142" w:firstLine="56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dessa conjuntura, o SPHAN acaba por se tornar uma agência sedimentada e de caráter puramente técnico</w:t>
      </w:r>
      <w:r w:rsidR="00784649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cujas atribuições profissionais só poderiam ser analisadas e avalizadas por técnicos e especialistas. Essa inclinação o transformou num órgão arbitrário quanto aos tombamentos realiz</w:t>
      </w:r>
      <w:r w:rsidR="00784649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ados, pois não havia diálogo com a sociedade c</w:t>
      </w:r>
      <w:r w:rsidR="00CA612C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ivil. As demandas do SPHAN se tornaram </w:t>
      </w:r>
      <w:r w:rsidR="00784649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verticais.</w:t>
      </w:r>
    </w:p>
    <w:p w:rsidR="00CA612C" w:rsidRPr="00C13BC6" w:rsidRDefault="00CA612C" w:rsidP="004E2FF3">
      <w:pPr>
        <w:spacing w:before="100" w:beforeAutospacing="1" w:after="0" w:line="360" w:lineRule="auto"/>
        <w:ind w:left="142" w:firstLine="56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O enraizamento do modelo de operação do SPHAN permaneceu </w:t>
      </w:r>
      <w:r w:rsidR="00FA2BB1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até os dias atuais, mesmo com o alargamento do conceito de patrimônio histórico para patrimônio cultural, o IPHAN, ainda mantém todas as prerrogativas </w:t>
      </w:r>
      <w:r w:rsidR="003F31E9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cristalizadas por Lúcio Costa e seu</w:t>
      </w:r>
      <w:r w:rsidR="004E2FF3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3F31E9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técnicos na fase heróica do Instituto.</w:t>
      </w:r>
      <w:r w:rsidR="00C13BC6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Nesse</w:t>
      </w:r>
      <w:r w:rsidR="006A19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sentido fica evidente </w:t>
      </w:r>
      <w:r w:rsidR="00C13BC6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</w:p>
    <w:p w:rsidR="00C13BC6" w:rsidRPr="00C13BC6" w:rsidRDefault="00C13BC6" w:rsidP="004E2FF3">
      <w:pPr>
        <w:spacing w:before="100" w:beforeAutospacing="1" w:after="0" w:line="360" w:lineRule="auto"/>
        <w:ind w:left="142" w:firstLine="56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13BC6" w:rsidRPr="00C13BC6" w:rsidRDefault="00C13BC6" w:rsidP="00C13BC6">
      <w:pPr>
        <w:spacing w:after="0" w:line="240" w:lineRule="auto"/>
        <w:ind w:left="2268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C13BC6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proofErr w:type="gramEnd"/>
      <w:r w:rsidRPr="00C13B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extenso legado deixado pelo Estado Novo nas relações entre a cultura e a política é fato amplamente reconhecido pelos meios intelectuais e políticos, em particular, no tocante à tradição preservacionista fundada pelo antigo Serviço do Patrimônio Histórico e Artístico Nacional - </w:t>
      </w:r>
      <w:proofErr w:type="spellStart"/>
      <w:r w:rsidRPr="00C13BC6">
        <w:rPr>
          <w:rFonts w:ascii="Arial" w:hAnsi="Arial" w:cs="Arial"/>
          <w:color w:val="000000"/>
          <w:sz w:val="20"/>
          <w:szCs w:val="20"/>
          <w:shd w:val="clear" w:color="auto" w:fill="FFFFFF"/>
        </w:rPr>
        <w:t>Sphan</w:t>
      </w:r>
      <w:proofErr w:type="spellEnd"/>
      <w:r w:rsidRPr="00C13BC6">
        <w:rPr>
          <w:rFonts w:ascii="Arial" w:hAnsi="Arial" w:cs="Arial"/>
          <w:color w:val="000000"/>
          <w:sz w:val="20"/>
          <w:szCs w:val="20"/>
          <w:shd w:val="clear" w:color="auto" w:fill="FFFFFF"/>
        </w:rPr>
        <w:t>. Embora nas últimas décadas a política patrimonial tenha alcançado horizontes mais democráticos, a concepção herdada dos anos 1930 e 40 de um patrimônio circunscrito aos referentes de uma cultura ilustrada, concebida no singular, deixou vestígios que sobrevivem ainda nos meandros do aparelho burocrático, disputando a hegemonia na agenda das políticas de memória no país. (JULIÃO, 2009, p.141)</w:t>
      </w:r>
    </w:p>
    <w:p w:rsidR="00C13BC6" w:rsidRDefault="00C13BC6" w:rsidP="00C13BC6">
      <w:pPr>
        <w:spacing w:before="100" w:beforeAutospacing="1" w:after="0" w:line="360" w:lineRule="auto"/>
        <w:ind w:left="2268"/>
        <w:contextualSpacing/>
        <w:jc w:val="both"/>
        <w:rPr>
          <w:rFonts w:ascii="Verdana" w:hAnsi="Verdana"/>
          <w:color w:val="000000"/>
          <w:shd w:val="clear" w:color="auto" w:fill="FFFFFF"/>
        </w:rPr>
      </w:pPr>
    </w:p>
    <w:p w:rsidR="00C13BC6" w:rsidRDefault="00C13BC6" w:rsidP="00C13BC6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178CD" w:rsidRPr="00C13BC6" w:rsidRDefault="00E43008" w:rsidP="004E2FF3">
      <w:pPr>
        <w:spacing w:before="100" w:beforeAutospacing="1" w:after="0" w:line="360" w:lineRule="auto"/>
        <w:ind w:left="142" w:firstLine="566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 w:rsidRPr="00C13BC6">
        <w:rPr>
          <w:rFonts w:ascii="Arial" w:hAnsi="Arial" w:cs="Arial"/>
          <w:color w:val="000000"/>
          <w:shd w:val="clear" w:color="auto" w:fill="FFFFFF"/>
        </w:rPr>
        <w:t>Na França a questão do patrimônio</w:t>
      </w:r>
      <w:r w:rsidR="00611803" w:rsidRPr="00C13BC6">
        <w:rPr>
          <w:rFonts w:ascii="Arial" w:hAnsi="Arial" w:cs="Arial"/>
          <w:color w:val="000000"/>
          <w:shd w:val="clear" w:color="auto" w:fill="FFFFFF"/>
        </w:rPr>
        <w:t xml:space="preserve"> é trabalhada de maneira diferente, evidenciando as falhas do IPHAN nesse sentido. Segundo Sérgio </w:t>
      </w:r>
      <w:proofErr w:type="spellStart"/>
      <w:r w:rsidR="00611803" w:rsidRPr="00C13BC6">
        <w:rPr>
          <w:rFonts w:ascii="Arial" w:hAnsi="Arial" w:cs="Arial"/>
          <w:color w:val="000000"/>
          <w:shd w:val="clear" w:color="auto" w:fill="FFFFFF"/>
        </w:rPr>
        <w:t>Miceli</w:t>
      </w:r>
      <w:proofErr w:type="spellEnd"/>
      <w:r w:rsidR="00611803" w:rsidRPr="00C13BC6">
        <w:rPr>
          <w:rFonts w:ascii="Arial" w:hAnsi="Arial" w:cs="Arial"/>
          <w:color w:val="000000"/>
          <w:shd w:val="clear" w:color="auto" w:fill="FFFFFF"/>
        </w:rPr>
        <w:t xml:space="preserve"> (1987) os franceses trabalham com um complexo sistema institucional que abriga desde monumentos e sítios históricos, como museus, bibliotecas e arquivos.</w:t>
      </w:r>
      <w:r w:rsidR="00F178CD" w:rsidRPr="00C13BC6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E43008" w:rsidRPr="00C13BC6" w:rsidRDefault="00F178CD" w:rsidP="004E2FF3">
      <w:pPr>
        <w:spacing w:before="100" w:beforeAutospacing="1" w:after="0" w:line="360" w:lineRule="auto"/>
        <w:ind w:left="142" w:firstLine="566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 w:rsidRPr="00C13BC6">
        <w:rPr>
          <w:rFonts w:ascii="Arial" w:hAnsi="Arial" w:cs="Arial"/>
          <w:color w:val="000000"/>
          <w:shd w:val="clear" w:color="auto" w:fill="FFFFFF"/>
        </w:rPr>
        <w:t xml:space="preserve">O alargamento do conceito de patrimônio na França resultou em novas políticas preservacionistas, trazendo novos desafios, pois passaram a encarar qualquer modalidade de expressão como passível de ser conservada. Houve, portanto, uma </w:t>
      </w:r>
      <w:proofErr w:type="spellStart"/>
      <w:r w:rsidRPr="00C13BC6">
        <w:rPr>
          <w:rFonts w:ascii="Arial" w:hAnsi="Arial" w:cs="Arial"/>
          <w:color w:val="000000"/>
          <w:shd w:val="clear" w:color="auto" w:fill="FFFFFF"/>
        </w:rPr>
        <w:t>antropologização</w:t>
      </w:r>
      <w:proofErr w:type="spellEnd"/>
      <w:r w:rsidRPr="00C13BC6">
        <w:rPr>
          <w:rFonts w:ascii="Arial" w:hAnsi="Arial" w:cs="Arial"/>
          <w:color w:val="000000"/>
          <w:shd w:val="clear" w:color="auto" w:fill="FFFFFF"/>
        </w:rPr>
        <w:t xml:space="preserve"> do conceito de Patrimônio, onde o popular tem sua importância assegurada.</w:t>
      </w:r>
    </w:p>
    <w:p w:rsidR="00F178CD" w:rsidRPr="00C13BC6" w:rsidRDefault="00F178CD" w:rsidP="004E2FF3">
      <w:pPr>
        <w:spacing w:before="100" w:beforeAutospacing="1" w:after="0" w:line="360" w:lineRule="auto"/>
        <w:ind w:left="142" w:firstLine="566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 w:rsidRPr="00C13BC6">
        <w:rPr>
          <w:rFonts w:ascii="Arial" w:hAnsi="Arial" w:cs="Arial"/>
          <w:color w:val="000000"/>
          <w:shd w:val="clear" w:color="auto" w:fill="FFFFFF"/>
        </w:rPr>
        <w:t>Nos Estados Unidos</w:t>
      </w:r>
      <w:r w:rsidR="00C40AD7" w:rsidRPr="00C13BC6">
        <w:rPr>
          <w:rFonts w:ascii="Arial" w:hAnsi="Arial" w:cs="Arial"/>
          <w:color w:val="000000"/>
          <w:shd w:val="clear" w:color="auto" w:fill="FFFFFF"/>
        </w:rPr>
        <w:t xml:space="preserve"> houve segundo Sérgio </w:t>
      </w:r>
      <w:proofErr w:type="spellStart"/>
      <w:r w:rsidR="00C40AD7" w:rsidRPr="00C13BC6">
        <w:rPr>
          <w:rFonts w:ascii="Arial" w:hAnsi="Arial" w:cs="Arial"/>
          <w:color w:val="000000"/>
          <w:shd w:val="clear" w:color="auto" w:fill="FFFFFF"/>
        </w:rPr>
        <w:t>Miceli</w:t>
      </w:r>
      <w:proofErr w:type="spellEnd"/>
    </w:p>
    <w:p w:rsidR="00C40AD7" w:rsidRPr="00C13BC6" w:rsidRDefault="00C40AD7" w:rsidP="004E2FF3">
      <w:pPr>
        <w:spacing w:before="100" w:beforeAutospacing="1" w:after="0" w:line="360" w:lineRule="auto"/>
        <w:ind w:left="142" w:firstLine="566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</w:p>
    <w:p w:rsidR="00C40AD7" w:rsidRPr="00C13BC6" w:rsidRDefault="00C40AD7" w:rsidP="00C40AD7">
      <w:pPr>
        <w:spacing w:before="100" w:beforeAutospacing="1" w:after="0" w:line="240" w:lineRule="auto"/>
        <w:ind w:left="2268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C13BC6">
        <w:rPr>
          <w:rFonts w:ascii="Arial" w:hAnsi="Arial" w:cs="Arial"/>
          <w:color w:val="000000"/>
          <w:sz w:val="20"/>
          <w:szCs w:val="20"/>
          <w:shd w:val="clear" w:color="auto" w:fill="FFFFFF"/>
        </w:rPr>
        <w:t>uma</w:t>
      </w:r>
      <w:proofErr w:type="gramEnd"/>
      <w:r w:rsidRPr="00C13B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13BC6">
        <w:rPr>
          <w:rFonts w:ascii="Arial" w:hAnsi="Arial" w:cs="Arial"/>
          <w:color w:val="000000"/>
          <w:sz w:val="20"/>
          <w:szCs w:val="20"/>
          <w:shd w:val="clear" w:color="auto" w:fill="FFFFFF"/>
        </w:rPr>
        <w:t>disão</w:t>
      </w:r>
      <w:proofErr w:type="spellEnd"/>
      <w:r w:rsidRPr="00C13B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entre o campo da conservação e o da preservação, o primeiro cobrindo o trabalho desenvolvido pelos museus, arquivos, bibliotecas e centros de documentação dos mais variados suportes, enquanto o segundo lida prioritariamente com o patrimônio arquitetônico ou ambiental e por essa via se inscreve entre os objetos centrais das políticas de planejamento urbano”. (MICELI, 1987, p.47)</w:t>
      </w:r>
    </w:p>
    <w:p w:rsidR="00C40AD7" w:rsidRPr="00C13BC6" w:rsidRDefault="00C40AD7" w:rsidP="00C40AD7">
      <w:pPr>
        <w:spacing w:before="100" w:beforeAutospacing="1" w:after="0" w:line="240" w:lineRule="auto"/>
        <w:ind w:left="2268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42626" w:rsidRPr="00C13BC6" w:rsidRDefault="00C42626" w:rsidP="004E2FF3">
      <w:pPr>
        <w:spacing w:before="100" w:beforeAutospacing="1" w:after="0" w:line="360" w:lineRule="auto"/>
        <w:ind w:left="142" w:firstLine="56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E2FF3" w:rsidRPr="00C13BC6" w:rsidRDefault="00C40AD7" w:rsidP="004E2FF3">
      <w:pPr>
        <w:spacing w:before="100" w:beforeAutospacing="1" w:after="0" w:line="360" w:lineRule="auto"/>
        <w:ind w:left="142" w:firstLine="56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podemos verificar, tanto na França como nos Estados Unidos</w:t>
      </w:r>
      <w:r w:rsidR="00C46020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as políticas se tornaram mais flexíveis as demandas dos movimentos sociais, o que não ocorreu no Brasil de forma a modifica</w:t>
      </w:r>
      <w:r w:rsidR="002257B6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 as bases estruturais do IPHAN, que continua tendo ainda nos dias de hoje uma atuação hierárquica nas análises de tombamento. Nos Estados Unidos, essa hierarquia ligada à </w:t>
      </w:r>
      <w:r w:rsidR="002257B6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questão estética e cultural, foi superada devido à aceitação de critérios etnológicos e sociológicos, bem como, devido ao rompimento com a ideia eurocêntrica de patrimônio.</w:t>
      </w:r>
    </w:p>
    <w:p w:rsidR="002257B6" w:rsidRPr="00C13BC6" w:rsidRDefault="00F1799E" w:rsidP="004E2FF3">
      <w:pPr>
        <w:spacing w:before="100" w:beforeAutospacing="1" w:after="0" w:line="360" w:lineRule="auto"/>
        <w:ind w:left="142" w:firstLine="56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Aqui no Brasil essas questões ainda merecem debates e novas propostas, todavia, cabe lembrar que a política preservacionista do IPHAN ao mesmo tempo em que engessou o Instituto para novas políticas, tamb</w:t>
      </w:r>
      <w:r w:rsidR="005E4B6F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ém o protegeu de demandas vazias</w:t>
      </w:r>
      <w:bookmarkStart w:id="0" w:name="_GoBack"/>
      <w:bookmarkEnd w:id="0"/>
      <w:r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5E4B6F" w:rsidRPr="00C13B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Nesse sentido, cabe aos profissionais ligados ao patrimônio no Brasil, questionar e continuar levantando novos estudos e tendências para o IPHAN, com o intuito de valorizar aquilo que um dia foi esquecido de forma arbitrária pelos criadores do SPHAN.</w:t>
      </w:r>
    </w:p>
    <w:p w:rsidR="00F1799E" w:rsidRPr="00C13BC6" w:rsidRDefault="00F1799E" w:rsidP="004E2FF3">
      <w:pPr>
        <w:spacing w:before="100" w:beforeAutospacing="1" w:after="0" w:line="360" w:lineRule="auto"/>
        <w:ind w:left="142" w:firstLine="56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C6B75" w:rsidRPr="00C13BC6" w:rsidRDefault="00DC6B75" w:rsidP="004E2FF3">
      <w:pPr>
        <w:spacing w:before="100" w:beforeAutospacing="1" w:after="0" w:line="360" w:lineRule="auto"/>
        <w:ind w:left="142" w:firstLine="56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C6B75" w:rsidRPr="00C13BC6" w:rsidRDefault="00DC6B75" w:rsidP="004E2FF3">
      <w:pPr>
        <w:spacing w:before="100" w:beforeAutospacing="1" w:after="0" w:line="360" w:lineRule="auto"/>
        <w:ind w:left="142" w:firstLine="56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F31E9" w:rsidRPr="00C13BC6" w:rsidRDefault="003F31E9" w:rsidP="004E2FF3">
      <w:pPr>
        <w:spacing w:before="100" w:beforeAutospacing="1" w:after="0" w:line="360" w:lineRule="auto"/>
        <w:ind w:left="142" w:firstLine="56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650DE" w:rsidRPr="00C13BC6" w:rsidRDefault="003650DE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C13BC6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C13BC6" w:rsidRDefault="00C13BC6" w:rsidP="008E243F">
      <w:pPr>
        <w:shd w:val="clear" w:color="auto" w:fill="FFFFFF"/>
        <w:spacing w:after="0" w:line="270" w:lineRule="atLeast"/>
        <w:jc w:val="center"/>
        <w:rPr>
          <w:rFonts w:asciiTheme="majorHAnsi" w:eastAsia="Times New Roman" w:hAnsiTheme="majorHAnsi" w:cs="Times New Roman"/>
          <w:b/>
          <w:bCs/>
          <w:color w:val="333333"/>
          <w:sz w:val="32"/>
          <w:szCs w:val="32"/>
          <w:lang w:eastAsia="pt-BR"/>
        </w:rPr>
      </w:pPr>
      <w:r>
        <w:rPr>
          <w:rFonts w:asciiTheme="majorHAnsi" w:eastAsia="Times New Roman" w:hAnsiTheme="majorHAnsi" w:cs="Times New Roman"/>
          <w:b/>
          <w:bCs/>
          <w:color w:val="333333"/>
          <w:sz w:val="32"/>
          <w:szCs w:val="32"/>
          <w:lang w:eastAsia="pt-BR"/>
        </w:rPr>
        <w:lastRenderedPageBreak/>
        <w:t>REFERENCIAS BIBLIOGRÁFICAS</w:t>
      </w:r>
    </w:p>
    <w:p w:rsidR="006A1914" w:rsidRPr="00174D2B" w:rsidRDefault="006A1914" w:rsidP="00C13BC6">
      <w:pPr>
        <w:shd w:val="clear" w:color="auto" w:fill="FFFFFF"/>
        <w:spacing w:after="0" w:line="270" w:lineRule="atLeast"/>
        <w:jc w:val="center"/>
        <w:rPr>
          <w:rFonts w:asciiTheme="majorHAnsi" w:eastAsia="Times New Roman" w:hAnsiTheme="majorHAnsi" w:cs="Times New Roman"/>
          <w:b/>
          <w:bCs/>
          <w:color w:val="333333"/>
          <w:sz w:val="32"/>
          <w:szCs w:val="32"/>
          <w:lang w:eastAsia="pt-BR"/>
        </w:rPr>
      </w:pPr>
    </w:p>
    <w:p w:rsidR="00C13BC6" w:rsidRPr="00981924" w:rsidRDefault="00C13BC6" w:rsidP="00C13BC6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pt-BR"/>
        </w:rPr>
      </w:pPr>
    </w:p>
    <w:p w:rsidR="00C13BC6" w:rsidRPr="006A1914" w:rsidRDefault="00C13BC6" w:rsidP="00C13BC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C13BC6" w:rsidRPr="006A1914" w:rsidRDefault="00C13BC6" w:rsidP="00C13BC6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A191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MICELI, Sérgio. </w:t>
      </w:r>
      <w:r w:rsidR="006A1914" w:rsidRPr="006A191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SPHAN: refrigério da cultura oficial</w:t>
      </w:r>
      <w:r w:rsidRPr="006A191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="006A1914" w:rsidRPr="006A1914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t-BR"/>
        </w:rPr>
        <w:t>Revista do Patrimônio Histórico e Artístico Nacional</w:t>
      </w:r>
      <w:r w:rsidR="006A1914" w:rsidRPr="006A191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Rio de Janeiro, n°22, 1987</w:t>
      </w:r>
      <w:r w:rsidRPr="006A191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154473" w:rsidRPr="006A1914" w:rsidRDefault="006A1914" w:rsidP="006A1914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A1914">
        <w:rPr>
          <w:rFonts w:ascii="Arial" w:hAnsi="Arial" w:cs="Arial"/>
          <w:color w:val="000000" w:themeColor="text1"/>
        </w:rPr>
        <w:t xml:space="preserve">JULIÃO, Letícia. O SPHAN e a cultura museológica no Brasil. </w:t>
      </w:r>
      <w:r w:rsidRPr="006A1914">
        <w:rPr>
          <w:rFonts w:ascii="Arial" w:hAnsi="Arial" w:cs="Arial"/>
          <w:i/>
          <w:color w:val="000000" w:themeColor="text1"/>
        </w:rPr>
        <w:t>Estudos Históricos</w:t>
      </w:r>
      <w:r w:rsidRPr="006A1914">
        <w:rPr>
          <w:rFonts w:ascii="Arial" w:hAnsi="Arial" w:cs="Arial"/>
          <w:color w:val="000000" w:themeColor="text1"/>
        </w:rPr>
        <w:t>, Rio de Janeiro, vol. 22, nº43, 2009.</w:t>
      </w:r>
    </w:p>
    <w:p w:rsidR="00154473" w:rsidRPr="006A1914" w:rsidRDefault="00154473" w:rsidP="004E2FF3">
      <w:pPr>
        <w:spacing w:before="100" w:beforeAutospacing="1" w:after="0" w:line="360" w:lineRule="auto"/>
        <w:ind w:left="2268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6A1914" w:rsidRDefault="00154473" w:rsidP="00154473">
      <w:pPr>
        <w:spacing w:before="100" w:beforeAutospacing="1" w:after="0" w:line="360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154473" w:rsidRDefault="00154473" w:rsidP="00154473">
      <w:pPr>
        <w:spacing w:before="100" w:beforeAutospacing="1"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54473" w:rsidRPr="004878A4" w:rsidRDefault="00154473" w:rsidP="00154473">
      <w:pPr>
        <w:spacing w:before="100" w:beforeAutospacing="1"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154473" w:rsidRPr="004878A4" w:rsidSect="00503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04CBD"/>
    <w:rsid w:val="00063FD2"/>
    <w:rsid w:val="000E72B5"/>
    <w:rsid w:val="000F3ABA"/>
    <w:rsid w:val="00154473"/>
    <w:rsid w:val="0019493D"/>
    <w:rsid w:val="001A284B"/>
    <w:rsid w:val="002257B6"/>
    <w:rsid w:val="003650DE"/>
    <w:rsid w:val="003F31E9"/>
    <w:rsid w:val="004022FD"/>
    <w:rsid w:val="004878A4"/>
    <w:rsid w:val="004972F5"/>
    <w:rsid w:val="004E2FF3"/>
    <w:rsid w:val="00503615"/>
    <w:rsid w:val="005463D0"/>
    <w:rsid w:val="00583394"/>
    <w:rsid w:val="005D2BF6"/>
    <w:rsid w:val="005E474A"/>
    <w:rsid w:val="005E4B6F"/>
    <w:rsid w:val="00611803"/>
    <w:rsid w:val="00646C70"/>
    <w:rsid w:val="0069595A"/>
    <w:rsid w:val="006A1914"/>
    <w:rsid w:val="00784649"/>
    <w:rsid w:val="007B7D43"/>
    <w:rsid w:val="00804CBD"/>
    <w:rsid w:val="008217EC"/>
    <w:rsid w:val="008E243F"/>
    <w:rsid w:val="008E7E0C"/>
    <w:rsid w:val="008F31AF"/>
    <w:rsid w:val="0090289D"/>
    <w:rsid w:val="00904D43"/>
    <w:rsid w:val="00946361"/>
    <w:rsid w:val="00A66CA3"/>
    <w:rsid w:val="00AD568C"/>
    <w:rsid w:val="00B34337"/>
    <w:rsid w:val="00B34563"/>
    <w:rsid w:val="00B9275B"/>
    <w:rsid w:val="00C13BC6"/>
    <w:rsid w:val="00C40AD7"/>
    <w:rsid w:val="00C42626"/>
    <w:rsid w:val="00C438D0"/>
    <w:rsid w:val="00C46020"/>
    <w:rsid w:val="00C743AD"/>
    <w:rsid w:val="00CA612C"/>
    <w:rsid w:val="00DC6B75"/>
    <w:rsid w:val="00E3243F"/>
    <w:rsid w:val="00E43008"/>
    <w:rsid w:val="00E45CBB"/>
    <w:rsid w:val="00EC6EA1"/>
    <w:rsid w:val="00F178CD"/>
    <w:rsid w:val="00F1799E"/>
    <w:rsid w:val="00FA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1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04CBD"/>
  </w:style>
  <w:style w:type="character" w:styleId="Hyperlink">
    <w:name w:val="Hyperlink"/>
    <w:basedOn w:val="Fontepargpadro"/>
    <w:uiPriority w:val="99"/>
    <w:semiHidden/>
    <w:unhideWhenUsed/>
    <w:rsid w:val="00804CBD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804CBD"/>
  </w:style>
  <w:style w:type="paragraph" w:styleId="NormalWeb">
    <w:name w:val="Normal (Web)"/>
    <w:basedOn w:val="Normal"/>
    <w:uiPriority w:val="99"/>
    <w:unhideWhenUsed/>
    <w:rsid w:val="00C1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04CBD"/>
  </w:style>
  <w:style w:type="character" w:styleId="Hyperlink">
    <w:name w:val="Hyperlink"/>
    <w:basedOn w:val="Fontepargpadro"/>
    <w:uiPriority w:val="99"/>
    <w:semiHidden/>
    <w:unhideWhenUsed/>
    <w:rsid w:val="00804CBD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804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4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19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0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14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82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56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2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80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62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1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8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6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t.wikipedia.org/wiki/Estado_Novo_(Brasil)" TargetMode="External"/><Relationship Id="rId5" Type="http://schemas.openxmlformats.org/officeDocument/2006/relationships/hyperlink" Target="https://pt.wikipedia.org/wiki/1937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BAE2-D761-4010-B116-53FA7B54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1558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</dc:creator>
  <cp:lastModifiedBy>Banco Itaú Unibanco</cp:lastModifiedBy>
  <cp:revision>4</cp:revision>
  <dcterms:created xsi:type="dcterms:W3CDTF">2013-07-01T16:22:00Z</dcterms:created>
  <dcterms:modified xsi:type="dcterms:W3CDTF">2013-07-02T18:17:00Z</dcterms:modified>
</cp:coreProperties>
</file>