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  <w:r w:rsidRPr="00D91DCD">
        <w:rPr>
          <w:rFonts w:ascii="Times New Roman" w:hAnsi="Times New Roman" w:cs="Arial"/>
          <w:b/>
          <w:sz w:val="28"/>
          <w:szCs w:val="28"/>
        </w:rPr>
        <w:t>UNIVERSIDADE PRESBITERIANA MACKENZIE</w:t>
      </w: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  <w:r w:rsidRPr="00D91DCD">
        <w:rPr>
          <w:rFonts w:ascii="Times New Roman" w:hAnsi="Times New Roman" w:cs="Arial"/>
          <w:b/>
          <w:sz w:val="28"/>
          <w:szCs w:val="28"/>
        </w:rPr>
        <w:t>Faculdade de Direito</w:t>
      </w: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75755" w:rsidRDefault="00D75755" w:rsidP="00D75755">
      <w:pPr>
        <w:spacing w:line="360" w:lineRule="auto"/>
        <w:jc w:val="center"/>
        <w:rPr>
          <w:rFonts w:ascii="Times New Roman" w:hAnsi="Times New Roman" w:cs="Arial"/>
          <w:b/>
          <w:sz w:val="32"/>
          <w:szCs w:val="32"/>
        </w:rPr>
      </w:pPr>
      <w:r w:rsidRPr="00D75755">
        <w:rPr>
          <w:rFonts w:ascii="Times New Roman" w:hAnsi="Times New Roman" w:cs="Arial"/>
          <w:b/>
          <w:sz w:val="32"/>
          <w:szCs w:val="32"/>
        </w:rPr>
        <w:t>A EFICÁCIA D</w:t>
      </w:r>
      <w:r w:rsidR="00D12584">
        <w:rPr>
          <w:rFonts w:ascii="Times New Roman" w:hAnsi="Times New Roman" w:cs="Arial"/>
          <w:b/>
          <w:sz w:val="32"/>
          <w:szCs w:val="32"/>
        </w:rPr>
        <w:t>O</w:t>
      </w:r>
      <w:bookmarkStart w:id="0" w:name="_GoBack"/>
      <w:bookmarkEnd w:id="0"/>
      <w:r w:rsidRPr="00D75755">
        <w:rPr>
          <w:rFonts w:ascii="Times New Roman" w:hAnsi="Times New Roman" w:cs="Arial"/>
          <w:b/>
          <w:sz w:val="32"/>
          <w:szCs w:val="32"/>
        </w:rPr>
        <w:t xml:space="preserve"> TESTAMENTO VITAL NO DIREITO BRASILEIRO</w:t>
      </w: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  <w:b/>
        </w:rPr>
      </w:pPr>
      <w:r w:rsidRPr="00D91DCD">
        <w:rPr>
          <w:rFonts w:ascii="Times New Roman" w:hAnsi="Times New Roman" w:cs="Arial"/>
          <w:b/>
        </w:rPr>
        <w:t xml:space="preserve">Hannetie </w:t>
      </w:r>
      <w:proofErr w:type="spellStart"/>
      <w:r w:rsidRPr="00D91DCD">
        <w:rPr>
          <w:rFonts w:ascii="Times New Roman" w:hAnsi="Times New Roman" w:cs="Arial"/>
          <w:b/>
        </w:rPr>
        <w:t>Kiyono</w:t>
      </w:r>
      <w:proofErr w:type="spellEnd"/>
      <w:r w:rsidRPr="00D91DCD">
        <w:rPr>
          <w:rFonts w:ascii="Times New Roman" w:hAnsi="Times New Roman" w:cs="Arial"/>
          <w:b/>
        </w:rPr>
        <w:t xml:space="preserve"> </w:t>
      </w:r>
      <w:proofErr w:type="spellStart"/>
      <w:r w:rsidRPr="00D91DCD">
        <w:rPr>
          <w:rFonts w:ascii="Times New Roman" w:hAnsi="Times New Roman" w:cs="Arial"/>
          <w:b/>
        </w:rPr>
        <w:t>Koyama</w:t>
      </w:r>
      <w:proofErr w:type="spellEnd"/>
      <w:r w:rsidRPr="00D91DCD">
        <w:rPr>
          <w:rFonts w:ascii="Times New Roman" w:hAnsi="Times New Roman" w:cs="Arial"/>
          <w:b/>
        </w:rPr>
        <w:t xml:space="preserve"> Sato</w:t>
      </w: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  <w:r w:rsidRPr="00D91DCD">
        <w:rPr>
          <w:rFonts w:ascii="Times New Roman" w:hAnsi="Times New Roman" w:cs="Arial"/>
          <w:b/>
          <w:sz w:val="28"/>
          <w:szCs w:val="28"/>
        </w:rPr>
        <w:t>São Paulo</w:t>
      </w:r>
    </w:p>
    <w:p w:rsidR="00D75755" w:rsidRPr="00BC380B" w:rsidRDefault="00D75755" w:rsidP="00D75755"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  <w:r w:rsidRPr="00D91DCD">
        <w:rPr>
          <w:rFonts w:ascii="Times New Roman" w:hAnsi="Times New Roman" w:cs="Arial"/>
          <w:b/>
          <w:sz w:val="28"/>
          <w:szCs w:val="28"/>
        </w:rPr>
        <w:t>2013</w:t>
      </w: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  <w:r w:rsidRPr="00D91DCD">
        <w:rPr>
          <w:rFonts w:ascii="Times New Roman" w:hAnsi="Times New Roman" w:cs="Arial"/>
        </w:rPr>
        <w:br w:type="page"/>
      </w: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  <w:r w:rsidRPr="00D91DCD">
        <w:rPr>
          <w:rFonts w:ascii="Times New Roman" w:hAnsi="Times New Roman" w:cs="Arial"/>
          <w:b/>
          <w:sz w:val="28"/>
          <w:szCs w:val="28"/>
        </w:rPr>
        <w:lastRenderedPageBreak/>
        <w:t xml:space="preserve">Hannetie </w:t>
      </w:r>
      <w:proofErr w:type="spellStart"/>
      <w:r w:rsidRPr="00D91DCD">
        <w:rPr>
          <w:rFonts w:ascii="Times New Roman" w:hAnsi="Times New Roman" w:cs="Arial"/>
          <w:b/>
          <w:sz w:val="28"/>
          <w:szCs w:val="28"/>
        </w:rPr>
        <w:t>Kiyono</w:t>
      </w:r>
      <w:proofErr w:type="spellEnd"/>
      <w:r w:rsidRPr="00D91DCD">
        <w:rPr>
          <w:rFonts w:ascii="Times New Roman" w:hAnsi="Times New Roman" w:cs="Arial"/>
          <w:b/>
          <w:sz w:val="28"/>
          <w:szCs w:val="28"/>
        </w:rPr>
        <w:t xml:space="preserve"> </w:t>
      </w:r>
      <w:proofErr w:type="spellStart"/>
      <w:r w:rsidRPr="00D91DCD">
        <w:rPr>
          <w:rFonts w:ascii="Times New Roman" w:hAnsi="Times New Roman" w:cs="Arial"/>
          <w:b/>
          <w:sz w:val="28"/>
          <w:szCs w:val="28"/>
        </w:rPr>
        <w:t>Koyama</w:t>
      </w:r>
      <w:proofErr w:type="spellEnd"/>
      <w:r w:rsidRPr="00D91DCD">
        <w:rPr>
          <w:rFonts w:ascii="Times New Roman" w:hAnsi="Times New Roman" w:cs="Arial"/>
          <w:b/>
          <w:sz w:val="28"/>
          <w:szCs w:val="28"/>
        </w:rPr>
        <w:t xml:space="preserve"> Sato</w:t>
      </w: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75755" w:rsidRDefault="00D75755" w:rsidP="00D75755">
      <w:pPr>
        <w:spacing w:line="360" w:lineRule="auto"/>
        <w:jc w:val="center"/>
        <w:rPr>
          <w:rFonts w:ascii="Times New Roman" w:hAnsi="Times New Roman" w:cs="Arial"/>
          <w:b/>
          <w:sz w:val="32"/>
          <w:szCs w:val="32"/>
        </w:rPr>
      </w:pPr>
      <w:r w:rsidRPr="00D75755">
        <w:rPr>
          <w:rFonts w:ascii="Times New Roman" w:hAnsi="Times New Roman" w:cs="Arial"/>
          <w:b/>
          <w:sz w:val="32"/>
          <w:szCs w:val="32"/>
        </w:rPr>
        <w:t>A EFICÁCIA D</w:t>
      </w:r>
      <w:r w:rsidR="00D12584">
        <w:rPr>
          <w:rFonts w:ascii="Times New Roman" w:hAnsi="Times New Roman" w:cs="Arial"/>
          <w:b/>
          <w:sz w:val="32"/>
          <w:szCs w:val="32"/>
        </w:rPr>
        <w:t>O</w:t>
      </w:r>
      <w:r w:rsidRPr="00D75755">
        <w:rPr>
          <w:rFonts w:ascii="Times New Roman" w:hAnsi="Times New Roman" w:cs="Arial"/>
          <w:b/>
          <w:sz w:val="32"/>
          <w:szCs w:val="32"/>
        </w:rPr>
        <w:t xml:space="preserve"> TESTAMENTO VITAL NO DIREITO BRASILEIRO</w:t>
      </w: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ind w:left="4536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ind w:left="4536"/>
        <w:jc w:val="center"/>
        <w:rPr>
          <w:rFonts w:ascii="Times New Roman" w:hAnsi="Times New Roman" w:cs="Arial"/>
        </w:rPr>
      </w:pPr>
    </w:p>
    <w:p w:rsidR="00D75755" w:rsidRPr="00D91DCD" w:rsidRDefault="00D75755" w:rsidP="00BB653D">
      <w:pPr>
        <w:spacing w:line="360" w:lineRule="auto"/>
        <w:ind w:left="4536" w:right="46"/>
        <w:jc w:val="both"/>
        <w:rPr>
          <w:rFonts w:ascii="Times New Roman" w:hAnsi="Times New Roman" w:cs="Arial"/>
        </w:rPr>
      </w:pPr>
      <w:r w:rsidRPr="00D91DCD">
        <w:rPr>
          <w:rFonts w:ascii="Times New Roman" w:hAnsi="Times New Roman" w:cs="Arial"/>
        </w:rPr>
        <w:t xml:space="preserve">Trabalho de Curso apresentado à Faculdade de Direito da Universidade Presbiteriana Mackenzie como requisito parcial à obtenção </w:t>
      </w:r>
      <w:r>
        <w:rPr>
          <w:rFonts w:ascii="Times New Roman" w:hAnsi="Times New Roman" w:cs="Arial"/>
        </w:rPr>
        <w:t xml:space="preserve">de aprovação </w:t>
      </w:r>
      <w:r w:rsidR="00BB653D">
        <w:rPr>
          <w:rFonts w:ascii="Times New Roman" w:hAnsi="Times New Roman" w:cs="Arial"/>
        </w:rPr>
        <w:t xml:space="preserve">da disciplina </w:t>
      </w:r>
      <w:proofErr w:type="spellStart"/>
      <w:r w:rsidR="00BB653D">
        <w:rPr>
          <w:rFonts w:ascii="Times New Roman" w:hAnsi="Times New Roman" w:cs="Arial"/>
        </w:rPr>
        <w:t>Biodireito</w:t>
      </w:r>
      <w:proofErr w:type="spellEnd"/>
      <w:r w:rsidR="00BB653D">
        <w:rPr>
          <w:rFonts w:ascii="Times New Roman" w:hAnsi="Times New Roman" w:cs="Arial"/>
        </w:rPr>
        <w:t>.</w:t>
      </w:r>
      <w:r>
        <w:rPr>
          <w:rFonts w:ascii="Times New Roman" w:hAnsi="Times New Roman" w:cs="Arial"/>
        </w:rPr>
        <w:t xml:space="preserve"> </w:t>
      </w:r>
    </w:p>
    <w:p w:rsidR="00D75755" w:rsidRPr="00D91DCD" w:rsidRDefault="00D75755" w:rsidP="00D75755">
      <w:pPr>
        <w:spacing w:line="360" w:lineRule="auto"/>
        <w:ind w:left="4536" w:right="46"/>
        <w:jc w:val="both"/>
        <w:rPr>
          <w:rFonts w:ascii="Times New Roman" w:hAnsi="Times New Roman" w:cs="Arial"/>
        </w:rPr>
      </w:pP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BB653D" w:rsidP="00D75755">
      <w:pPr>
        <w:spacing w:line="360" w:lineRule="auto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Professor</w:t>
      </w:r>
      <w:r w:rsidR="00D75755" w:rsidRPr="00D91DCD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Carlos Eduardo N. Camillo</w:t>
      </w: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D91DCD" w:rsidRDefault="00D75755" w:rsidP="00D75755">
      <w:pPr>
        <w:spacing w:line="360" w:lineRule="auto"/>
        <w:jc w:val="center"/>
        <w:rPr>
          <w:rFonts w:ascii="Times New Roman" w:hAnsi="Times New Roman" w:cs="Arial"/>
        </w:rPr>
      </w:pPr>
    </w:p>
    <w:p w:rsidR="00D75755" w:rsidRPr="00484610" w:rsidRDefault="00D75755" w:rsidP="00D75755"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  <w:r w:rsidRPr="00484610">
        <w:rPr>
          <w:rFonts w:ascii="Times New Roman" w:hAnsi="Times New Roman" w:cs="Arial"/>
          <w:b/>
          <w:sz w:val="28"/>
          <w:szCs w:val="28"/>
        </w:rPr>
        <w:t>São Paulo</w:t>
      </w:r>
    </w:p>
    <w:p w:rsidR="00BB653D" w:rsidRDefault="00D75755" w:rsidP="00D75755"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  <w:sectPr w:rsidR="00BB653D" w:rsidSect="00E27B12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  <w:r w:rsidRPr="00484610">
        <w:rPr>
          <w:rFonts w:ascii="Times New Roman" w:hAnsi="Times New Roman" w:cs="Arial"/>
          <w:b/>
          <w:sz w:val="28"/>
          <w:szCs w:val="28"/>
        </w:rPr>
        <w:t>2013</w:t>
      </w:r>
    </w:p>
    <w:p w:rsidR="00367FEC" w:rsidRDefault="00BB653D" w:rsidP="00BB653D">
      <w:pPr>
        <w:spacing w:line="36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Sumário</w:t>
      </w:r>
    </w:p>
    <w:p w:rsidR="00BB653D" w:rsidRDefault="00BB653D" w:rsidP="00BB653D">
      <w:pPr>
        <w:spacing w:line="360" w:lineRule="auto"/>
        <w:rPr>
          <w:rFonts w:ascii="Times New Roman" w:hAnsi="Times New Roman" w:cs="Arial"/>
          <w:b/>
          <w:sz w:val="28"/>
          <w:szCs w:val="28"/>
        </w:rPr>
      </w:pPr>
    </w:p>
    <w:p w:rsidR="00BB653D" w:rsidRPr="00BB653D" w:rsidRDefault="00BB653D" w:rsidP="00BB65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Arial"/>
          <w:b/>
          <w:sz w:val="28"/>
          <w:szCs w:val="28"/>
        </w:rPr>
      </w:pPr>
      <w:r w:rsidRPr="00BB653D">
        <w:rPr>
          <w:rFonts w:ascii="Times New Roman" w:hAnsi="Times New Roman" w:cs="Arial"/>
          <w:b/>
          <w:sz w:val="28"/>
          <w:szCs w:val="28"/>
        </w:rPr>
        <w:t>O que é testamento Vital?</w:t>
      </w:r>
    </w:p>
    <w:p w:rsidR="00BB653D" w:rsidRDefault="00BB653D" w:rsidP="00BB65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Precedentes</w:t>
      </w:r>
    </w:p>
    <w:p w:rsidR="00BB653D" w:rsidRDefault="00BB653D" w:rsidP="00BB65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Requisitos</w:t>
      </w:r>
    </w:p>
    <w:p w:rsidR="00BB653D" w:rsidRDefault="00BB653D" w:rsidP="00BB65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Testamento Vital no Brasil</w:t>
      </w:r>
    </w:p>
    <w:p w:rsidR="00BB653D" w:rsidRPr="00BB653D" w:rsidRDefault="00BB653D" w:rsidP="00BB65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Arial"/>
          <w:b/>
          <w:sz w:val="28"/>
          <w:szCs w:val="28"/>
        </w:rPr>
      </w:pPr>
    </w:p>
    <w:p w:rsidR="00367FEC" w:rsidRPr="00D75755" w:rsidRDefault="006A0B10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 xml:space="preserve">1. </w:t>
      </w:r>
      <w:r w:rsidR="00367FEC" w:rsidRPr="00D75755">
        <w:rPr>
          <w:rFonts w:ascii="Times New Roman" w:hAnsi="Times New Roman"/>
        </w:rPr>
        <w:t>O que é o testamento vital?</w:t>
      </w:r>
    </w:p>
    <w:p w:rsidR="00367FEC" w:rsidRPr="00D75755" w:rsidRDefault="00367FEC" w:rsidP="00D75755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3876A0" w:rsidRPr="00D75755" w:rsidRDefault="00367FEC" w:rsidP="00D75755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75755">
        <w:rPr>
          <w:rFonts w:ascii="Times New Roman" w:eastAsia="Times New Roman" w:hAnsi="Times New Roman" w:cs="Times New Roman"/>
          <w:shd w:val="clear" w:color="auto" w:fill="FFFFFF"/>
        </w:rPr>
        <w:t>Testamento Vital é a declaração antecipada de vontade, ou seja, é o conjunto de instruções e vontades</w:t>
      </w:r>
      <w:r w:rsidR="003876A0" w:rsidRPr="00D75755">
        <w:rPr>
          <w:rFonts w:ascii="Times New Roman" w:eastAsia="Times New Roman" w:hAnsi="Times New Roman" w:cs="Times New Roman"/>
          <w:shd w:val="clear" w:color="auto" w:fill="FFFFFF"/>
        </w:rPr>
        <w:t xml:space="preserve"> apresentadas por uma pessoa especificando qual o tratamento deseja receber no caso de vir a padecer de alguma enfermidade que a medicina não disponha de cura ou tratamento que possibilite a vida saudável física e mental.</w:t>
      </w:r>
      <w:r w:rsidRPr="00D7575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:rsidR="003876A0" w:rsidRPr="00D75755" w:rsidRDefault="003876A0" w:rsidP="00D75755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3876A0" w:rsidRPr="00D75755" w:rsidRDefault="003876A0" w:rsidP="00D75755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75755">
        <w:rPr>
          <w:rFonts w:ascii="Times New Roman" w:eastAsia="Times New Roman" w:hAnsi="Times New Roman" w:cs="Times New Roman"/>
          <w:shd w:val="clear" w:color="auto" w:fill="FFFFFF"/>
        </w:rPr>
        <w:t>O testamento vital pode ainda ser chamado de</w:t>
      </w:r>
      <w:r w:rsidR="00367FEC" w:rsidRPr="00D75755">
        <w:rPr>
          <w:rFonts w:ascii="Times New Roman" w:eastAsia="Times New Roman" w:hAnsi="Times New Roman" w:cs="Times New Roman"/>
          <w:shd w:val="clear" w:color="auto" w:fill="FFFFFF"/>
        </w:rPr>
        <w:t xml:space="preserve"> testamento de diretrizes antecipadas. </w:t>
      </w:r>
    </w:p>
    <w:p w:rsidR="003876A0" w:rsidRPr="00D75755" w:rsidRDefault="003876A0" w:rsidP="00D75755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6A0B10" w:rsidRPr="00D75755" w:rsidRDefault="003876A0" w:rsidP="00D75755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75755">
        <w:rPr>
          <w:rFonts w:ascii="Times New Roman" w:eastAsia="Times New Roman" w:hAnsi="Times New Roman" w:cs="Times New Roman"/>
          <w:shd w:val="clear" w:color="auto" w:fill="FFFFFF"/>
        </w:rPr>
        <w:t>O testamento vital é feito pelo próprio indivíduo enquanto se encontra </w:t>
      </w:r>
      <w:hyperlink r:id="rId6" w:tooltip="Saúde mental" w:history="1">
        <w:r w:rsidRPr="00D75755">
          <w:rPr>
            <w:rFonts w:ascii="Times New Roman" w:eastAsia="Times New Roman" w:hAnsi="Times New Roman" w:cs="Times New Roman"/>
            <w:shd w:val="clear" w:color="auto" w:fill="FFFFFF"/>
          </w:rPr>
          <w:t>são</w:t>
        </w:r>
      </w:hyperlink>
      <w:r w:rsidRPr="00D75755">
        <w:rPr>
          <w:rFonts w:ascii="Times New Roman" w:eastAsia="Times New Roman" w:hAnsi="Times New Roman" w:cs="Times New Roman"/>
          <w:shd w:val="clear" w:color="auto" w:fill="FFFFFF"/>
        </w:rPr>
        <w:t> e pode ser usado para guiar o tratamento de um paciente desde que respeite a </w:t>
      </w:r>
      <w:hyperlink r:id="rId7" w:tooltip="Ética médica" w:history="1">
        <w:r w:rsidRPr="00D75755">
          <w:rPr>
            <w:rFonts w:ascii="Times New Roman" w:eastAsia="Times New Roman" w:hAnsi="Times New Roman" w:cs="Times New Roman"/>
            <w:shd w:val="clear" w:color="auto" w:fill="FFFFFF"/>
          </w:rPr>
          <w:t>ética médica</w:t>
        </w:r>
      </w:hyperlink>
      <w:r w:rsidRPr="00D75755">
        <w:rPr>
          <w:rFonts w:ascii="Times New Roman" w:eastAsia="Times New Roman" w:hAnsi="Times New Roman" w:cs="Times New Roman"/>
          <w:shd w:val="clear" w:color="auto" w:fill="FFFFFF"/>
        </w:rPr>
        <w:t xml:space="preserve">. O </w:t>
      </w:r>
      <w:proofErr w:type="spellStart"/>
      <w:r w:rsidRPr="00D75755">
        <w:rPr>
          <w:rFonts w:ascii="Times New Roman" w:eastAsia="Times New Roman" w:hAnsi="Times New Roman" w:cs="Times New Roman"/>
          <w:shd w:val="clear" w:color="auto" w:fill="FFFFFF"/>
        </w:rPr>
        <w:t>testemaneto</w:t>
      </w:r>
      <w:proofErr w:type="spellEnd"/>
      <w:r w:rsidRPr="00D75755">
        <w:rPr>
          <w:rFonts w:ascii="Times New Roman" w:eastAsia="Times New Roman" w:hAnsi="Times New Roman" w:cs="Times New Roman"/>
          <w:shd w:val="clear" w:color="auto" w:fill="FFFFFF"/>
        </w:rPr>
        <w:t xml:space="preserve"> será utilizado caso </w:t>
      </w:r>
      <w:r w:rsidR="006A0B10" w:rsidRPr="00D75755">
        <w:rPr>
          <w:rFonts w:ascii="Times New Roman" w:eastAsia="Times New Roman" w:hAnsi="Times New Roman" w:cs="Times New Roman"/>
          <w:shd w:val="clear" w:color="auto" w:fill="FFFFFF"/>
        </w:rPr>
        <w:t xml:space="preserve">sobrevenha situação em que </w:t>
      </w:r>
      <w:r w:rsidRPr="00D75755">
        <w:rPr>
          <w:rFonts w:ascii="Times New Roman" w:eastAsia="Times New Roman" w:hAnsi="Times New Roman" w:cs="Times New Roman"/>
          <w:shd w:val="clear" w:color="auto" w:fill="FFFFFF"/>
        </w:rPr>
        <w:t xml:space="preserve">a </w:t>
      </w:r>
      <w:r w:rsidR="00367FEC" w:rsidRPr="00D75755">
        <w:rPr>
          <w:rFonts w:ascii="Times New Roman" w:eastAsia="Times New Roman" w:hAnsi="Times New Roman" w:cs="Times New Roman"/>
          <w:shd w:val="clear" w:color="auto" w:fill="FFFFFF"/>
        </w:rPr>
        <w:t xml:space="preserve">pessoa </w:t>
      </w:r>
      <w:r w:rsidR="006A0B10" w:rsidRPr="00D75755">
        <w:rPr>
          <w:rFonts w:ascii="Times New Roman" w:eastAsia="Times New Roman" w:hAnsi="Times New Roman" w:cs="Times New Roman"/>
          <w:shd w:val="clear" w:color="auto" w:fill="FFFFFF"/>
        </w:rPr>
        <w:t>não se encontre</w:t>
      </w:r>
      <w:r w:rsidR="00367FEC" w:rsidRPr="00D75755">
        <w:rPr>
          <w:rFonts w:ascii="Times New Roman" w:eastAsia="Times New Roman" w:hAnsi="Times New Roman" w:cs="Times New Roman"/>
          <w:shd w:val="clear" w:color="auto" w:fill="FFFFFF"/>
        </w:rPr>
        <w:t xml:space="preserve"> capaz de prestar </w:t>
      </w:r>
      <w:hyperlink r:id="rId8" w:tooltip="Consentimento informado" w:history="1">
        <w:r w:rsidR="00367FEC" w:rsidRPr="00D75755">
          <w:rPr>
            <w:rFonts w:ascii="Times New Roman" w:eastAsia="Times New Roman" w:hAnsi="Times New Roman" w:cs="Times New Roman"/>
            <w:u w:val="single"/>
            <w:shd w:val="clear" w:color="auto" w:fill="FFFFFF"/>
          </w:rPr>
          <w:t>consentimento informado</w:t>
        </w:r>
      </w:hyperlink>
      <w:r w:rsidR="00367FEC" w:rsidRPr="00D75755">
        <w:rPr>
          <w:rFonts w:ascii="Times New Roman" w:eastAsia="Times New Roman" w:hAnsi="Times New Roman" w:cs="Times New Roman"/>
          <w:shd w:val="clear" w:color="auto" w:fill="FFFFFF"/>
        </w:rPr>
        <w:t xml:space="preserve"> de forma autônoma. </w:t>
      </w:r>
    </w:p>
    <w:p w:rsidR="006A0B10" w:rsidRPr="00D75755" w:rsidRDefault="006A0B10" w:rsidP="00D75755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A445C6" w:rsidRPr="00D75755" w:rsidRDefault="00A445C6" w:rsidP="00D75755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6A0B10" w:rsidRPr="00D75755" w:rsidRDefault="006A0B10" w:rsidP="00D75755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75755">
        <w:rPr>
          <w:rFonts w:ascii="Times New Roman" w:eastAsia="Times New Roman" w:hAnsi="Times New Roman" w:cs="Times New Roman"/>
          <w:shd w:val="clear" w:color="auto" w:fill="FFFFFF"/>
        </w:rPr>
        <w:t>2. Precedentes</w:t>
      </w:r>
    </w:p>
    <w:p w:rsidR="006A0B10" w:rsidRPr="00D75755" w:rsidRDefault="006A0B10" w:rsidP="00D75755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6A0B10" w:rsidRPr="00D75755" w:rsidRDefault="006A0B10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eastAsia="Times New Roman" w:hAnsi="Times New Roman" w:cs="Times New Roman"/>
          <w:shd w:val="clear" w:color="auto" w:fill="FFFFFF"/>
        </w:rPr>
        <w:t>Ainda não há nenhuma lei (</w:t>
      </w:r>
      <w:r w:rsidRPr="00D75755">
        <w:rPr>
          <w:rFonts w:ascii="Times New Roman" w:eastAsia="Times New Roman" w:hAnsi="Times New Roman" w:cs="Times New Roman"/>
          <w:i/>
          <w:shd w:val="clear" w:color="auto" w:fill="FFFFFF"/>
        </w:rPr>
        <w:t>lato senso</w:t>
      </w:r>
      <w:r w:rsidRPr="00D75755">
        <w:rPr>
          <w:rFonts w:ascii="Times New Roman" w:eastAsia="Times New Roman" w:hAnsi="Times New Roman" w:cs="Times New Roman"/>
          <w:shd w:val="clear" w:color="auto" w:fill="FFFFFF"/>
        </w:rPr>
        <w:t>) no ordenamento pátrio que preveja o instituto do testamento vital, mas esta modalidade de manifestação de vontade é muito conhecido nos países europeus e nos Estados Unidos, conhecido como</w:t>
      </w:r>
      <w:r w:rsidRPr="00D75755">
        <w:rPr>
          <w:rFonts w:ascii="Times New Roman" w:hAnsi="Times New Roman"/>
        </w:rPr>
        <w:t xml:space="preserve"> “</w:t>
      </w:r>
      <w:r w:rsidRPr="00D75755">
        <w:rPr>
          <w:rFonts w:ascii="Times New Roman" w:hAnsi="Times New Roman"/>
          <w:i/>
        </w:rPr>
        <w:t xml:space="preserve">living </w:t>
      </w:r>
      <w:proofErr w:type="spellStart"/>
      <w:r w:rsidRPr="00D75755">
        <w:rPr>
          <w:rFonts w:ascii="Times New Roman" w:hAnsi="Times New Roman"/>
          <w:i/>
        </w:rPr>
        <w:t>will</w:t>
      </w:r>
      <w:proofErr w:type="spellEnd"/>
      <w:r w:rsidRPr="00D75755">
        <w:rPr>
          <w:rFonts w:ascii="Times New Roman" w:hAnsi="Times New Roman"/>
        </w:rPr>
        <w:t xml:space="preserve">”. </w:t>
      </w:r>
    </w:p>
    <w:p w:rsidR="006A0B10" w:rsidRPr="00D75755" w:rsidRDefault="006A0B10" w:rsidP="00D75755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6A0B10" w:rsidRPr="00D75755" w:rsidRDefault="006A0B10" w:rsidP="00D75755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75755">
        <w:rPr>
          <w:rFonts w:ascii="Times New Roman" w:eastAsia="Times New Roman" w:hAnsi="Times New Roman" w:cs="Times New Roman"/>
          <w:shd w:val="clear" w:color="auto" w:fill="FFFFFF"/>
        </w:rPr>
        <w:t xml:space="preserve">Caso mais notável que temos na américa do sul é a do Uruguai, em que, mais uma vez, de forma vanguardista aprovou lei que instituiu o testamento vital em seu ordenamento jurídico. A Lei possui </w:t>
      </w:r>
      <w:r w:rsidRPr="00D75755">
        <w:rPr>
          <w:rFonts w:ascii="Times New Roman" w:hAnsi="Times New Roman"/>
        </w:rPr>
        <w:t xml:space="preserve"> onze artigos, estabelecendo o primeiro deles que toda pessoa maior de idade e psiquicamente apta, de forma voluntária, consciente e livre, pode expressar antecipadamente sua vontade no sentido de opor-se à futura aplicação de tratamentos e procedimentos médicos que prolonguem sua vida em detrimento da qualidade da mesma, se </w:t>
      </w:r>
      <w:proofErr w:type="spellStart"/>
      <w:r w:rsidRPr="00D75755">
        <w:rPr>
          <w:rFonts w:ascii="Times New Roman" w:hAnsi="Times New Roman"/>
        </w:rPr>
        <w:t>se</w:t>
      </w:r>
      <w:proofErr w:type="spellEnd"/>
      <w:r w:rsidRPr="00D75755">
        <w:rPr>
          <w:rFonts w:ascii="Times New Roman" w:hAnsi="Times New Roman"/>
        </w:rPr>
        <w:t xml:space="preserve"> encontrar enferma de uma patologia terminal, incurável e irreversível. Isso permite que a pessoa possa antecipadamente declarar que recusa terapias médicas que apenas prolongariam sua existência, em detrimento da sua qualidade de vida.</w:t>
      </w:r>
    </w:p>
    <w:p w:rsidR="00A445C6" w:rsidRPr="00D75755" w:rsidRDefault="00A445C6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367FEC" w:rsidRPr="00D75755" w:rsidRDefault="00367FEC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367FEC" w:rsidRPr="00D75755" w:rsidRDefault="006A0B10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>3. Requisitos</w:t>
      </w:r>
    </w:p>
    <w:p w:rsidR="00367FEC" w:rsidRPr="00D75755" w:rsidRDefault="00367FEC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 xml:space="preserve"> </w:t>
      </w:r>
    </w:p>
    <w:p w:rsidR="00C40E8E" w:rsidRPr="00D75755" w:rsidRDefault="006A0B10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>Poderíamos fal</w:t>
      </w:r>
      <w:r w:rsidR="00C40E8E" w:rsidRPr="00D75755">
        <w:rPr>
          <w:rFonts w:ascii="Times New Roman" w:hAnsi="Times New Roman"/>
        </w:rPr>
        <w:t xml:space="preserve">ar em requisitos se tivéssemos  previsão legal deste instituto no ordenamento pátrio, mas não é o caso. Entretanto sempre que se discute o testamento vital pressupõe-se algumas situações. </w:t>
      </w:r>
    </w:p>
    <w:p w:rsidR="00C40E8E" w:rsidRPr="00D75755" w:rsidRDefault="00C40E8E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C40E8E" w:rsidRPr="00D75755" w:rsidRDefault="00C40E8E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>Os requisitos exigidos, assim como em qualquer negócio jurídic</w:t>
      </w:r>
      <w:r w:rsidR="00A445C6" w:rsidRPr="00D75755">
        <w:rPr>
          <w:rFonts w:ascii="Times New Roman" w:hAnsi="Times New Roman"/>
        </w:rPr>
        <w:t>o, podem ser de validade e de nu</w:t>
      </w:r>
      <w:r w:rsidRPr="00D75755">
        <w:rPr>
          <w:rFonts w:ascii="Times New Roman" w:hAnsi="Times New Roman"/>
        </w:rPr>
        <w:t xml:space="preserve">lidade. </w:t>
      </w:r>
      <w:r w:rsidR="00367FEC" w:rsidRPr="00D75755">
        <w:rPr>
          <w:rFonts w:ascii="Times New Roman" w:hAnsi="Times New Roman"/>
        </w:rPr>
        <w:t xml:space="preserve">Para evitar o risco de ser proclamada a invalidade do testamento vital, pode-se entender que, no mínimo, o documento deve cumprir os requisitos de validade da mais "informal" das modalidades ordinárias de testamento – o particular –, que exige que o texto seja escrito de próprio punho ou por processo mecânico, sem rasuras, na presença de pelo menos três testemunhas, que também devem subscrevê-lo, conforme determina o art. 1.876 do Código Civil. </w:t>
      </w:r>
    </w:p>
    <w:p w:rsidR="00C40E8E" w:rsidRPr="00D75755" w:rsidRDefault="00C40E8E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C40E8E" w:rsidRPr="00D75755" w:rsidRDefault="00C40E8E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 xml:space="preserve">Neste sentido, </w:t>
      </w:r>
      <w:r w:rsidR="00367FEC" w:rsidRPr="00D75755">
        <w:rPr>
          <w:rFonts w:ascii="Times New Roman" w:hAnsi="Times New Roman"/>
        </w:rPr>
        <w:t>a legislação uruguaia cuidou de estabelecer os pressupostos formais de validade do instrumento, que deve conter a assinatura do interessado e de duas testemunhas, não podendo testemunhar o médico responsável pelo tr</w:t>
      </w:r>
      <w:r w:rsidR="00BB653D">
        <w:rPr>
          <w:rFonts w:ascii="Times New Roman" w:hAnsi="Times New Roman"/>
        </w:rPr>
        <w:t xml:space="preserve">atamento, seus empregados os </w:t>
      </w:r>
      <w:r w:rsidR="00367FEC" w:rsidRPr="00D75755">
        <w:rPr>
          <w:rFonts w:ascii="Times New Roman" w:hAnsi="Times New Roman"/>
        </w:rPr>
        <w:t xml:space="preserve">funcionários da instituição de saúde responsável pelo paciente. Ademais, a feitura do documento por meio de instrumento público é mera faculdade, sendo reconhecida a validade do ato quando realizado por instrumento particular. </w:t>
      </w:r>
    </w:p>
    <w:p w:rsidR="00C40E8E" w:rsidRPr="00D75755" w:rsidRDefault="00C40E8E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367FEC" w:rsidRPr="00D75755" w:rsidRDefault="00C40E8E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>Independente do que expõe a lei Uruguai</w:t>
      </w:r>
      <w:r w:rsidR="00367FEC" w:rsidRPr="00D75755">
        <w:rPr>
          <w:rFonts w:ascii="Times New Roman" w:hAnsi="Times New Roman"/>
        </w:rPr>
        <w:t>, a possível edição de lei específica sobre o assunto no Brasil reclamaria a indicação dos pressupostos formais relativos ao testamento vital.</w:t>
      </w:r>
    </w:p>
    <w:p w:rsidR="00C40E8E" w:rsidRPr="00D75755" w:rsidRDefault="00C40E8E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C40E8E" w:rsidRPr="00D75755" w:rsidRDefault="00367FEC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 xml:space="preserve">No Brasil, para além da questão formal, cabe proclamar que o testamento vital deve ser realizado pelo interessado plenamente capaz (embora os testamentos contemplados pelo Código Civil possam ser realizados pelos maiores de 16 anos, consoante estipula o seu art. 1.860, parágrafo único), sendo também fundamental averiguar se o consentimento é prestado de forma livre e espontânea, isto é, isento de erro, dolo ou coação. </w:t>
      </w:r>
    </w:p>
    <w:p w:rsidR="00C40E8E" w:rsidRPr="00D75755" w:rsidRDefault="00C40E8E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367FEC" w:rsidRPr="00D75755" w:rsidRDefault="00C40E8E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>Analogicamente às</w:t>
      </w:r>
      <w:r w:rsidR="00367FEC" w:rsidRPr="00D75755">
        <w:rPr>
          <w:rFonts w:ascii="Times New Roman" w:hAnsi="Times New Roman"/>
        </w:rPr>
        <w:t xml:space="preserve"> regras civis concernentes aos testamentos, a capacidade do agente deve ser averiguada no momento da realização do ato, uma vez que "a incapacidade superveniente do testador não invalida o testamento, nem o testamento do incapaz se valida com a superveniência da capacidade". Além disso, compete reconhecer a revogabilidade do ato a qualquer tempo, também por analogia ao art. 1.858 do Código Civil, que determina que "o testamento é ato personalíssimo, podendo ser mudado a qualquer tempo".</w:t>
      </w:r>
    </w:p>
    <w:p w:rsidR="00C40E8E" w:rsidRPr="00D75755" w:rsidRDefault="00C40E8E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C40E8E" w:rsidRPr="00D75755" w:rsidRDefault="00367FEC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 xml:space="preserve">Ultrapassada a análise dos requisitos de validade, subsistirá a discussão quanto ao conteúdo do documento. Afinal, não estão assentadas as discussões a respeito da possibilidade de recusa a tratamento médico necessário para preservar a vida do paciente, ou quanto à legitimidade da supressão da vida humana pela eutanásia, nem mesmo nos casos de </w:t>
      </w:r>
      <w:proofErr w:type="spellStart"/>
      <w:r w:rsidRPr="00D75755">
        <w:rPr>
          <w:rFonts w:ascii="Times New Roman" w:hAnsi="Times New Roman"/>
        </w:rPr>
        <w:t>ortotanásia</w:t>
      </w:r>
      <w:proofErr w:type="spellEnd"/>
      <w:r w:rsidRPr="00D75755">
        <w:rPr>
          <w:rFonts w:ascii="Times New Roman" w:hAnsi="Times New Roman"/>
        </w:rPr>
        <w:t xml:space="preserve"> (ou eutanásia passiva), em que ocorre a interrupção de tratamento vital, deixando-se de ministrar a medicação adequada ao paciente em estado terminal e irreversível. </w:t>
      </w:r>
    </w:p>
    <w:p w:rsidR="00C40E8E" w:rsidRPr="00D75755" w:rsidRDefault="00C40E8E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367FEC" w:rsidRPr="00D75755" w:rsidRDefault="00367FEC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 xml:space="preserve">Por isso, ainda que se reconheça a possibilidade da elaboração de um testamento vital, embora sem previsão legal, poderia surgir outro empecilho à validade do ato: como os </w:t>
      </w:r>
      <w:proofErr w:type="spellStart"/>
      <w:r w:rsidRPr="00D75755">
        <w:rPr>
          <w:rFonts w:ascii="Times New Roman" w:hAnsi="Times New Roman"/>
        </w:rPr>
        <w:t>arts</w:t>
      </w:r>
      <w:proofErr w:type="spellEnd"/>
      <w:r w:rsidRPr="00D75755">
        <w:rPr>
          <w:rFonts w:ascii="Times New Roman" w:hAnsi="Times New Roman"/>
        </w:rPr>
        <w:t>. 104, II e 166, II do Código Civil exigem que todo ato jurídico depende da licitude do objeto, poderá ser questionada a subsistência do testamento vital, sobretudo por aqueles que entendem que a vida, bem maior de todos, deve sempre ser preservada a qualquer custo, ainda que contra a vontade do próprio paciente.</w:t>
      </w:r>
    </w:p>
    <w:p w:rsidR="00C40E8E" w:rsidRPr="00D75755" w:rsidRDefault="00C40E8E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367FEC" w:rsidRDefault="00367FEC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>Aqui, no entanto, devemos apontar que admitimos ser direito do paciente optar pela submissão ou não a qualquer tipo de intervenção médica. Além disso, nos manifestamos a favor da morte digna e da possibilidade de haver a interrupção de tratamentos que apenas prolonguem a vida do paciente que já se encontre em estágio irreversível. Portanto, compete estabelecer as balizas do entendimento que adotamos: de plano, proclamamos à partida que a vida, além de não ser disponível, prevalece sobre todos os demais direitos, por ser aquela o alicerce destes. Por isso, em situações em que se coloca em causa o direito à vida, numa eventual colisão com outros bens ou valores, pode-se defender que, em princípio, a primazia recai sobre o primeiro.</w:t>
      </w:r>
    </w:p>
    <w:p w:rsidR="00BB653D" w:rsidRPr="00D75755" w:rsidRDefault="00BB653D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367FEC" w:rsidRPr="00D75755" w:rsidRDefault="00367FEC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 xml:space="preserve">Adentramos a seara da eutanásia, que comporta diferentes perspectivas: na eutanásia ativa direta, provoca-se a morte do paciente, para aliviar-lhe o sofrimento; na eutanásia ativa indireta, não há a intenção de suprimir a vida, mas de aplicar ao paciente medicamentos que, embora abreviem o sofrimento, podem ter por efeito a morte; na eutanásia passiva ou </w:t>
      </w:r>
      <w:proofErr w:type="spellStart"/>
      <w:r w:rsidRPr="00D75755">
        <w:rPr>
          <w:rFonts w:ascii="Times New Roman" w:hAnsi="Times New Roman"/>
        </w:rPr>
        <w:t>ortotanásia</w:t>
      </w:r>
      <w:proofErr w:type="spellEnd"/>
      <w:r w:rsidRPr="00D75755">
        <w:rPr>
          <w:rFonts w:ascii="Times New Roman" w:hAnsi="Times New Roman"/>
        </w:rPr>
        <w:t>, simplesmente se deixa de aplicar ao paciente a medicação adequada, havendo a interrupção de tratamento vital, o que nos parece solução perfeitamente admissível.</w:t>
      </w:r>
    </w:p>
    <w:p w:rsidR="00C40E8E" w:rsidRPr="00D75755" w:rsidRDefault="00C40E8E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367FEC" w:rsidRPr="00D75755" w:rsidRDefault="00367FEC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 xml:space="preserve">Reforçando este último entendimento, encontra-se no capítulo I do novo Código de Ética Médica, que prevê os seus princípios fundamentais, o item XXII, nos seguintes termos: "nas situações clínicas irreversíveis e terminais, o médico evitará a realização de procedimentos diagnósticos e terapêuticos desnecessários e propiciará aos pacientes sob sua atenção todos os cuidados paliativos apropriados". Assim, desde que se comprove o estágio terminal e irreversível do paciente, a interrupção do tratamento que o mantém vivo não pode configurar ato ilícito, por não haver sentido em prolongar a vida de uma pessoa nestas condições, impingindo-lhe um dever de viver, quaisquer que sejam as condições. O novo Código de Ética Médica, nesse particular, se afastou da </w:t>
      </w:r>
      <w:proofErr w:type="spellStart"/>
      <w:r w:rsidRPr="00D75755">
        <w:rPr>
          <w:rFonts w:ascii="Times New Roman" w:hAnsi="Times New Roman"/>
        </w:rPr>
        <w:t>distanásia</w:t>
      </w:r>
      <w:proofErr w:type="spellEnd"/>
      <w:r w:rsidRPr="00D75755">
        <w:rPr>
          <w:rFonts w:ascii="Times New Roman" w:hAnsi="Times New Roman"/>
        </w:rPr>
        <w:t>, que representa o ato tendente ao prolongamento artificial da vida, já que não deve o médico empreender condutas inúteis ou obstinadas, que apenas retardariam a morte de uma pessoa.</w:t>
      </w:r>
    </w:p>
    <w:p w:rsidR="00C40E8E" w:rsidRPr="00D75755" w:rsidRDefault="00C40E8E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367FEC" w:rsidRPr="00D75755" w:rsidRDefault="00C40E8E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 xml:space="preserve">Desta forma, pode-se afirmar que </w:t>
      </w:r>
      <w:r w:rsidR="00367FEC" w:rsidRPr="00D75755">
        <w:rPr>
          <w:rFonts w:ascii="Times New Roman" w:hAnsi="Times New Roman"/>
        </w:rPr>
        <w:t>a vida humana não pode ser analisada à margem da discussão sobre a dignidade do indivíduo, muito embora ainda sejam necessárias profundas e urgentes reformas na legislação penal brasileira, com o objetivo de determinar quais condutas seriam permitidas ou vedadas nessa área. Se a vida, por um lado, não é um bem jurídico disponível, não cabe, por outro lado, impor às pessoas um dever de viver a todo custo, o que significa, assim, que morrer dignamente nada mais é do que uma decorrência lógica do princípio da dignidade da pessoa humana.</w:t>
      </w:r>
    </w:p>
    <w:p w:rsidR="00C40E8E" w:rsidRPr="00D75755" w:rsidRDefault="00C40E8E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367FEC" w:rsidRPr="00D75755" w:rsidRDefault="00367FEC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>Diante das bases expostas, resta concluir que o testamento vital não somente deve encontrar espaço no ordenamento brasileiro, como urge reconhecer sua validade por meio de lei, o que consagra o direito à autodeterminação da pessoa quanto aos meios de tratamento médico a que pretenda ou não se submeter.</w:t>
      </w:r>
    </w:p>
    <w:p w:rsidR="00EF14DD" w:rsidRPr="00D75755" w:rsidRDefault="00EF14DD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5C2DA8" w:rsidRPr="00D75755" w:rsidRDefault="005C2DA8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5C2DA8" w:rsidRPr="00D75755" w:rsidRDefault="005C2DA8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>4. Testamento Vital no Brasil</w:t>
      </w:r>
    </w:p>
    <w:p w:rsidR="005C2DA8" w:rsidRPr="00D75755" w:rsidRDefault="005C2DA8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5C2DA8" w:rsidRPr="00D75755" w:rsidRDefault="005C2DA8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 xml:space="preserve">No Brasil, como dito anteriormente, não temos legislação específica sobre o testamento vital, entretanto a Constituição Federal apresenta princípios que podem ser aplicados quando se fala da do testamento vital. </w:t>
      </w:r>
    </w:p>
    <w:p w:rsidR="005C2DA8" w:rsidRPr="00D75755" w:rsidRDefault="005C2DA8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5C2DA8" w:rsidRPr="00D75755" w:rsidRDefault="005C2DA8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 xml:space="preserve">Como por exemplo o princípio da Dignidade da Pessoa </w:t>
      </w:r>
      <w:r w:rsidR="00A445C6" w:rsidRPr="00D75755">
        <w:rPr>
          <w:rFonts w:ascii="Times New Roman" w:hAnsi="Times New Roman"/>
        </w:rPr>
        <w:t>Humana (art. 1, III, Constituiçã</w:t>
      </w:r>
      <w:r w:rsidRPr="00D75755">
        <w:rPr>
          <w:rFonts w:ascii="Times New Roman" w:hAnsi="Times New Roman"/>
        </w:rPr>
        <w:t xml:space="preserve">o da Republica Federativa do Brasil), da Autonomia Privada (princípio implícito no art. 5o) e a proibição constitucional de tratamento desumano (art. 5o, III).  O que Significa dizer que a Lei Maior do Brasil reconhece o direito à vida desde que esta seja digna, além de reconhecer a autonomia do ser humano. </w:t>
      </w:r>
    </w:p>
    <w:p w:rsidR="00A445C6" w:rsidRPr="00D75755" w:rsidRDefault="00A445C6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5C2DA8" w:rsidRPr="00D75755" w:rsidRDefault="005C2DA8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>Desta forma, obrigar um indivíduo a se submeter a um tratamento que ele não deseja quando este não terá função de lhe devolver uma vida plena é degradante, contrariando, desta forma o princípios constitucionais apontados.</w:t>
      </w:r>
    </w:p>
    <w:p w:rsidR="005C2DA8" w:rsidRPr="00D75755" w:rsidRDefault="005C2DA8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5C2DA8" w:rsidRPr="00D75755" w:rsidRDefault="005C2DA8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 xml:space="preserve">Outrossim, se faz necessário conceituar o que é paciente terminal, que é todo aquele cuja doença é irreversível, ou seja, com ou sem tratamento o paciente chegará ao óbito.  Tal definição é deveras importante pois a prática da eutanásia, em que se pratica atos para abreviar a vida, é vedada no Brasil.  Ou seja, quando se fala disposição sobre interrupção ou suspensão de tratamento, está falando da prática de </w:t>
      </w:r>
      <w:proofErr w:type="spellStart"/>
      <w:r w:rsidRPr="00D75755">
        <w:rPr>
          <w:rFonts w:ascii="Times New Roman" w:hAnsi="Times New Roman"/>
        </w:rPr>
        <w:t>ortotanásia</w:t>
      </w:r>
      <w:proofErr w:type="spellEnd"/>
      <w:r w:rsidRPr="00D75755">
        <w:rPr>
          <w:rFonts w:ascii="Times New Roman" w:hAnsi="Times New Roman"/>
        </w:rPr>
        <w:t>, reconhecida como lícita pelo Conselho Federal de Medicina no artigo 41 do Código de Ética Médica além de já reconhecido judicialmente pela sentença do processo judicial de número 2007.34.00.014.809-3.</w:t>
      </w:r>
    </w:p>
    <w:p w:rsidR="005C2DA8" w:rsidRPr="00D75755" w:rsidRDefault="005C2DA8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5C2DA8" w:rsidRPr="00D75755" w:rsidRDefault="005C2DA8" w:rsidP="00D75755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75755">
        <w:rPr>
          <w:rFonts w:ascii="Times New Roman" w:hAnsi="Times New Roman"/>
        </w:rPr>
        <w:t>Em 30.08.2012</w:t>
      </w:r>
      <w:r w:rsidR="00A445C6" w:rsidRPr="00D75755">
        <w:rPr>
          <w:rFonts w:ascii="Times New Roman" w:hAnsi="Times New Roman"/>
        </w:rPr>
        <w:t>,</w:t>
      </w:r>
      <w:r w:rsidRPr="00D75755">
        <w:rPr>
          <w:rFonts w:ascii="Times New Roman" w:hAnsi="Times New Roman"/>
        </w:rPr>
        <w:t xml:space="preserve"> Conselho Federal de Medicina aprovou a resolução n. 1995/12 que permite ao paciente registrar seu testamento vital na ficha médica ou no prontuário. Esta resolução </w:t>
      </w:r>
      <w:r w:rsidR="00A445C6" w:rsidRPr="00D75755">
        <w:rPr>
          <w:rFonts w:ascii="Times New Roman" w:hAnsi="Times New Roman"/>
        </w:rPr>
        <w:t>é de grande significado no ordenamento pátrio</w:t>
      </w:r>
      <w:r w:rsidRPr="00D75755">
        <w:rPr>
          <w:rFonts w:ascii="Times New Roman" w:hAnsi="Times New Roman"/>
        </w:rPr>
        <w:t xml:space="preserve">, </w:t>
      </w:r>
      <w:r w:rsidR="00A445C6" w:rsidRPr="00D75755">
        <w:rPr>
          <w:rFonts w:ascii="Times New Roman" w:hAnsi="Times New Roman"/>
        </w:rPr>
        <w:t xml:space="preserve">isto </w:t>
      </w:r>
      <w:r w:rsidRPr="00D75755">
        <w:rPr>
          <w:rFonts w:ascii="Times New Roman" w:hAnsi="Times New Roman"/>
        </w:rPr>
        <w:t xml:space="preserve">pois garante </w:t>
      </w:r>
      <w:r w:rsidR="00A445C6" w:rsidRPr="00D75755">
        <w:rPr>
          <w:rFonts w:ascii="Times New Roman" w:hAnsi="Times New Roman"/>
        </w:rPr>
        <w:t xml:space="preserve">que o </w:t>
      </w:r>
      <w:r w:rsidRPr="00D75755">
        <w:rPr>
          <w:rFonts w:ascii="Times New Roman" w:hAnsi="Times New Roman"/>
        </w:rPr>
        <w:t xml:space="preserve">médico </w:t>
      </w:r>
      <w:r w:rsidR="00A445C6" w:rsidRPr="00D75755">
        <w:rPr>
          <w:rFonts w:ascii="Times New Roman" w:hAnsi="Times New Roman"/>
        </w:rPr>
        <w:t>deve se ater à vontade do paciente. Entretanto</w:t>
      </w:r>
      <w:r w:rsidRPr="00D75755">
        <w:rPr>
          <w:rFonts w:ascii="Times New Roman" w:hAnsi="Times New Roman"/>
        </w:rPr>
        <w:t>, é necessária a edição de uma lei específica para esclarecer o procedimento de registro em cartório, a capacidade do outorgante, a existência ou não de prazo de validade e, principalmente, a criação de um Registro Nacional de Testamento Vital.</w:t>
      </w:r>
    </w:p>
    <w:p w:rsidR="00A445C6" w:rsidRDefault="00A445C6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BB653D" w:rsidRDefault="00BB653D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BB653D" w:rsidRDefault="00BB653D" w:rsidP="00D12584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Conclusão</w:t>
      </w:r>
    </w:p>
    <w:p w:rsidR="00BB653D" w:rsidRDefault="00BB653D" w:rsidP="00D12584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D12584" w:rsidRDefault="00BB653D" w:rsidP="00D12584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Desta forma, tendo em vista que a Carta Magna pátria dispõe expressamente os princípios a serem observados e seguidos, como o da </w:t>
      </w:r>
      <w:r w:rsidRPr="00D75755">
        <w:rPr>
          <w:rFonts w:ascii="Times New Roman" w:hAnsi="Times New Roman"/>
        </w:rPr>
        <w:t>Dignidade da Pessoa Humana da Autonomia Privada e a proibição constitucional de tratamento desumano</w:t>
      </w:r>
      <w:r>
        <w:rPr>
          <w:rFonts w:ascii="Times New Roman" w:hAnsi="Times New Roman"/>
        </w:rPr>
        <w:t>, além do previsto no Código de ética médico, de que não motivo de submeter qualquer paciente à tratamentos que não irão curar ou ainda melhorar o estado de saúde</w:t>
      </w:r>
      <w:r w:rsidR="00D12584">
        <w:rPr>
          <w:rFonts w:ascii="Times New Roman" w:hAnsi="Times New Roman"/>
        </w:rPr>
        <w:t xml:space="preserve">, e que ao fazê-lo seria submeter o paciente à situação degradante, situação esta vedada tanto pela Carta magna como pela código de ética. </w:t>
      </w:r>
    </w:p>
    <w:p w:rsidR="00D12584" w:rsidRDefault="00D12584" w:rsidP="00D12584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BB653D" w:rsidRDefault="00D12584" w:rsidP="00D12584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Tendo em vista que o tratamento não poderá melhorar o estado do paciente, não há porque não aplicar o testamento vital se este respeitar os requisitos formais e subjetivos que a legislação pátria exige.</w:t>
      </w:r>
    </w:p>
    <w:p w:rsidR="00BB653D" w:rsidRDefault="00BB653D" w:rsidP="00BB653D">
      <w:pPr>
        <w:spacing w:line="360" w:lineRule="auto"/>
        <w:rPr>
          <w:rFonts w:ascii="Times New Roman" w:hAnsi="Times New Roman"/>
        </w:rPr>
      </w:pPr>
    </w:p>
    <w:p w:rsidR="00BB653D" w:rsidRDefault="00BB653D" w:rsidP="00BB653D">
      <w:pPr>
        <w:spacing w:line="360" w:lineRule="auto"/>
        <w:rPr>
          <w:rFonts w:ascii="Times New Roman" w:hAnsi="Times New Roman"/>
        </w:rPr>
      </w:pPr>
    </w:p>
    <w:p w:rsidR="00BB653D" w:rsidRPr="00D75755" w:rsidRDefault="00BB653D" w:rsidP="00BB653D">
      <w:pPr>
        <w:spacing w:line="360" w:lineRule="auto"/>
        <w:rPr>
          <w:rFonts w:ascii="Times New Roman" w:hAnsi="Times New Roman"/>
        </w:rPr>
        <w:sectPr w:rsidR="00BB653D" w:rsidRPr="00D75755" w:rsidSect="00E27B12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:rsidR="00A445C6" w:rsidRPr="00D75755" w:rsidRDefault="00A445C6" w:rsidP="00D7575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75755">
        <w:rPr>
          <w:rFonts w:ascii="Times New Roman" w:hAnsi="Times New Roman"/>
          <w:b/>
          <w:sz w:val="28"/>
          <w:szCs w:val="28"/>
        </w:rPr>
        <w:t>Biografia</w:t>
      </w:r>
    </w:p>
    <w:p w:rsidR="00A445C6" w:rsidRPr="00D75755" w:rsidRDefault="00A445C6" w:rsidP="00D7575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45C6" w:rsidRPr="00D75755" w:rsidRDefault="00A445C6" w:rsidP="00D7575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75755">
        <w:rPr>
          <w:rFonts w:ascii="Times New Roman" w:hAnsi="Times New Roman"/>
          <w:b/>
          <w:sz w:val="28"/>
          <w:szCs w:val="28"/>
        </w:rPr>
        <w:t>Biografia Digital</w:t>
      </w:r>
    </w:p>
    <w:p w:rsidR="00A445C6" w:rsidRPr="00D75755" w:rsidRDefault="00A445C6" w:rsidP="00D75755">
      <w:pPr>
        <w:spacing w:line="360" w:lineRule="auto"/>
        <w:jc w:val="both"/>
        <w:rPr>
          <w:rFonts w:ascii="Times New Roman" w:hAnsi="Times New Roman"/>
        </w:rPr>
      </w:pPr>
    </w:p>
    <w:p w:rsidR="00A445C6" w:rsidRPr="00D75755" w:rsidRDefault="00A445C6" w:rsidP="00D75755">
      <w:pPr>
        <w:spacing w:line="360" w:lineRule="auto"/>
        <w:jc w:val="both"/>
        <w:rPr>
          <w:rFonts w:ascii="Times New Roman" w:hAnsi="Times New Roman"/>
        </w:rPr>
      </w:pPr>
      <w:hyperlink r:id="rId9" w:history="1">
        <w:r w:rsidRPr="00D75755">
          <w:rPr>
            <w:rStyle w:val="Hyperlink"/>
            <w:rFonts w:ascii="Times New Roman" w:hAnsi="Times New Roman"/>
            <w:color w:val="auto"/>
          </w:rPr>
          <w:t>http://www.portal.cfm.org.br/index.php?option=com_content&amp;view=article&amp;id=23585:testamento-vital&amp;catid=46</w:t>
        </w:r>
      </w:hyperlink>
    </w:p>
    <w:p w:rsidR="00A445C6" w:rsidRPr="00D75755" w:rsidRDefault="00A445C6" w:rsidP="00D75755">
      <w:pPr>
        <w:spacing w:line="360" w:lineRule="auto"/>
        <w:jc w:val="both"/>
        <w:rPr>
          <w:rFonts w:ascii="Times New Roman" w:hAnsi="Times New Roman"/>
        </w:rPr>
      </w:pPr>
    </w:p>
    <w:p w:rsidR="00A445C6" w:rsidRPr="00D75755" w:rsidRDefault="00A445C6" w:rsidP="00D75755">
      <w:pPr>
        <w:spacing w:line="360" w:lineRule="auto"/>
        <w:jc w:val="both"/>
        <w:rPr>
          <w:rFonts w:ascii="Times New Roman" w:hAnsi="Times New Roman"/>
        </w:rPr>
      </w:pPr>
      <w:hyperlink r:id="rId10" w:history="1">
        <w:r w:rsidRPr="00D75755">
          <w:rPr>
            <w:rStyle w:val="Hyperlink"/>
            <w:rFonts w:ascii="Times New Roman" w:hAnsi="Times New Roman"/>
            <w:color w:val="auto"/>
          </w:rPr>
          <w:t>http://www.testamentovital.com.br/legislacao.php</w:t>
        </w:r>
      </w:hyperlink>
    </w:p>
    <w:p w:rsidR="00A445C6" w:rsidRPr="00D75755" w:rsidRDefault="00A445C6" w:rsidP="00D75755">
      <w:pPr>
        <w:spacing w:line="360" w:lineRule="auto"/>
        <w:jc w:val="both"/>
        <w:rPr>
          <w:rFonts w:ascii="Times New Roman" w:hAnsi="Times New Roman"/>
        </w:rPr>
      </w:pPr>
    </w:p>
    <w:p w:rsidR="00A445C6" w:rsidRPr="00D75755" w:rsidRDefault="00A445C6" w:rsidP="00D75755">
      <w:pPr>
        <w:spacing w:line="360" w:lineRule="auto"/>
        <w:jc w:val="both"/>
        <w:rPr>
          <w:rFonts w:ascii="Times New Roman" w:hAnsi="Times New Roman"/>
        </w:rPr>
      </w:pPr>
      <w:hyperlink r:id="rId11" w:history="1">
        <w:r w:rsidRPr="00D75755">
          <w:rPr>
            <w:rStyle w:val="Hyperlink"/>
            <w:rFonts w:ascii="Times New Roman" w:hAnsi="Times New Roman"/>
            <w:color w:val="auto"/>
          </w:rPr>
          <w:t>http://pt.wikipedia.org/wiki/Testamento_vital</w:t>
        </w:r>
      </w:hyperlink>
    </w:p>
    <w:p w:rsidR="00A445C6" w:rsidRPr="00D75755" w:rsidRDefault="00A445C6" w:rsidP="00D75755">
      <w:pPr>
        <w:spacing w:line="360" w:lineRule="auto"/>
        <w:jc w:val="both"/>
        <w:rPr>
          <w:rFonts w:ascii="Times New Roman" w:hAnsi="Times New Roman"/>
        </w:rPr>
      </w:pPr>
    </w:p>
    <w:p w:rsidR="00A445C6" w:rsidRPr="00D75755" w:rsidRDefault="00A445C6" w:rsidP="00D75755">
      <w:pPr>
        <w:spacing w:line="360" w:lineRule="auto"/>
        <w:jc w:val="both"/>
        <w:rPr>
          <w:rFonts w:ascii="Times New Roman" w:hAnsi="Times New Roman"/>
        </w:rPr>
      </w:pPr>
      <w:hyperlink r:id="rId12" w:history="1">
        <w:r w:rsidRPr="00D75755">
          <w:rPr>
            <w:rStyle w:val="Hyperlink"/>
            <w:rFonts w:ascii="Times New Roman" w:hAnsi="Times New Roman"/>
            <w:color w:val="auto"/>
          </w:rPr>
          <w:t>http://jus.com.br/revista/texto/15066/testamento-vital-e-o-ordenamento-brasileiro</w:t>
        </w:r>
      </w:hyperlink>
    </w:p>
    <w:p w:rsidR="00A445C6" w:rsidRPr="00D75755" w:rsidRDefault="00A445C6" w:rsidP="00D75755">
      <w:pPr>
        <w:spacing w:line="360" w:lineRule="auto"/>
        <w:jc w:val="both"/>
        <w:rPr>
          <w:rFonts w:ascii="Times New Roman" w:hAnsi="Times New Roman"/>
        </w:rPr>
      </w:pPr>
    </w:p>
    <w:p w:rsidR="00A445C6" w:rsidRPr="00D75755" w:rsidRDefault="00D75755" w:rsidP="00D75755">
      <w:pPr>
        <w:spacing w:line="360" w:lineRule="auto"/>
        <w:jc w:val="both"/>
        <w:rPr>
          <w:rFonts w:ascii="Times New Roman" w:hAnsi="Times New Roman"/>
        </w:rPr>
      </w:pPr>
      <w:hyperlink r:id="rId13" w:history="1">
        <w:r w:rsidRPr="00D75755">
          <w:rPr>
            <w:rStyle w:val="Hyperlink"/>
            <w:rFonts w:ascii="Times New Roman" w:hAnsi="Times New Roman"/>
            <w:color w:val="auto"/>
          </w:rPr>
          <w:t>http://www.planalto.gov.br/ccivil_03/constituicao/constituicaocompilado.htm</w:t>
        </w:r>
      </w:hyperlink>
    </w:p>
    <w:p w:rsidR="00D75755" w:rsidRPr="00D75755" w:rsidRDefault="00D75755" w:rsidP="00D75755">
      <w:pPr>
        <w:spacing w:line="360" w:lineRule="auto"/>
        <w:jc w:val="both"/>
        <w:rPr>
          <w:rFonts w:ascii="Times New Roman" w:hAnsi="Times New Roman"/>
        </w:rPr>
      </w:pPr>
    </w:p>
    <w:p w:rsidR="00D75755" w:rsidRPr="00D75755" w:rsidRDefault="00D75755" w:rsidP="00D75755">
      <w:pPr>
        <w:spacing w:line="360" w:lineRule="auto"/>
        <w:jc w:val="both"/>
        <w:rPr>
          <w:rFonts w:ascii="Times New Roman" w:hAnsi="Times New Roman"/>
        </w:rPr>
      </w:pPr>
      <w:hyperlink r:id="rId14" w:history="1">
        <w:r w:rsidRPr="00D75755">
          <w:rPr>
            <w:rStyle w:val="Hyperlink"/>
            <w:rFonts w:ascii="Times New Roman" w:hAnsi="Times New Roman"/>
            <w:color w:val="auto"/>
          </w:rPr>
          <w:t>http://www.planalto.gov.br/ccivil_03/Leis/L3268.htm</w:t>
        </w:r>
      </w:hyperlink>
    </w:p>
    <w:p w:rsidR="00D75755" w:rsidRPr="00D75755" w:rsidRDefault="00D75755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D75755" w:rsidRPr="00D75755" w:rsidRDefault="00D75755" w:rsidP="00D75755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D75755" w:rsidRPr="00D75755" w:rsidRDefault="00D75755" w:rsidP="00D7575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75755">
        <w:rPr>
          <w:rFonts w:ascii="Times New Roman" w:hAnsi="Times New Roman"/>
          <w:b/>
          <w:sz w:val="28"/>
          <w:szCs w:val="28"/>
        </w:rPr>
        <w:t>Bibliografia</w:t>
      </w:r>
    </w:p>
    <w:p w:rsidR="00D75755" w:rsidRPr="00D75755" w:rsidRDefault="00D75755" w:rsidP="00D75755">
      <w:pPr>
        <w:spacing w:line="360" w:lineRule="auto"/>
        <w:jc w:val="both"/>
        <w:rPr>
          <w:rFonts w:ascii="Times New Roman" w:hAnsi="Times New Roman"/>
        </w:rPr>
      </w:pPr>
    </w:p>
    <w:p w:rsidR="00D75755" w:rsidRPr="00D75755" w:rsidRDefault="00D75755" w:rsidP="00D75755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D75755">
        <w:rPr>
          <w:rFonts w:ascii="Times New Roman" w:hAnsi="Times New Roman"/>
        </w:rPr>
        <w:t>Dadalto</w:t>
      </w:r>
      <w:proofErr w:type="spellEnd"/>
      <w:r w:rsidRPr="00D75755">
        <w:rPr>
          <w:rFonts w:ascii="Times New Roman" w:hAnsi="Times New Roman"/>
        </w:rPr>
        <w:t>, Luciana. Testamento Vital. São Paulo: Lumes Juris, 2010.</w:t>
      </w:r>
    </w:p>
    <w:p w:rsidR="00D75755" w:rsidRPr="00D75755" w:rsidRDefault="00D75755" w:rsidP="00D75755">
      <w:pPr>
        <w:spacing w:line="360" w:lineRule="auto"/>
        <w:jc w:val="both"/>
        <w:rPr>
          <w:rFonts w:ascii="Times New Roman" w:hAnsi="Times New Roman"/>
        </w:rPr>
      </w:pPr>
    </w:p>
    <w:p w:rsidR="00D75755" w:rsidRPr="00D75755" w:rsidRDefault="00D75755" w:rsidP="00D75755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D75755">
        <w:rPr>
          <w:rFonts w:ascii="Times New Roman" w:hAnsi="Times New Roman"/>
        </w:rPr>
        <w:t>Lippmann</w:t>
      </w:r>
      <w:proofErr w:type="spellEnd"/>
      <w:r w:rsidRPr="00D75755">
        <w:rPr>
          <w:rFonts w:ascii="Times New Roman" w:hAnsi="Times New Roman"/>
        </w:rPr>
        <w:t>, Ernesto. Testamento Vital – o direito a dignidade. São Paulo: Matrix, 2013.</w:t>
      </w:r>
    </w:p>
    <w:p w:rsidR="00D75755" w:rsidRPr="00D75755" w:rsidRDefault="00D75755" w:rsidP="00D75755">
      <w:pPr>
        <w:spacing w:line="360" w:lineRule="auto"/>
        <w:jc w:val="both"/>
        <w:rPr>
          <w:rFonts w:ascii="Times New Roman" w:hAnsi="Times New Roman"/>
        </w:rPr>
      </w:pPr>
    </w:p>
    <w:p w:rsidR="00D75755" w:rsidRPr="00D75755" w:rsidRDefault="00D75755" w:rsidP="00D75755">
      <w:pPr>
        <w:spacing w:line="360" w:lineRule="auto"/>
        <w:jc w:val="both"/>
        <w:rPr>
          <w:rFonts w:ascii="Times New Roman" w:hAnsi="Times New Roman"/>
        </w:rPr>
      </w:pPr>
    </w:p>
    <w:sectPr w:rsidR="00D75755" w:rsidRPr="00D75755" w:rsidSect="00E27B1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21528"/>
    <w:multiLevelType w:val="multilevel"/>
    <w:tmpl w:val="29621416"/>
    <w:lvl w:ilvl="0">
      <w:start w:val="1"/>
      <w:numFmt w:val="decimal"/>
      <w:pStyle w:val="ttulopes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peso2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pStyle w:val="ttulopeso4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0815168"/>
    <w:multiLevelType w:val="hybridMultilevel"/>
    <w:tmpl w:val="C8D2D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DD"/>
    <w:rsid w:val="00367FEC"/>
    <w:rsid w:val="003876A0"/>
    <w:rsid w:val="005C2DA8"/>
    <w:rsid w:val="006A0B10"/>
    <w:rsid w:val="008F76E1"/>
    <w:rsid w:val="00A445C6"/>
    <w:rsid w:val="00BB653D"/>
    <w:rsid w:val="00C40E8E"/>
    <w:rsid w:val="00CA3737"/>
    <w:rsid w:val="00D12584"/>
    <w:rsid w:val="00D75755"/>
    <w:rsid w:val="00E27B12"/>
    <w:rsid w:val="00E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E6F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peso1">
    <w:name w:val="título peso 1"/>
    <w:basedOn w:val="Normal"/>
    <w:qFormat/>
    <w:rsid w:val="008F76E1"/>
    <w:pPr>
      <w:numPr>
        <w:numId w:val="3"/>
      </w:numPr>
      <w:contextualSpacing/>
    </w:pPr>
    <w:rPr>
      <w:rFonts w:ascii="Arial" w:hAnsi="Arial" w:cs="Arial"/>
      <w:b/>
    </w:rPr>
  </w:style>
  <w:style w:type="paragraph" w:customStyle="1" w:styleId="ttulopeso2">
    <w:name w:val="título peso 2"/>
    <w:basedOn w:val="Normal"/>
    <w:qFormat/>
    <w:rsid w:val="008F76E1"/>
    <w:pPr>
      <w:numPr>
        <w:ilvl w:val="1"/>
        <w:numId w:val="3"/>
      </w:numPr>
      <w:contextualSpacing/>
    </w:pPr>
    <w:rPr>
      <w:rFonts w:ascii="Arial" w:hAnsi="Arial"/>
      <w:b/>
    </w:rPr>
  </w:style>
  <w:style w:type="paragraph" w:customStyle="1" w:styleId="ttulopeso4">
    <w:name w:val="título peso 4"/>
    <w:basedOn w:val="ttulopeso1"/>
    <w:qFormat/>
    <w:rsid w:val="008F76E1"/>
    <w:pPr>
      <w:numPr>
        <w:ilvl w:val="2"/>
      </w:numPr>
    </w:pPr>
  </w:style>
  <w:style w:type="character" w:customStyle="1" w:styleId="apple-converted-space">
    <w:name w:val="apple-converted-space"/>
    <w:basedOn w:val="DefaultParagraphFont"/>
    <w:rsid w:val="00367FEC"/>
  </w:style>
  <w:style w:type="character" w:styleId="Hyperlink">
    <w:name w:val="Hyperlink"/>
    <w:basedOn w:val="DefaultParagraphFont"/>
    <w:uiPriority w:val="99"/>
    <w:unhideWhenUsed/>
    <w:rsid w:val="00367F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65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peso1">
    <w:name w:val="título peso 1"/>
    <w:basedOn w:val="Normal"/>
    <w:qFormat/>
    <w:rsid w:val="008F76E1"/>
    <w:pPr>
      <w:numPr>
        <w:numId w:val="3"/>
      </w:numPr>
      <w:contextualSpacing/>
    </w:pPr>
    <w:rPr>
      <w:rFonts w:ascii="Arial" w:hAnsi="Arial" w:cs="Arial"/>
      <w:b/>
    </w:rPr>
  </w:style>
  <w:style w:type="paragraph" w:customStyle="1" w:styleId="ttulopeso2">
    <w:name w:val="título peso 2"/>
    <w:basedOn w:val="Normal"/>
    <w:qFormat/>
    <w:rsid w:val="008F76E1"/>
    <w:pPr>
      <w:numPr>
        <w:ilvl w:val="1"/>
        <w:numId w:val="3"/>
      </w:numPr>
      <w:contextualSpacing/>
    </w:pPr>
    <w:rPr>
      <w:rFonts w:ascii="Arial" w:hAnsi="Arial"/>
      <w:b/>
    </w:rPr>
  </w:style>
  <w:style w:type="paragraph" w:customStyle="1" w:styleId="ttulopeso4">
    <w:name w:val="título peso 4"/>
    <w:basedOn w:val="ttulopeso1"/>
    <w:qFormat/>
    <w:rsid w:val="008F76E1"/>
    <w:pPr>
      <w:numPr>
        <w:ilvl w:val="2"/>
      </w:numPr>
    </w:pPr>
  </w:style>
  <w:style w:type="character" w:customStyle="1" w:styleId="apple-converted-space">
    <w:name w:val="apple-converted-space"/>
    <w:basedOn w:val="DefaultParagraphFont"/>
    <w:rsid w:val="00367FEC"/>
  </w:style>
  <w:style w:type="character" w:styleId="Hyperlink">
    <w:name w:val="Hyperlink"/>
    <w:basedOn w:val="DefaultParagraphFont"/>
    <w:uiPriority w:val="99"/>
    <w:unhideWhenUsed/>
    <w:rsid w:val="00367F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6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1045">
          <w:marLeft w:val="0"/>
          <w:marRight w:val="0"/>
          <w:marTop w:val="0"/>
          <w:marBottom w:val="0"/>
          <w:divBdr>
            <w:top w:val="single" w:sz="12" w:space="0" w:color="999999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019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pt.wikipedia.org/wiki/Testamento_vital" TargetMode="External"/><Relationship Id="rId12" Type="http://schemas.openxmlformats.org/officeDocument/2006/relationships/hyperlink" Target="http://jus.com.br/revista/texto/15066/testamento-vital-e-o-ordenamento-brasileiro" TargetMode="External"/><Relationship Id="rId13" Type="http://schemas.openxmlformats.org/officeDocument/2006/relationships/hyperlink" Target="http://www.planalto.gov.br/ccivil_03/constituicao/constituicaocompilado.htm" TargetMode="External"/><Relationship Id="rId14" Type="http://schemas.openxmlformats.org/officeDocument/2006/relationships/hyperlink" Target="http://www.planalto.gov.br/ccivil_03/Leis/L3268.htm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t.wikipedia.org/wiki/Sa%C3%BAde_mental" TargetMode="External"/><Relationship Id="rId7" Type="http://schemas.openxmlformats.org/officeDocument/2006/relationships/hyperlink" Target="http://pt.wikipedia.org/wiki/%C3%89tica_m%C3%A9dica" TargetMode="External"/><Relationship Id="rId8" Type="http://schemas.openxmlformats.org/officeDocument/2006/relationships/hyperlink" Target="http://pt.wikipedia.org/wiki/Consentimento_informado" TargetMode="External"/><Relationship Id="rId9" Type="http://schemas.openxmlformats.org/officeDocument/2006/relationships/hyperlink" Target="http://www.portal.cfm.org.br/index.php?option=com_content&amp;view=article&amp;id=23585:testamento-vital&amp;catid=46" TargetMode="External"/><Relationship Id="rId10" Type="http://schemas.openxmlformats.org/officeDocument/2006/relationships/hyperlink" Target="http://www.testamentovital.com.br/legislacao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9</Pages>
  <Words>1947</Words>
  <Characters>11100</Characters>
  <Application>Microsoft Macintosh Word</Application>
  <DocSecurity>0</DocSecurity>
  <Lines>92</Lines>
  <Paragraphs>26</Paragraphs>
  <ScaleCrop>false</ScaleCrop>
  <Company/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Hannetie Sato</dc:creator>
  <cp:keywords/>
  <dc:description/>
  <cp:lastModifiedBy>Hannetie Sato</cp:lastModifiedBy>
  <cp:revision>1</cp:revision>
  <dcterms:created xsi:type="dcterms:W3CDTF">2013-04-25T13:26:00Z</dcterms:created>
  <dcterms:modified xsi:type="dcterms:W3CDTF">2013-04-29T23:33:00Z</dcterms:modified>
</cp:coreProperties>
</file>