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144C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 clínica do sujeito: por uma clínica reformulada e ampliada. Campos, GWS - São Paulo: Editora Hucitec. 2003</w:t>
      </w: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44C1">
        <w:rPr>
          <w:rFonts w:ascii="Times New Roman" w:hAnsi="Times New Roman" w:cs="Times New Roman"/>
          <w:sz w:val="24"/>
          <w:szCs w:val="24"/>
          <w:lang w:val="pt-BR"/>
        </w:rPr>
        <w:t>De início, o autor de "A clínica do sujeito: por uma clínica reformulada e ampliada" forja elogios de admiração ora a Antonio Gramsci, ora a J-P. Sartre e suas respectivas filosofias. Dando prosseguimento, de acordo com o autor, Basaglia usaria esses dois pensadores para "repensar as políticas e práticas em saúde" (p.53). Logo mais, do ímpeto militante de Gramsci e do radicalismo existencial de Sartre depurado em Basaglia a clínica, como um todo, passa a ser problematizada e "os movimentos que operaram sob inspiração basagliana cuidaram muito mais do protagonismo político do que esclareceram sobre a nova instituição que estavam reinventando" (p.54). Do bojo militante e humanístico nasce a id</w:t>
      </w:r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E144C1">
        <w:rPr>
          <w:rFonts w:ascii="Times New Roman" w:hAnsi="Times New Roman" w:cs="Times New Roman"/>
          <w:sz w:val="24"/>
          <w:szCs w:val="24"/>
          <w:lang w:val="pt-BR"/>
        </w:rPr>
        <w:t>ia de clínica do sujeito.</w:t>
      </w: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44C1">
        <w:rPr>
          <w:rFonts w:ascii="Times New Roman" w:hAnsi="Times New Roman" w:cs="Times New Roman"/>
          <w:sz w:val="24"/>
          <w:szCs w:val="24"/>
          <w:lang w:val="pt-BR"/>
        </w:rPr>
        <w:t>A Clínica do Sujeito desloca a ênfase na doença para voltar-se ao Sujeito concreto - sujeito "social e subjetivamente constituído (...) não somente marcado por uma biografia singular, mas também seu corpo e sua dinâmica corporal" (p.54)</w:t>
      </w: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44C1">
        <w:rPr>
          <w:rFonts w:ascii="Times New Roman" w:hAnsi="Times New Roman" w:cs="Times New Roman"/>
          <w:sz w:val="24"/>
          <w:szCs w:val="24"/>
          <w:lang w:val="pt-BR"/>
        </w:rPr>
        <w:t xml:space="preserve">A crítica à medicina se faz, no texto, não por sua ontologização das enfermidades, </w:t>
      </w:r>
      <w:r w:rsidRPr="00E144C1">
        <w:rPr>
          <w:rFonts w:ascii="Times New Roman" w:hAnsi="Times New Roman" w:cs="Times New Roman"/>
          <w:i/>
          <w:iCs/>
          <w:sz w:val="24"/>
          <w:szCs w:val="24"/>
          <w:lang w:val="pt-BR"/>
        </w:rPr>
        <w:t>afinal do que seria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>m</w:t>
      </w:r>
      <w:r w:rsidRPr="00E144C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a técnica e ciência médica sem tal objeto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E144C1">
        <w:rPr>
          <w:rFonts w:ascii="Times New Roman" w:hAnsi="Times New Roman" w:cs="Times New Roman"/>
          <w:sz w:val="24"/>
          <w:szCs w:val="24"/>
          <w:lang w:val="pt-BR"/>
        </w:rPr>
        <w:t xml:space="preserve"> mas por "tomar as pessoas por suas doenças" numa relação transnominal e metonímica de tomar a parte pelo todo sem levar em consideração a relação causa-efeito de "uma dada enfermidade e o Ser concreto acometido" (p.56), relação semelhante, aliás, com as linguagens figuradas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em </w:t>
      </w:r>
      <w:r w:rsidRPr="00E144C1">
        <w:rPr>
          <w:rFonts w:ascii="Times New Roman" w:hAnsi="Times New Roman" w:cs="Times New Roman"/>
          <w:sz w:val="24"/>
          <w:szCs w:val="24"/>
          <w:lang w:val="pt-BR"/>
        </w:rPr>
        <w:t xml:space="preserve">sinédoque. Daí, termos como "inventar saúde" e "reprodução social do paciente", dentro do âmbito da prática da Clínica do Sujeito, adquirem suma importância por estarem diretamente ligados às perspectivas de cidadania ativa e protagonismo [social]. Campos, ainda nesse ponto, faz uma analogia do tratamento clínico da enfermidade com o conceito de Goffman de 'Instituição Total', denominando-a "Doença Total" onde o enfermo seria re-coberto por sua doença de modo que ela mesmo constituiria a sua "nova identidade" (p.56). Analogia bastante pertinente: assim como as ‘instituições totais’, em Goffman (2001, p.16), tendem ao </w:t>
      </w:r>
      <w:r w:rsidRPr="00E144C1">
        <w:rPr>
          <w:rFonts w:ascii="Times New Roman" w:hAnsi="Times New Roman" w:cs="Times New Roman"/>
          <w:i/>
          <w:iCs/>
          <w:sz w:val="24"/>
          <w:szCs w:val="24"/>
          <w:lang w:val="pt-BR"/>
        </w:rPr>
        <w:t>fechamento</w:t>
      </w:r>
      <w:r w:rsidRPr="00E144C1">
        <w:rPr>
          <w:rFonts w:ascii="Times New Roman" w:hAnsi="Times New Roman" w:cs="Times New Roman"/>
          <w:sz w:val="24"/>
          <w:szCs w:val="24"/>
          <w:lang w:val="pt-BR"/>
        </w:rPr>
        <w:t xml:space="preserve"> pela barreira à relação social com o mundo externo, assim do mesmo modo, a doença funciona com a lógica do impedimento ao enfermo gozar, de maneira tal como era antes da enfermidade, as suas ligações sociais.</w:t>
      </w:r>
      <w:r w:rsidRPr="00E144C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Pr="00E144C1">
        <w:rPr>
          <w:rFonts w:ascii="Times New Roman" w:hAnsi="Times New Roman" w:cs="Times New Roman"/>
          <w:sz w:val="24"/>
          <w:szCs w:val="24"/>
          <w:lang w:val="pt-BR"/>
        </w:rPr>
        <w:t>Por essa incapacidade estrutural de perceber inter-relações fora do escopo sintomatológico, para o autor, "a clínica empobrece-se, (...) perdendo até mesmo [a] capacidade de resolver problemas estritamente clínicos" (p.57).</w:t>
      </w: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44C1">
        <w:rPr>
          <w:rFonts w:ascii="Times New Roman" w:hAnsi="Times New Roman" w:cs="Times New Roman"/>
          <w:sz w:val="24"/>
          <w:szCs w:val="24"/>
          <w:lang w:val="pt-BR"/>
        </w:rPr>
        <w:t>Para Campos, o resultado combinado do esforço em confrontar e inter-relacionar a doença com o enfermo, com o Sujeito, é o que ele chama de ampliação da Clínica, que é o corolário "de uma síntese dialética entre o Sujeito e sua Doença" (p.57). Há um quê de Bleger (1998) e sua 'prática-investigativa' quando o autor arremata: "Os serviços de saúde deveriam operar com plasticidade suficiente para dar conta de semelhante variedade" (p.58), variedade essa que, no campo da Clínica ampliada, ergue-se como portadora de muitas possibilidades de posições no enfrentamento das enfermidades sendo que a incidência de uma posição diferenciada, em doenças semelhantes, seria em função da "história e os recursos subjetivos e materiais de cada Sujeito" (p.58).</w:t>
      </w: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44C1">
        <w:rPr>
          <w:rFonts w:ascii="Times New Roman" w:hAnsi="Times New Roman" w:cs="Times New Roman"/>
          <w:sz w:val="24"/>
          <w:szCs w:val="24"/>
          <w:lang w:val="pt-BR"/>
        </w:rPr>
        <w:t>Sobre a diversidade e variações de semblantes da Clínica, o autor diz que há numerosas práticas, faces e dobras da Clínica com certos 'pontos de contato', ademais, os semblantes clínicos possuem características contíguas. Entretanto, existem "três semblantes principais sobre os quais 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Clínica se apresenta", a saber,</w:t>
      </w:r>
      <w:r w:rsidRPr="00E144C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E144C1">
        <w:rPr>
          <w:rFonts w:ascii="Times New Roman" w:hAnsi="Times New Roman" w:cs="Times New Roman"/>
          <w:sz w:val="24"/>
          <w:szCs w:val="24"/>
          <w:lang w:val="pt-BR"/>
        </w:rPr>
        <w:t>s Clínicas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E144C1">
        <w:rPr>
          <w:rFonts w:ascii="Times New Roman" w:hAnsi="Times New Roman" w:cs="Times New Roman"/>
          <w:sz w:val="24"/>
          <w:szCs w:val="24"/>
          <w:lang w:val="pt-BR"/>
        </w:rPr>
        <w:t xml:space="preserve"> Degradada, Oficial e Ampliada, respectivamente. </w:t>
      </w: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44C1">
        <w:rPr>
          <w:rFonts w:ascii="Times New Roman" w:hAnsi="Times New Roman" w:cs="Times New Roman"/>
          <w:sz w:val="24"/>
          <w:szCs w:val="24"/>
          <w:lang w:val="pt-BR"/>
        </w:rPr>
        <w:t xml:space="preserve">A Clínica degradada se refere a uma clínica podada, impotente, diminuída devido a "limites externos impostos à potência da Clínica clínica" (p.59) e os exemplos citados pelo autor vão desde a intromissão de interesses espúrios aos da clínica por corporações até os de política de saúde inadequada, como é o modelo de Pronto-Atendimento que articula procedimentos de forma padronizada, indiferentes às necessidades dos pacientes e à gravidade dos casos. Para o autor, todas as vezes que a racionalidade Clínica é traspassada e </w:t>
      </w:r>
      <w:r w:rsidRPr="00E144C1">
        <w:rPr>
          <w:rFonts w:ascii="Times New Roman" w:hAnsi="Times New Roman" w:cs="Times New Roman"/>
          <w:i/>
          <w:iCs/>
          <w:sz w:val="24"/>
          <w:szCs w:val="24"/>
          <w:lang w:val="pt-BR"/>
        </w:rPr>
        <w:t>atravessada</w:t>
      </w:r>
      <w:r w:rsidRPr="00E144C1">
        <w:rPr>
          <w:rFonts w:ascii="Times New Roman" w:hAnsi="Times New Roman" w:cs="Times New Roman"/>
          <w:sz w:val="24"/>
          <w:szCs w:val="24"/>
          <w:lang w:val="pt-BR"/>
        </w:rPr>
        <w:t xml:space="preserve"> por racionalidades e interesses outros que não o Sujeito - sejam, inclusive, as razões instrumental e estratégica -, "há degradação de sua potencialidade teórica e perde-se oportunidade de resolver problemas de saúde" (p.60). A Clínica Oficial trabalha com um recorte biologizante, "mecanicista e unilateral", com um "objeto de estudo e trabalho reduzido" (p.61). O esquadrinhamento dos limites ontológicos da ciência médica (Canguilhem, Foucault) que só "se responsabiliza pela enfermidade, nunca pela pessoa do enfermo autorizaria a Clínica Oficial a se desresponsabilizar pela integralidade dos Sujeitos.” (p.61). "Além do mais", acrescenta Campos, a redução desse objeto "autorizaria a multiplicação de especialidades (...) estabelecendo-se uma cadeia de dependência quase impossível de ser integrada em projetos terapêuticos coerentes" (p.62). Já a Clínica do Sujeito (ou ampliada) é a que tenta, de acordo com o autor, superar as barreiras e as fragmentações entre a "biologia, subjetividade e sociabilidade" pretendendo construir alternativas concretas que correlacionem saberes numa práxis voltada não só ao binômio doença-cura, mas, sobretudo, à concretude da pessoa humana, enfim, ao Sujeito Concreto.</w:t>
      </w: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44C1">
        <w:rPr>
          <w:rFonts w:ascii="Times New Roman" w:hAnsi="Times New Roman" w:cs="Times New Roman"/>
          <w:sz w:val="24"/>
          <w:szCs w:val="24"/>
          <w:lang w:val="pt-BR"/>
        </w:rPr>
        <w:t>Referências</w:t>
      </w: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6140" w:rsidRPr="00E144C1" w:rsidRDefault="00FC6140" w:rsidP="00A63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44C1">
        <w:rPr>
          <w:rFonts w:ascii="Times New Roman" w:hAnsi="Times New Roman" w:cs="Times New Roman"/>
          <w:sz w:val="24"/>
          <w:szCs w:val="24"/>
          <w:lang w:val="pt-BR"/>
        </w:rPr>
        <w:t xml:space="preserve">GOFFMAN, Erving. 2001. </w:t>
      </w:r>
      <w:r w:rsidRPr="00E144C1">
        <w:rPr>
          <w:rFonts w:ascii="Times New Roman" w:hAnsi="Times New Roman" w:cs="Times New Roman"/>
          <w:i/>
          <w:iCs/>
          <w:sz w:val="24"/>
          <w:szCs w:val="24"/>
          <w:lang w:val="pt-BR"/>
        </w:rPr>
        <w:t>Manicômios, prisões e conventos</w:t>
      </w:r>
      <w:r w:rsidRPr="00E144C1">
        <w:rPr>
          <w:rFonts w:ascii="Times New Roman" w:hAnsi="Times New Roman" w:cs="Times New Roman"/>
          <w:sz w:val="24"/>
          <w:szCs w:val="24"/>
          <w:lang w:val="pt-BR"/>
        </w:rPr>
        <w:t>. São Paulo: Perspectiva (7ª edição). Trad. Dante Moreira Leite.</w:t>
      </w:r>
    </w:p>
    <w:p w:rsidR="00FC6140" w:rsidRDefault="00FC6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C6140" w:rsidRPr="00E144C1" w:rsidRDefault="00FC6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44C1">
        <w:rPr>
          <w:rFonts w:ascii="Times New Roman" w:hAnsi="Times New Roman" w:cs="Times New Roman"/>
          <w:sz w:val="24"/>
          <w:szCs w:val="24"/>
          <w:lang w:val="pt-BR"/>
        </w:rPr>
        <w:t xml:space="preserve">BLEGER, José. 1998. </w:t>
      </w:r>
      <w:r w:rsidRPr="00E144C1">
        <w:rPr>
          <w:rFonts w:ascii="Times New Roman" w:hAnsi="Times New Roman" w:cs="Times New Roman"/>
          <w:i/>
          <w:iCs/>
          <w:sz w:val="24"/>
          <w:szCs w:val="24"/>
          <w:lang w:val="pt-BR"/>
        </w:rPr>
        <w:t>Temas de Psicologia: entrevista e grupos</w:t>
      </w:r>
      <w:r w:rsidRPr="00E144C1">
        <w:rPr>
          <w:rFonts w:ascii="Times New Roman" w:hAnsi="Times New Roman" w:cs="Times New Roman"/>
          <w:sz w:val="24"/>
          <w:szCs w:val="24"/>
          <w:lang w:val="pt-BR"/>
        </w:rPr>
        <w:t>. São Paulo. Martins Fontes (2ª edição). Trad. Rita Maria M. de Moraes</w:t>
      </w:r>
    </w:p>
    <w:p w:rsidR="00FC6140" w:rsidRDefault="00FC6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Myriad Pro"/>
          <w:sz w:val="20"/>
          <w:szCs w:val="20"/>
          <w:lang w:val="pt-BR"/>
        </w:rPr>
      </w:pPr>
    </w:p>
    <w:sectPr w:rsidR="00FC6140" w:rsidSect="00E43F2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4C1"/>
    <w:rsid w:val="00151AFF"/>
    <w:rsid w:val="001C3422"/>
    <w:rsid w:val="002E7827"/>
    <w:rsid w:val="00312C55"/>
    <w:rsid w:val="0034459F"/>
    <w:rsid w:val="005A6986"/>
    <w:rsid w:val="00A63E8D"/>
    <w:rsid w:val="00E144C1"/>
    <w:rsid w:val="00E43F25"/>
    <w:rsid w:val="00F42F52"/>
    <w:rsid w:val="00FC6140"/>
    <w:rsid w:val="00FE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25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778</TotalTime>
  <Pages>2</Pages>
  <Words>894</Words>
  <Characters>4828</Characters>
  <Application>Microsoft Office Outlook</Application>
  <DocSecurity>0</DocSecurity>
  <Lines>0</Lines>
  <Paragraphs>0</Paragraphs>
  <ScaleCrop>false</ScaleCrop>
  <Company>aecpd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</dc:creator>
  <cp:keywords/>
  <dc:description/>
  <cp:lastModifiedBy>alunociii</cp:lastModifiedBy>
  <cp:revision>9</cp:revision>
  <dcterms:created xsi:type="dcterms:W3CDTF">2013-05-14T09:59:00Z</dcterms:created>
  <dcterms:modified xsi:type="dcterms:W3CDTF">2013-05-14T20:47:00Z</dcterms:modified>
</cp:coreProperties>
</file>