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AF2" w:rsidRDefault="00072AF2" w:rsidP="00072AF2">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PRERROGATIVA DE FORO NO INQUÉRITO POLICIAL</w:t>
      </w:r>
    </w:p>
    <w:p w:rsidR="00072AF2" w:rsidRDefault="00072AF2" w:rsidP="00072AF2">
      <w:pPr>
        <w:spacing w:line="480" w:lineRule="auto"/>
        <w:jc w:val="center"/>
        <w:rPr>
          <w:rFonts w:ascii="Times New Roman" w:hAnsi="Times New Roman" w:cs="Times New Roman"/>
          <w:b/>
          <w:sz w:val="24"/>
          <w:szCs w:val="24"/>
        </w:rPr>
      </w:pPr>
    </w:p>
    <w:p w:rsidR="00072AF2" w:rsidRDefault="653D4264" w:rsidP="00CB358E">
      <w:pPr>
        <w:spacing w:line="240" w:lineRule="auto"/>
        <w:jc w:val="right"/>
        <w:rPr>
          <w:rFonts w:ascii="Times New Roman" w:eastAsia="Times New Roman" w:hAnsi="Times New Roman" w:cs="Times New Roman"/>
          <w:b/>
          <w:bCs/>
          <w:sz w:val="24"/>
          <w:szCs w:val="24"/>
        </w:rPr>
      </w:pPr>
      <w:r w:rsidRPr="653D4264">
        <w:rPr>
          <w:rFonts w:ascii="Times New Roman" w:eastAsia="Times New Roman" w:hAnsi="Times New Roman" w:cs="Times New Roman"/>
          <w:b/>
          <w:bCs/>
          <w:sz w:val="24"/>
          <w:szCs w:val="24"/>
        </w:rPr>
        <w:t>DEBORAH JULIANY SOBRAL DA SILVA</w:t>
      </w:r>
      <w:r w:rsidR="00072AF2">
        <w:rPr>
          <w:rStyle w:val="Refdenotaderodap"/>
          <w:rFonts w:ascii="Times New Roman" w:hAnsi="Times New Roman" w:cs="Times New Roman"/>
          <w:b/>
          <w:sz w:val="24"/>
          <w:szCs w:val="24"/>
        </w:rPr>
        <w:footnoteReference w:id="1"/>
      </w:r>
    </w:p>
    <w:p w:rsidR="00CB358E" w:rsidRPr="00CB358E" w:rsidRDefault="00CB358E" w:rsidP="00CB358E">
      <w:pPr>
        <w:spacing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FELIPE NUNES CÂNDIDO</w:t>
      </w:r>
      <w:r>
        <w:rPr>
          <w:rStyle w:val="Refdenotaderodap"/>
          <w:rFonts w:ascii="Times New Roman" w:eastAsia="Times New Roman" w:hAnsi="Times New Roman" w:cs="Times New Roman"/>
          <w:b/>
          <w:bCs/>
          <w:sz w:val="24"/>
          <w:szCs w:val="24"/>
        </w:rPr>
        <w:footnoteReference w:id="2"/>
      </w:r>
    </w:p>
    <w:p w:rsidR="00072AF2" w:rsidRDefault="653D4264" w:rsidP="00072AF2">
      <w:pPr>
        <w:spacing w:line="240" w:lineRule="auto"/>
        <w:jc w:val="right"/>
        <w:rPr>
          <w:rFonts w:ascii="Times New Roman" w:hAnsi="Times New Roman" w:cs="Times New Roman"/>
          <w:b/>
          <w:sz w:val="24"/>
          <w:szCs w:val="24"/>
        </w:rPr>
      </w:pPr>
      <w:r w:rsidRPr="653D4264">
        <w:rPr>
          <w:rFonts w:ascii="Times New Roman" w:eastAsia="Times New Roman" w:hAnsi="Times New Roman" w:cs="Times New Roman"/>
          <w:b/>
          <w:bCs/>
          <w:sz w:val="24"/>
          <w:szCs w:val="24"/>
        </w:rPr>
        <w:t>THALLES DA SILVA ALEXANDRE</w:t>
      </w:r>
      <w:r w:rsidR="00072AF2">
        <w:rPr>
          <w:rStyle w:val="Refdenotaderodap"/>
          <w:rFonts w:ascii="Times New Roman" w:hAnsi="Times New Roman" w:cs="Times New Roman"/>
          <w:b/>
          <w:sz w:val="24"/>
          <w:szCs w:val="24"/>
        </w:rPr>
        <w:footnoteReference w:id="3"/>
      </w:r>
    </w:p>
    <w:p w:rsidR="00072AF2" w:rsidRDefault="653D4264" w:rsidP="653D4264">
      <w:pPr>
        <w:spacing w:line="240" w:lineRule="auto"/>
        <w:jc w:val="right"/>
        <w:rPr>
          <w:rFonts w:ascii="Times New Roman" w:eastAsia="Times New Roman" w:hAnsi="Times New Roman" w:cs="Times New Roman"/>
          <w:b/>
          <w:bCs/>
          <w:sz w:val="24"/>
          <w:szCs w:val="24"/>
        </w:rPr>
      </w:pPr>
      <w:r w:rsidRPr="653D4264">
        <w:rPr>
          <w:rFonts w:ascii="Times New Roman" w:eastAsia="Times New Roman" w:hAnsi="Times New Roman" w:cs="Times New Roman"/>
          <w:b/>
          <w:bCs/>
          <w:sz w:val="24"/>
          <w:szCs w:val="24"/>
        </w:rPr>
        <w:t>MARIA TÂNIA ROCHA DE CARVALHO NASCIMENTO</w:t>
      </w:r>
      <w:r w:rsidR="00CB358E">
        <w:rPr>
          <w:rStyle w:val="Refdenotaderodap"/>
          <w:rFonts w:ascii="Times New Roman" w:eastAsia="Times New Roman" w:hAnsi="Times New Roman" w:cs="Times New Roman"/>
          <w:b/>
          <w:bCs/>
          <w:sz w:val="24"/>
          <w:szCs w:val="24"/>
        </w:rPr>
        <w:footnoteReference w:id="4"/>
      </w:r>
    </w:p>
    <w:p w:rsidR="00186B92" w:rsidRDefault="00186B92" w:rsidP="653D4264">
      <w:pPr>
        <w:spacing w:line="240" w:lineRule="auto"/>
        <w:jc w:val="right"/>
        <w:rPr>
          <w:rFonts w:ascii="Times New Roman" w:eastAsia="Times New Roman" w:hAnsi="Times New Roman" w:cs="Times New Roman"/>
          <w:b/>
          <w:bCs/>
          <w:sz w:val="24"/>
          <w:szCs w:val="24"/>
        </w:rPr>
      </w:pPr>
    </w:p>
    <w:p w:rsidR="00186B92" w:rsidRDefault="00186B92" w:rsidP="653D4264">
      <w:pPr>
        <w:spacing w:line="240" w:lineRule="auto"/>
        <w:jc w:val="right"/>
        <w:rPr>
          <w:rFonts w:ascii="Times New Roman" w:hAnsi="Times New Roman" w:cs="Times New Roman"/>
          <w:b/>
          <w:sz w:val="24"/>
          <w:szCs w:val="24"/>
        </w:rPr>
      </w:pPr>
    </w:p>
    <w:p w:rsidR="00C41596" w:rsidRDefault="00C41596" w:rsidP="00C41596">
      <w:pPr>
        <w:spacing w:line="240" w:lineRule="auto"/>
        <w:jc w:val="both"/>
        <w:rPr>
          <w:rFonts w:ascii="Times New Roman" w:hAnsi="Times New Roman" w:cs="Times New Roman"/>
          <w:sz w:val="24"/>
          <w:szCs w:val="24"/>
        </w:rPr>
      </w:pPr>
      <w:r w:rsidRPr="00C41596">
        <w:rPr>
          <w:rFonts w:ascii="Times New Roman" w:hAnsi="Times New Roman" w:cs="Times New Roman"/>
          <w:b/>
          <w:sz w:val="24"/>
          <w:szCs w:val="24"/>
        </w:rPr>
        <w:t>RESUMO:</w:t>
      </w:r>
      <w:r>
        <w:rPr>
          <w:rFonts w:ascii="Times New Roman" w:hAnsi="Times New Roman" w:cs="Times New Roman"/>
          <w:b/>
          <w:sz w:val="24"/>
          <w:szCs w:val="24"/>
        </w:rPr>
        <w:t xml:space="preserve"> </w:t>
      </w:r>
      <w:r>
        <w:rPr>
          <w:rFonts w:ascii="Times New Roman" w:hAnsi="Times New Roman" w:cs="Times New Roman"/>
          <w:sz w:val="24"/>
          <w:szCs w:val="24"/>
        </w:rPr>
        <w:t>O trabalho em questão foi elaborado com o objetivo de falar sobre o inquérito policial de crimes cometidos por autoridades que detêm foro privilegiado. Em um primeiro momento abordamos sobre os sistemas processuais penais, quais seja</w:t>
      </w:r>
      <w:r w:rsidR="00CB358E">
        <w:rPr>
          <w:rFonts w:ascii="Times New Roman" w:hAnsi="Times New Roman" w:cs="Times New Roman"/>
          <w:sz w:val="24"/>
          <w:szCs w:val="24"/>
        </w:rPr>
        <w:t>m</w:t>
      </w:r>
      <w:r>
        <w:rPr>
          <w:rFonts w:ascii="Times New Roman" w:hAnsi="Times New Roman" w:cs="Times New Roman"/>
          <w:sz w:val="24"/>
          <w:szCs w:val="24"/>
        </w:rPr>
        <w:t>, o acusatório, o inquisitório e o misto</w:t>
      </w:r>
      <w:r w:rsidR="00A91B2C">
        <w:rPr>
          <w:rFonts w:ascii="Times New Roman" w:hAnsi="Times New Roman" w:cs="Times New Roman"/>
          <w:sz w:val="24"/>
          <w:szCs w:val="24"/>
        </w:rPr>
        <w:t xml:space="preserve">. O sistema adotado na doutrina pátria é o misto, tendo em vista que existe uma fase inquisitorial- inquérito ou investigação preliminar- e uma segunda fase acusatória- o processo propriamente dito. Trata também sobre a investigação preliminar, abordando a classificação apresentada por </w:t>
      </w:r>
      <w:proofErr w:type="spellStart"/>
      <w:r w:rsidR="00A91B2C">
        <w:rPr>
          <w:rFonts w:ascii="Times New Roman" w:hAnsi="Times New Roman" w:cs="Times New Roman"/>
          <w:sz w:val="24"/>
          <w:szCs w:val="24"/>
        </w:rPr>
        <w:t>Aury</w:t>
      </w:r>
      <w:proofErr w:type="spellEnd"/>
      <w:r w:rsidR="00A91B2C">
        <w:rPr>
          <w:rFonts w:ascii="Times New Roman" w:hAnsi="Times New Roman" w:cs="Times New Roman"/>
          <w:sz w:val="24"/>
          <w:szCs w:val="24"/>
        </w:rPr>
        <w:t xml:space="preserve"> Lopes Junior, no qual ele mostra três tipos de investigação: a Investigação Preliminar Policial; a Investigação Preliminar Judicial - Juiz Instrutor; e a Investigação Preliminar a Cargo do Ministério Público: Promotor Investigador. E por fim, explicaremos sobre o foro privilegiado, que foi permitido a partir da Carta Magna de 1988. Este privilégio é concedido a algumas pessoas em função do cargo que exerce. </w:t>
      </w:r>
      <w:r w:rsidR="00CB358E">
        <w:rPr>
          <w:rFonts w:ascii="Times New Roman" w:hAnsi="Times New Roman" w:cs="Times New Roman"/>
          <w:sz w:val="24"/>
          <w:szCs w:val="24"/>
        </w:rPr>
        <w:t>Analisamos</w:t>
      </w:r>
      <w:r w:rsidR="00A91B2C">
        <w:rPr>
          <w:rFonts w:ascii="Times New Roman" w:hAnsi="Times New Roman" w:cs="Times New Roman"/>
          <w:sz w:val="24"/>
          <w:szCs w:val="24"/>
        </w:rPr>
        <w:t xml:space="preserve"> um tema pouco abordado dentro da prerrogativa de foro, que é quem é a autoridade competente para investigar os detentores deste privilégio. Segundo o Supremo Tribunal Federal é o Tribunal ou a Corte que deve julgar ou processar a autoridade política</w:t>
      </w:r>
      <w:r w:rsidR="00072AF2">
        <w:rPr>
          <w:rFonts w:ascii="Times New Roman" w:hAnsi="Times New Roman" w:cs="Times New Roman"/>
          <w:sz w:val="24"/>
          <w:szCs w:val="24"/>
        </w:rPr>
        <w:t>, ou caso seja investigado pela polícia judiciária esta deve receber autorização do tribunal ou corte em questão.</w:t>
      </w:r>
    </w:p>
    <w:p w:rsidR="00072AF2" w:rsidRDefault="00072AF2" w:rsidP="00C41596">
      <w:pPr>
        <w:spacing w:line="240" w:lineRule="auto"/>
        <w:jc w:val="both"/>
        <w:rPr>
          <w:rFonts w:ascii="Times New Roman" w:hAnsi="Times New Roman" w:cs="Times New Roman"/>
          <w:sz w:val="24"/>
          <w:szCs w:val="24"/>
        </w:rPr>
      </w:pPr>
    </w:p>
    <w:p w:rsidR="00072AF2" w:rsidRDefault="00072AF2" w:rsidP="00C41596">
      <w:pPr>
        <w:spacing w:line="240" w:lineRule="auto"/>
        <w:jc w:val="both"/>
        <w:rPr>
          <w:rFonts w:ascii="Times New Roman" w:hAnsi="Times New Roman" w:cs="Times New Roman"/>
          <w:sz w:val="24"/>
          <w:szCs w:val="24"/>
        </w:rPr>
      </w:pPr>
      <w:r w:rsidRPr="00072AF2">
        <w:rPr>
          <w:rFonts w:ascii="Times New Roman" w:hAnsi="Times New Roman" w:cs="Times New Roman"/>
          <w:b/>
          <w:sz w:val="24"/>
          <w:szCs w:val="24"/>
        </w:rPr>
        <w:t>PALAVRAS-CHAVE:</w:t>
      </w:r>
      <w:r>
        <w:rPr>
          <w:rFonts w:ascii="Times New Roman" w:hAnsi="Times New Roman" w:cs="Times New Roman"/>
          <w:b/>
          <w:sz w:val="24"/>
          <w:szCs w:val="24"/>
        </w:rPr>
        <w:t xml:space="preserve"> </w:t>
      </w:r>
      <w:r>
        <w:rPr>
          <w:rFonts w:ascii="Times New Roman" w:hAnsi="Times New Roman" w:cs="Times New Roman"/>
          <w:sz w:val="24"/>
          <w:szCs w:val="24"/>
        </w:rPr>
        <w:t xml:space="preserve">Inquérito policial; prerrogativa de foro; sistema processual </w:t>
      </w:r>
      <w:proofErr w:type="gramStart"/>
      <w:r>
        <w:rPr>
          <w:rFonts w:ascii="Times New Roman" w:hAnsi="Times New Roman" w:cs="Times New Roman"/>
          <w:sz w:val="24"/>
          <w:szCs w:val="24"/>
        </w:rPr>
        <w:t>penal</w:t>
      </w:r>
      <w:proofErr w:type="gramEnd"/>
    </w:p>
    <w:p w:rsidR="00072AF2" w:rsidRPr="00072AF2" w:rsidRDefault="00072AF2" w:rsidP="00072AF2">
      <w:pPr>
        <w:spacing w:line="480" w:lineRule="auto"/>
        <w:jc w:val="both"/>
        <w:rPr>
          <w:rFonts w:ascii="Times New Roman" w:hAnsi="Times New Roman" w:cs="Times New Roman"/>
          <w:sz w:val="24"/>
          <w:szCs w:val="24"/>
        </w:rPr>
      </w:pPr>
    </w:p>
    <w:p w:rsidR="006511AD" w:rsidRDefault="006511AD" w:rsidP="006511AD">
      <w:pPr>
        <w:pStyle w:val="PargrafodaLista"/>
        <w:numPr>
          <w:ilvl w:val="0"/>
          <w:numId w:val="2"/>
        </w:numPr>
        <w:spacing w:line="480" w:lineRule="auto"/>
        <w:rPr>
          <w:rFonts w:ascii="Times New Roman" w:hAnsi="Times New Roman" w:cs="Times New Roman"/>
          <w:b/>
          <w:sz w:val="28"/>
          <w:szCs w:val="28"/>
        </w:rPr>
      </w:pPr>
      <w:r>
        <w:rPr>
          <w:rFonts w:ascii="Times New Roman" w:hAnsi="Times New Roman" w:cs="Times New Roman"/>
          <w:b/>
          <w:sz w:val="28"/>
          <w:szCs w:val="28"/>
        </w:rPr>
        <w:t>INTRODUÇÃO</w:t>
      </w:r>
    </w:p>
    <w:p w:rsidR="006511AD" w:rsidRDefault="006511AD" w:rsidP="006511AD">
      <w:pPr>
        <w:pStyle w:val="PargrafodaLista"/>
        <w:spacing w:line="480" w:lineRule="auto"/>
        <w:ind w:left="1080"/>
        <w:rPr>
          <w:rFonts w:ascii="Times New Roman" w:hAnsi="Times New Roman" w:cs="Times New Roman"/>
          <w:b/>
          <w:sz w:val="28"/>
          <w:szCs w:val="28"/>
        </w:rPr>
      </w:pPr>
    </w:p>
    <w:p w:rsidR="006511AD" w:rsidRDefault="006511AD" w:rsidP="006511AD">
      <w:pPr>
        <w:pStyle w:val="PargrafodaLista"/>
        <w:spacing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O presente artigo foi elaborado com o objetivo de tratar sobre um assunto pouco comentado nas universidades, que é sobre o inquérito policial em relação a crimes cometidos </w:t>
      </w:r>
      <w:r>
        <w:rPr>
          <w:rFonts w:ascii="Times New Roman" w:hAnsi="Times New Roman" w:cs="Times New Roman"/>
          <w:sz w:val="24"/>
          <w:szCs w:val="24"/>
        </w:rPr>
        <w:lastRenderedPageBreak/>
        <w:t xml:space="preserve">por pessoas que tem prerrogativa de foro. O foro privilegiado só veio a ser constitucionalmente permitido com </w:t>
      </w:r>
      <w:r w:rsidR="00CB358E">
        <w:rPr>
          <w:rFonts w:ascii="Times New Roman" w:hAnsi="Times New Roman" w:cs="Times New Roman"/>
          <w:sz w:val="24"/>
          <w:szCs w:val="24"/>
        </w:rPr>
        <w:t>a Carta magna de 1888, pois as C</w:t>
      </w:r>
      <w:r>
        <w:rPr>
          <w:rFonts w:ascii="Times New Roman" w:hAnsi="Times New Roman" w:cs="Times New Roman"/>
          <w:sz w:val="24"/>
          <w:szCs w:val="24"/>
        </w:rPr>
        <w:t xml:space="preserve">onstituições anteriores proibiam este tipo de privilégio, por exemplo, </w:t>
      </w:r>
      <w:r w:rsidR="00AA2114">
        <w:rPr>
          <w:rFonts w:ascii="Times New Roman" w:hAnsi="Times New Roman" w:cs="Times New Roman"/>
          <w:sz w:val="24"/>
          <w:szCs w:val="24"/>
        </w:rPr>
        <w:t>a Constituição de 1824</w:t>
      </w:r>
      <w:r w:rsidRPr="006511AD">
        <w:rPr>
          <w:rFonts w:ascii="Times New Roman" w:hAnsi="Times New Roman" w:cs="Times New Roman"/>
          <w:sz w:val="24"/>
          <w:szCs w:val="24"/>
        </w:rPr>
        <w:t xml:space="preserve"> dispunha de cláusulas </w:t>
      </w:r>
      <w:r w:rsidR="00CB358E">
        <w:rPr>
          <w:rFonts w:ascii="Times New Roman" w:hAnsi="Times New Roman" w:cs="Times New Roman"/>
          <w:sz w:val="24"/>
          <w:szCs w:val="24"/>
        </w:rPr>
        <w:t>que visava</w:t>
      </w:r>
      <w:r w:rsidRPr="006511AD">
        <w:rPr>
          <w:rFonts w:ascii="Times New Roman" w:hAnsi="Times New Roman" w:cs="Times New Roman"/>
          <w:sz w:val="24"/>
          <w:szCs w:val="24"/>
        </w:rPr>
        <w:t xml:space="preserve"> igualdade de todas as pessoas perante a lei. Seu art. 179, XVII já dizia: "À </w:t>
      </w:r>
      <w:proofErr w:type="spellStart"/>
      <w:r w:rsidRPr="006511AD">
        <w:rPr>
          <w:rFonts w:ascii="Times New Roman" w:hAnsi="Times New Roman" w:cs="Times New Roman"/>
          <w:sz w:val="24"/>
          <w:szCs w:val="24"/>
        </w:rPr>
        <w:t>excepção</w:t>
      </w:r>
      <w:proofErr w:type="spellEnd"/>
      <w:r w:rsidRPr="006511AD">
        <w:rPr>
          <w:rFonts w:ascii="Times New Roman" w:hAnsi="Times New Roman" w:cs="Times New Roman"/>
          <w:sz w:val="24"/>
          <w:szCs w:val="24"/>
        </w:rPr>
        <w:t xml:space="preserve"> das Causas, que por sua natureza pertencem a Juízos particulares, na conformidade das Leis, não haverá Foro privilegiado, nem </w:t>
      </w:r>
      <w:proofErr w:type="spellStart"/>
      <w:r w:rsidRPr="006511AD">
        <w:rPr>
          <w:rFonts w:ascii="Times New Roman" w:hAnsi="Times New Roman" w:cs="Times New Roman"/>
          <w:sz w:val="24"/>
          <w:szCs w:val="24"/>
        </w:rPr>
        <w:t>commissões</w:t>
      </w:r>
      <w:proofErr w:type="spellEnd"/>
      <w:r w:rsidRPr="006511AD">
        <w:rPr>
          <w:rFonts w:ascii="Times New Roman" w:hAnsi="Times New Roman" w:cs="Times New Roman"/>
          <w:sz w:val="24"/>
          <w:szCs w:val="24"/>
        </w:rPr>
        <w:t xml:space="preserve"> </w:t>
      </w:r>
      <w:proofErr w:type="spellStart"/>
      <w:r w:rsidRPr="006511AD">
        <w:rPr>
          <w:rFonts w:ascii="Times New Roman" w:hAnsi="Times New Roman" w:cs="Times New Roman"/>
          <w:sz w:val="24"/>
          <w:szCs w:val="24"/>
        </w:rPr>
        <w:t>especiaes</w:t>
      </w:r>
      <w:proofErr w:type="spellEnd"/>
      <w:r w:rsidRPr="006511AD">
        <w:rPr>
          <w:rFonts w:ascii="Times New Roman" w:hAnsi="Times New Roman" w:cs="Times New Roman"/>
          <w:sz w:val="24"/>
          <w:szCs w:val="24"/>
        </w:rPr>
        <w:t xml:space="preserve"> nas causas cíveis, ou crimes".</w:t>
      </w:r>
    </w:p>
    <w:p w:rsidR="00AA2114" w:rsidRDefault="00AA2114" w:rsidP="006511AD">
      <w:pPr>
        <w:pStyle w:val="PargrafodaLista"/>
        <w:spacing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Foram elaborados três capítulos. Um capítulo que trata sobre os sistemas processuais existente na doutrina brasileira, e qual o adotado no ordenamento jurídico pátrio; um capítulo sobre a investigação pré-processual; e um último capítulo sobre a prerrogativa de foro e como ela tratada no inquérito, apesar de ainda haver divergência.</w:t>
      </w:r>
    </w:p>
    <w:p w:rsidR="00AA2114" w:rsidRDefault="00AA2114" w:rsidP="00AA2114">
      <w:pPr>
        <w:pStyle w:val="PargrafodaLista"/>
        <w:spacing w:line="480" w:lineRule="auto"/>
        <w:ind w:left="0" w:firstLine="708"/>
        <w:jc w:val="both"/>
        <w:rPr>
          <w:rFonts w:ascii="Times New Roman" w:hAnsi="Times New Roman" w:cs="Times New Roman"/>
          <w:sz w:val="24"/>
          <w:szCs w:val="24"/>
        </w:rPr>
      </w:pPr>
    </w:p>
    <w:p w:rsidR="00AA2114" w:rsidRPr="006511AD" w:rsidRDefault="00AA2114" w:rsidP="00AA2114">
      <w:pPr>
        <w:pStyle w:val="PargrafodaLista"/>
        <w:spacing w:line="480" w:lineRule="auto"/>
        <w:ind w:left="0" w:firstLine="708"/>
        <w:jc w:val="both"/>
        <w:rPr>
          <w:rFonts w:ascii="Times New Roman" w:hAnsi="Times New Roman" w:cs="Times New Roman"/>
          <w:sz w:val="24"/>
          <w:szCs w:val="24"/>
        </w:rPr>
      </w:pPr>
    </w:p>
    <w:p w:rsidR="00B00366" w:rsidRDefault="00C62607" w:rsidP="00B00366">
      <w:pPr>
        <w:pStyle w:val="PargrafodaLista"/>
        <w:numPr>
          <w:ilvl w:val="0"/>
          <w:numId w:val="2"/>
        </w:numPr>
        <w:spacing w:line="480" w:lineRule="auto"/>
        <w:rPr>
          <w:rFonts w:ascii="Times New Roman" w:hAnsi="Times New Roman" w:cs="Times New Roman"/>
          <w:b/>
          <w:sz w:val="28"/>
          <w:szCs w:val="28"/>
        </w:rPr>
      </w:pPr>
      <w:r>
        <w:rPr>
          <w:rFonts w:ascii="Times New Roman" w:hAnsi="Times New Roman" w:cs="Times New Roman"/>
          <w:b/>
          <w:sz w:val="28"/>
          <w:szCs w:val="28"/>
        </w:rPr>
        <w:t>SISTEMAS PROCESSUAIS PENAIS</w:t>
      </w:r>
    </w:p>
    <w:p w:rsidR="009F14AE" w:rsidRPr="00B00366" w:rsidRDefault="009F14AE" w:rsidP="009F14AE">
      <w:pPr>
        <w:pStyle w:val="PargrafodaLista"/>
        <w:spacing w:line="480" w:lineRule="auto"/>
        <w:ind w:left="1080"/>
        <w:rPr>
          <w:rFonts w:ascii="Times New Roman" w:hAnsi="Times New Roman" w:cs="Times New Roman"/>
          <w:b/>
          <w:sz w:val="28"/>
          <w:szCs w:val="28"/>
        </w:rPr>
      </w:pPr>
    </w:p>
    <w:p w:rsidR="00C62607" w:rsidRDefault="00BA5A42" w:rsidP="00AF112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Conforme AURY LOPES JR. (2012, p.69) “O exercício do poder punitivo está condicionado e é condicionante da atuação estatal”, ou seja, para a resolução de conflito entre as pessoas é necessário que o Estado intervenha, nã</w:t>
      </w:r>
      <w:r w:rsidR="00B830AF">
        <w:rPr>
          <w:rFonts w:ascii="Times New Roman" w:hAnsi="Times New Roman" w:cs="Times New Roman"/>
          <w:sz w:val="24"/>
          <w:szCs w:val="24"/>
        </w:rPr>
        <w:t>o sendo mais permitida</w:t>
      </w:r>
      <w:r>
        <w:rPr>
          <w:rFonts w:ascii="Times New Roman" w:hAnsi="Times New Roman" w:cs="Times New Roman"/>
          <w:sz w:val="24"/>
          <w:szCs w:val="24"/>
        </w:rPr>
        <w:t xml:space="preserve"> </w:t>
      </w:r>
      <w:r w:rsidR="00B830AF">
        <w:rPr>
          <w:rFonts w:ascii="Times New Roman" w:hAnsi="Times New Roman" w:cs="Times New Roman"/>
          <w:sz w:val="24"/>
          <w:szCs w:val="24"/>
        </w:rPr>
        <w:t>a auto</w:t>
      </w:r>
      <w:r>
        <w:rPr>
          <w:rFonts w:ascii="Times New Roman" w:hAnsi="Times New Roman" w:cs="Times New Roman"/>
          <w:sz w:val="24"/>
          <w:szCs w:val="24"/>
        </w:rPr>
        <w:t xml:space="preserve">tutela onde a coação particular </w:t>
      </w:r>
      <w:r w:rsidR="00B830AF">
        <w:rPr>
          <w:rFonts w:ascii="Times New Roman" w:hAnsi="Times New Roman" w:cs="Times New Roman"/>
          <w:sz w:val="24"/>
          <w:szCs w:val="24"/>
        </w:rPr>
        <w:t>predomina. Com esta supressão da vingança particular foi dado ao Estado o poder de punir, porém a aplicação do Di</w:t>
      </w:r>
      <w:r w:rsidR="009F00D9">
        <w:rPr>
          <w:rFonts w:ascii="Times New Roman" w:hAnsi="Times New Roman" w:cs="Times New Roman"/>
          <w:sz w:val="24"/>
          <w:szCs w:val="24"/>
        </w:rPr>
        <w:t>reito ao caso concreto só pode</w:t>
      </w:r>
      <w:r w:rsidR="00B830AF">
        <w:rPr>
          <w:rFonts w:ascii="Times New Roman" w:hAnsi="Times New Roman" w:cs="Times New Roman"/>
          <w:sz w:val="24"/>
          <w:szCs w:val="24"/>
        </w:rPr>
        <w:t xml:space="preserve"> </w:t>
      </w:r>
      <w:r w:rsidR="009F00D9">
        <w:rPr>
          <w:rFonts w:ascii="Times New Roman" w:hAnsi="Times New Roman" w:cs="Times New Roman"/>
          <w:sz w:val="24"/>
          <w:szCs w:val="24"/>
        </w:rPr>
        <w:t>advir</w:t>
      </w:r>
      <w:r w:rsidR="00B830AF">
        <w:rPr>
          <w:rFonts w:ascii="Times New Roman" w:hAnsi="Times New Roman" w:cs="Times New Roman"/>
          <w:sz w:val="24"/>
          <w:szCs w:val="24"/>
        </w:rPr>
        <w:t xml:space="preserve"> com o intermédio do Direito Processual Penal, deste modo, o </w:t>
      </w:r>
      <w:proofErr w:type="spellStart"/>
      <w:r w:rsidR="00B830AF">
        <w:rPr>
          <w:rFonts w:ascii="Times New Roman" w:hAnsi="Times New Roman" w:cs="Times New Roman"/>
          <w:sz w:val="24"/>
          <w:szCs w:val="24"/>
        </w:rPr>
        <w:t>poder-punitivo</w:t>
      </w:r>
      <w:proofErr w:type="spellEnd"/>
      <w:r w:rsidR="00B830AF">
        <w:rPr>
          <w:rFonts w:ascii="Times New Roman" w:hAnsi="Times New Roman" w:cs="Times New Roman"/>
          <w:sz w:val="24"/>
          <w:szCs w:val="24"/>
        </w:rPr>
        <w:t xml:space="preserve"> só é concretizado com o processo penal. Historicamente</w:t>
      </w:r>
      <w:r w:rsidR="00AF112D">
        <w:rPr>
          <w:rFonts w:ascii="Times New Roman" w:hAnsi="Times New Roman" w:cs="Times New Roman"/>
          <w:sz w:val="24"/>
          <w:szCs w:val="24"/>
        </w:rPr>
        <w:t>, na doutrina brasileira,</w:t>
      </w:r>
      <w:r w:rsidR="00B830AF">
        <w:rPr>
          <w:rFonts w:ascii="Times New Roman" w:hAnsi="Times New Roman" w:cs="Times New Roman"/>
          <w:sz w:val="24"/>
          <w:szCs w:val="24"/>
        </w:rPr>
        <w:t xml:space="preserve"> a aplicação do processo penal se deu de várias formas e estas formas denominaram-se de sistemas processuais penais:</w:t>
      </w:r>
      <w:r w:rsidR="00AF112D">
        <w:rPr>
          <w:rFonts w:ascii="Times New Roman" w:hAnsi="Times New Roman" w:cs="Times New Roman"/>
          <w:sz w:val="24"/>
          <w:szCs w:val="24"/>
        </w:rPr>
        <w:t xml:space="preserve"> </w:t>
      </w:r>
      <w:r w:rsidR="00B830AF">
        <w:rPr>
          <w:rFonts w:ascii="Times New Roman" w:hAnsi="Times New Roman" w:cs="Times New Roman"/>
          <w:sz w:val="24"/>
          <w:szCs w:val="24"/>
        </w:rPr>
        <w:t>acusatório, inquisitivo e misto.</w:t>
      </w:r>
    </w:p>
    <w:p w:rsidR="00AF112D" w:rsidRDefault="00AF112D" w:rsidP="00AF112D">
      <w:pPr>
        <w:spacing w:line="360" w:lineRule="auto"/>
        <w:ind w:firstLine="708"/>
        <w:jc w:val="both"/>
        <w:rPr>
          <w:rFonts w:ascii="Times New Roman" w:hAnsi="Times New Roman" w:cs="Times New Roman"/>
          <w:sz w:val="24"/>
          <w:szCs w:val="24"/>
        </w:rPr>
      </w:pPr>
      <w:r w:rsidRPr="00AF112D">
        <w:rPr>
          <w:rFonts w:ascii="Times New Roman" w:hAnsi="Times New Roman" w:cs="Times New Roman"/>
          <w:sz w:val="24"/>
          <w:szCs w:val="24"/>
        </w:rPr>
        <w:t xml:space="preserve">O processo acusatório se caracteriza por ser público, possuir contraditório, oportunizar a ampla defesa, e, primordialmente, por distribuir as funções de acusar, defender e julgar a órgãos distintos. O sistema inquisitivo, por sua vez, é sigiloso, não contraditório e reúne na mesma pessoa ou órgão </w:t>
      </w:r>
      <w:r w:rsidR="00C23E3C" w:rsidRPr="00AF112D">
        <w:rPr>
          <w:rFonts w:ascii="Times New Roman" w:hAnsi="Times New Roman" w:cs="Times New Roman"/>
          <w:sz w:val="24"/>
          <w:szCs w:val="24"/>
        </w:rPr>
        <w:t>às</w:t>
      </w:r>
      <w:r w:rsidRPr="00AF112D">
        <w:rPr>
          <w:rFonts w:ascii="Times New Roman" w:hAnsi="Times New Roman" w:cs="Times New Roman"/>
          <w:sz w:val="24"/>
          <w:szCs w:val="24"/>
        </w:rPr>
        <w:t xml:space="preserve"> funções de acusar, defender e julgar. Já o sistema misto possui uma fase inicial preliminar inquisitorial e uma segunda fase acusatória.</w:t>
      </w:r>
    </w:p>
    <w:p w:rsidR="00360EDC" w:rsidRDefault="00C23E3C" w:rsidP="00360ED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A doutrina brasileira afirma que o sistema adotado é o misto, pois tem uma fase inquisitorial– a investigação pré-processual- e uma segunda fase com as características do sistema acusatório- o processo propriamente dito.</w:t>
      </w:r>
      <w:r w:rsidR="009F00D9">
        <w:rPr>
          <w:rFonts w:ascii="Times New Roman" w:hAnsi="Times New Roman" w:cs="Times New Roman"/>
          <w:sz w:val="24"/>
          <w:szCs w:val="24"/>
        </w:rPr>
        <w:t xml:space="preserve"> Pode-se afirmar que é unânime o entendimento que o sistema misto é o único apto a garantir a imparcialidade do julgador, pois não será ele quem irá investigar e julgar.</w:t>
      </w:r>
      <w:r w:rsidR="00B00366">
        <w:rPr>
          <w:rFonts w:ascii="Times New Roman" w:hAnsi="Times New Roman" w:cs="Times New Roman"/>
          <w:sz w:val="24"/>
          <w:szCs w:val="24"/>
        </w:rPr>
        <w:t xml:space="preserve"> </w:t>
      </w:r>
      <w:r w:rsidR="00900F7B">
        <w:rPr>
          <w:rFonts w:ascii="Times New Roman" w:hAnsi="Times New Roman" w:cs="Times New Roman"/>
          <w:sz w:val="24"/>
          <w:szCs w:val="24"/>
        </w:rPr>
        <w:t>Aliás, devido à</w:t>
      </w:r>
      <w:r w:rsidR="00360EDC" w:rsidRPr="00B00366">
        <w:rPr>
          <w:rFonts w:ascii="Times New Roman" w:hAnsi="Times New Roman" w:cs="Times New Roman"/>
          <w:sz w:val="24"/>
          <w:szCs w:val="24"/>
        </w:rPr>
        <w:t xml:space="preserve"> preocupação em assegurar a imparcialidade do Juiz que inspirou o artigo 252, inciso, II, do Código de Processo Penal, que prevê o impedimento do Juiz de atuar em processos em que tenha atuado anteriormente não só como defensor e órgão do Ministério Público (acusação), mas também como autoridade policial (investigação pré-processual).</w:t>
      </w:r>
    </w:p>
    <w:p w:rsidR="00360EDC" w:rsidRPr="00B00366" w:rsidRDefault="00360EDC" w:rsidP="00360EDC">
      <w:pPr>
        <w:spacing w:line="480" w:lineRule="auto"/>
        <w:ind w:firstLine="708"/>
        <w:jc w:val="both"/>
        <w:rPr>
          <w:rFonts w:ascii="Times New Roman" w:hAnsi="Times New Roman" w:cs="Times New Roman"/>
          <w:sz w:val="24"/>
          <w:szCs w:val="24"/>
        </w:rPr>
      </w:pPr>
    </w:p>
    <w:p w:rsidR="009F14AE" w:rsidRPr="009F14AE" w:rsidRDefault="009F14AE" w:rsidP="009F14AE">
      <w:pPr>
        <w:pStyle w:val="PargrafodaLista"/>
        <w:numPr>
          <w:ilvl w:val="0"/>
          <w:numId w:val="2"/>
        </w:numPr>
        <w:spacing w:line="360" w:lineRule="auto"/>
        <w:jc w:val="both"/>
        <w:rPr>
          <w:rFonts w:ascii="Times New Roman" w:hAnsi="Times New Roman" w:cs="Times New Roman"/>
          <w:sz w:val="28"/>
          <w:szCs w:val="28"/>
        </w:rPr>
      </w:pPr>
      <w:r w:rsidRPr="009F14AE">
        <w:rPr>
          <w:rFonts w:ascii="Times New Roman" w:hAnsi="Times New Roman" w:cs="Times New Roman"/>
          <w:b/>
          <w:sz w:val="28"/>
          <w:szCs w:val="28"/>
        </w:rPr>
        <w:t>INVESTIGAÇÃO PRÉ-PROCESSUAL</w:t>
      </w:r>
    </w:p>
    <w:p w:rsidR="009F14AE" w:rsidRPr="009F14AE" w:rsidRDefault="009F14AE" w:rsidP="009F14AE">
      <w:pPr>
        <w:pStyle w:val="PargrafodaLista"/>
        <w:spacing w:line="480" w:lineRule="auto"/>
        <w:ind w:left="1080"/>
        <w:jc w:val="both"/>
        <w:rPr>
          <w:rFonts w:ascii="Times New Roman" w:hAnsi="Times New Roman" w:cs="Times New Roman"/>
          <w:sz w:val="28"/>
          <w:szCs w:val="28"/>
        </w:rPr>
      </w:pPr>
    </w:p>
    <w:p w:rsidR="00581663" w:rsidRDefault="00581663" w:rsidP="00B0036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AURY LOPES JUNIOR trata sobre três tipos de “sistemas de investigação preliminar”</w:t>
      </w:r>
      <w:r w:rsidR="00B1523D">
        <w:rPr>
          <w:rFonts w:ascii="Times New Roman" w:hAnsi="Times New Roman" w:cs="Times New Roman"/>
          <w:sz w:val="24"/>
          <w:szCs w:val="24"/>
        </w:rPr>
        <w:t>, a Investigação Preliminar Policial; a Investigação Preliminar J</w:t>
      </w:r>
      <w:r>
        <w:rPr>
          <w:rFonts w:ascii="Times New Roman" w:hAnsi="Times New Roman" w:cs="Times New Roman"/>
          <w:sz w:val="24"/>
          <w:szCs w:val="24"/>
        </w:rPr>
        <w:t>udicial</w:t>
      </w:r>
      <w:r w:rsidR="004243D5">
        <w:rPr>
          <w:rFonts w:ascii="Times New Roman" w:hAnsi="Times New Roman" w:cs="Times New Roman"/>
          <w:sz w:val="24"/>
          <w:szCs w:val="24"/>
        </w:rPr>
        <w:t xml:space="preserve"> - Juiz Instrutor</w:t>
      </w:r>
      <w:r w:rsidR="00B1523D">
        <w:rPr>
          <w:rFonts w:ascii="Times New Roman" w:hAnsi="Times New Roman" w:cs="Times New Roman"/>
          <w:sz w:val="24"/>
          <w:szCs w:val="24"/>
        </w:rPr>
        <w:t>;</w:t>
      </w:r>
      <w:r>
        <w:rPr>
          <w:rFonts w:ascii="Times New Roman" w:hAnsi="Times New Roman" w:cs="Times New Roman"/>
          <w:sz w:val="24"/>
          <w:szCs w:val="24"/>
        </w:rPr>
        <w:t xml:space="preserve"> e a</w:t>
      </w:r>
      <w:r w:rsidR="00B1523D">
        <w:rPr>
          <w:rFonts w:ascii="Times New Roman" w:hAnsi="Times New Roman" w:cs="Times New Roman"/>
          <w:sz w:val="24"/>
          <w:szCs w:val="24"/>
        </w:rPr>
        <w:t xml:space="preserve"> Investigação Preliminar a C</w:t>
      </w:r>
      <w:r>
        <w:rPr>
          <w:rFonts w:ascii="Times New Roman" w:hAnsi="Times New Roman" w:cs="Times New Roman"/>
          <w:sz w:val="24"/>
          <w:szCs w:val="24"/>
        </w:rPr>
        <w:t>argo do Ministério Público: Promotor Investigador.</w:t>
      </w:r>
    </w:p>
    <w:p w:rsidR="00B1523D" w:rsidRDefault="00581663" w:rsidP="00B1523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w:t>
      </w:r>
      <w:r w:rsidR="00B1523D">
        <w:rPr>
          <w:rFonts w:ascii="Times New Roman" w:hAnsi="Times New Roman" w:cs="Times New Roman"/>
          <w:sz w:val="24"/>
          <w:szCs w:val="24"/>
        </w:rPr>
        <w:t>egundo o autor acima citado, a Investigação P</w:t>
      </w:r>
      <w:r>
        <w:rPr>
          <w:rFonts w:ascii="Times New Roman" w:hAnsi="Times New Roman" w:cs="Times New Roman"/>
          <w:sz w:val="24"/>
          <w:szCs w:val="24"/>
        </w:rPr>
        <w:t xml:space="preserve">reliminar </w:t>
      </w:r>
      <w:r w:rsidR="00B1523D">
        <w:rPr>
          <w:rFonts w:ascii="Times New Roman" w:hAnsi="Times New Roman" w:cs="Times New Roman"/>
          <w:sz w:val="24"/>
          <w:szCs w:val="24"/>
        </w:rPr>
        <w:t>P</w:t>
      </w:r>
      <w:r>
        <w:rPr>
          <w:rFonts w:ascii="Times New Roman" w:hAnsi="Times New Roman" w:cs="Times New Roman"/>
          <w:sz w:val="24"/>
          <w:szCs w:val="24"/>
        </w:rPr>
        <w:t>olicial, que é a adotada pelo direito pátrio, c</w:t>
      </w:r>
      <w:r w:rsidR="009F14AE">
        <w:rPr>
          <w:rFonts w:ascii="Times New Roman" w:hAnsi="Times New Roman" w:cs="Times New Roman"/>
          <w:sz w:val="24"/>
          <w:szCs w:val="24"/>
        </w:rPr>
        <w:t xml:space="preserve">onforme artigo 144, § 1°, inciso IV e § 4°, </w:t>
      </w:r>
      <w:r>
        <w:rPr>
          <w:rFonts w:ascii="Times New Roman" w:hAnsi="Times New Roman" w:cs="Times New Roman"/>
          <w:sz w:val="24"/>
          <w:szCs w:val="24"/>
        </w:rPr>
        <w:t>atribui</w:t>
      </w:r>
      <w:r w:rsidR="00B00366" w:rsidRPr="00B00366">
        <w:rPr>
          <w:rFonts w:ascii="Times New Roman" w:hAnsi="Times New Roman" w:cs="Times New Roman"/>
          <w:sz w:val="24"/>
          <w:szCs w:val="24"/>
        </w:rPr>
        <w:t xml:space="preserve"> às polícias judiciárias (Polícia Civil e Polícia Federal)</w:t>
      </w:r>
      <w:r>
        <w:rPr>
          <w:rFonts w:ascii="Times New Roman" w:hAnsi="Times New Roman" w:cs="Times New Roman"/>
          <w:sz w:val="24"/>
          <w:szCs w:val="24"/>
        </w:rPr>
        <w:t xml:space="preserve"> a empreitada de investigar e examinar os fatos constantes na notícia-crime</w:t>
      </w:r>
      <w:r w:rsidR="00B00366" w:rsidRPr="00B00366">
        <w:rPr>
          <w:rFonts w:ascii="Times New Roman" w:hAnsi="Times New Roman" w:cs="Times New Roman"/>
          <w:sz w:val="24"/>
          <w:szCs w:val="24"/>
        </w:rPr>
        <w:t xml:space="preserve">. </w:t>
      </w:r>
      <w:r>
        <w:rPr>
          <w:rFonts w:ascii="Times New Roman" w:hAnsi="Times New Roman" w:cs="Times New Roman"/>
          <w:sz w:val="24"/>
          <w:szCs w:val="24"/>
        </w:rPr>
        <w:t xml:space="preserve">Não existindo, inclusive, subordinação entre a polícia e os juízes e promotores, pois aquela é autônoma. </w:t>
      </w:r>
      <w:r w:rsidR="00B1523D">
        <w:rPr>
          <w:rFonts w:ascii="Times New Roman" w:hAnsi="Times New Roman" w:cs="Times New Roman"/>
          <w:sz w:val="24"/>
          <w:szCs w:val="24"/>
        </w:rPr>
        <w:t>Na Investigação Preliminar Judicial,</w:t>
      </w:r>
    </w:p>
    <w:p w:rsidR="00B1523D" w:rsidRDefault="00B1523D" w:rsidP="00B1523D">
      <w:pPr>
        <w:spacing w:line="480" w:lineRule="auto"/>
        <w:ind w:firstLine="708"/>
        <w:jc w:val="both"/>
        <w:rPr>
          <w:rFonts w:ascii="Times New Roman" w:hAnsi="Times New Roman" w:cs="Times New Roman"/>
          <w:sz w:val="24"/>
          <w:szCs w:val="24"/>
        </w:rPr>
      </w:pPr>
    </w:p>
    <w:p w:rsidR="00B1523D" w:rsidRDefault="00B1523D" w:rsidP="00B1523D">
      <w:pPr>
        <w:spacing w:line="240" w:lineRule="auto"/>
        <w:ind w:left="2268"/>
        <w:jc w:val="both"/>
        <w:rPr>
          <w:rFonts w:ascii="Times New Roman" w:hAnsi="Times New Roman" w:cs="Times New Roman"/>
        </w:rPr>
      </w:pPr>
      <w:r>
        <w:rPr>
          <w:rFonts w:ascii="Times New Roman" w:hAnsi="Times New Roman" w:cs="Times New Roman"/>
        </w:rPr>
        <w:t>Em síntese, o juiz de instrução é o titular da investigação preliminar e cabe a ele receber direta ou indiretamente a notícia-crime, buscar as fontes de informação e investigar os fatos apontados. Dirigirá de perto a atividade policial e atuará pessoalmente, indo ao local do delito, determinando as perícias necessárias, interrogando os suspeitos, ouvindo testemunhas etc.</w:t>
      </w:r>
    </w:p>
    <w:p w:rsidR="00B1523D" w:rsidRDefault="00B1523D" w:rsidP="00B1523D">
      <w:pPr>
        <w:spacing w:line="480" w:lineRule="auto"/>
        <w:ind w:left="2268"/>
        <w:jc w:val="both"/>
        <w:rPr>
          <w:rFonts w:ascii="Times New Roman" w:hAnsi="Times New Roman" w:cs="Times New Roman"/>
        </w:rPr>
      </w:pPr>
    </w:p>
    <w:p w:rsidR="00641B1C" w:rsidRDefault="00AD7063" w:rsidP="00641B1C">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E por fim, na Investigação Preliminar a Cargo do Ministério Público, o promotor é quem conduz a investigação, ou seja, ele fará a investigação, receberá a </w:t>
      </w:r>
      <w:proofErr w:type="spellStart"/>
      <w:r>
        <w:rPr>
          <w:rFonts w:ascii="Times New Roman" w:hAnsi="Times New Roman" w:cs="Times New Roman"/>
          <w:i/>
          <w:sz w:val="24"/>
          <w:szCs w:val="24"/>
        </w:rPr>
        <w:t>notitia</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criminis</w:t>
      </w:r>
      <w:proofErr w:type="spellEnd"/>
      <w:r>
        <w:rPr>
          <w:rFonts w:ascii="Times New Roman" w:hAnsi="Times New Roman" w:cs="Times New Roman"/>
          <w:sz w:val="24"/>
          <w:szCs w:val="24"/>
        </w:rPr>
        <w:t xml:space="preserve"> e decidirá se arquiva ou denuncia</w:t>
      </w:r>
      <w:r w:rsidR="00641B1C">
        <w:rPr>
          <w:rFonts w:ascii="Times New Roman" w:hAnsi="Times New Roman" w:cs="Times New Roman"/>
          <w:sz w:val="24"/>
          <w:szCs w:val="24"/>
        </w:rPr>
        <w:t xml:space="preserve"> o caso concreto. </w:t>
      </w:r>
      <w:r w:rsidR="00641B1C" w:rsidRPr="00641B1C">
        <w:rPr>
          <w:rFonts w:ascii="Times New Roman" w:hAnsi="Times New Roman" w:cs="Times New Roman"/>
          <w:sz w:val="24"/>
          <w:szCs w:val="24"/>
        </w:rPr>
        <w:t xml:space="preserve">No tocante ao posicionamento favorável a </w:t>
      </w:r>
      <w:r w:rsidR="00641B1C" w:rsidRPr="00641B1C">
        <w:rPr>
          <w:rFonts w:ascii="Times New Roman" w:hAnsi="Times New Roman" w:cs="Times New Roman"/>
          <w:sz w:val="24"/>
          <w:szCs w:val="24"/>
        </w:rPr>
        <w:lastRenderedPageBreak/>
        <w:t>instauração de inquérito</w:t>
      </w:r>
      <w:r w:rsidR="00641B1C">
        <w:rPr>
          <w:rFonts w:ascii="Times New Roman" w:hAnsi="Times New Roman" w:cs="Times New Roman"/>
          <w:sz w:val="24"/>
          <w:szCs w:val="24"/>
        </w:rPr>
        <w:t xml:space="preserve"> por parte do </w:t>
      </w:r>
      <w:proofErr w:type="spellStart"/>
      <w:r w:rsidR="00641B1C">
        <w:rPr>
          <w:rFonts w:ascii="Times New Roman" w:hAnsi="Times New Roman" w:cs="Times New Roman"/>
          <w:i/>
          <w:sz w:val="24"/>
          <w:szCs w:val="24"/>
        </w:rPr>
        <w:t>Parquet</w:t>
      </w:r>
      <w:proofErr w:type="spellEnd"/>
      <w:r w:rsidR="00641B1C" w:rsidRPr="00641B1C">
        <w:rPr>
          <w:rFonts w:ascii="Times New Roman" w:hAnsi="Times New Roman" w:cs="Times New Roman"/>
          <w:sz w:val="24"/>
          <w:szCs w:val="24"/>
        </w:rPr>
        <w:t>, pode-se encontrar algumas jurisprudências relacionadas ao tema.</w:t>
      </w:r>
      <w:r w:rsidR="00641B1C">
        <w:rPr>
          <w:rFonts w:ascii="Times New Roman" w:hAnsi="Times New Roman" w:cs="Times New Roman"/>
          <w:sz w:val="24"/>
          <w:szCs w:val="24"/>
        </w:rPr>
        <w:t xml:space="preserve"> </w:t>
      </w:r>
      <w:r w:rsidR="00641B1C" w:rsidRPr="00641B1C">
        <w:rPr>
          <w:rFonts w:ascii="Times New Roman" w:hAnsi="Times New Roman" w:cs="Times New Roman"/>
          <w:sz w:val="24"/>
          <w:szCs w:val="24"/>
        </w:rPr>
        <w:t xml:space="preserve">O Tribunal de Justiça do Estado de São Paulo já vem mostrando o seu posicionamento favorável </w:t>
      </w:r>
      <w:r w:rsidR="00900F7B" w:rsidRPr="00641B1C">
        <w:rPr>
          <w:rFonts w:ascii="Times New Roman" w:hAnsi="Times New Roman" w:cs="Times New Roman"/>
          <w:sz w:val="24"/>
          <w:szCs w:val="24"/>
        </w:rPr>
        <w:t>à</w:t>
      </w:r>
      <w:r w:rsidR="00641B1C" w:rsidRPr="00641B1C">
        <w:rPr>
          <w:rFonts w:ascii="Times New Roman" w:hAnsi="Times New Roman" w:cs="Times New Roman"/>
          <w:sz w:val="24"/>
          <w:szCs w:val="24"/>
        </w:rPr>
        <w:t xml:space="preserve"> instauração de inquérito por parte do MP. Em um julgado recente, assim se manifestou sobre o tema:</w:t>
      </w:r>
    </w:p>
    <w:p w:rsidR="00641B1C" w:rsidRPr="00641B1C" w:rsidRDefault="00641B1C" w:rsidP="00641B1C">
      <w:pPr>
        <w:spacing w:line="480" w:lineRule="auto"/>
        <w:jc w:val="both"/>
        <w:rPr>
          <w:rFonts w:ascii="Times New Roman" w:hAnsi="Times New Roman" w:cs="Times New Roman"/>
          <w:sz w:val="24"/>
          <w:szCs w:val="24"/>
        </w:rPr>
      </w:pPr>
    </w:p>
    <w:p w:rsidR="00641B1C" w:rsidRDefault="00641B1C" w:rsidP="00641B1C">
      <w:pPr>
        <w:spacing w:line="240" w:lineRule="auto"/>
        <w:ind w:left="2268"/>
        <w:jc w:val="both"/>
        <w:rPr>
          <w:rFonts w:ascii="Times New Roman" w:hAnsi="Times New Roman" w:cs="Times New Roman"/>
        </w:rPr>
      </w:pPr>
      <w:r w:rsidRPr="00641B1C">
        <w:rPr>
          <w:rFonts w:ascii="Times New Roman" w:hAnsi="Times New Roman" w:cs="Times New Roman"/>
        </w:rPr>
        <w:t>"Enquanto o membro do Ministério Público estiver diligenciando no estrito âmbito das suas atribuições, que inclui a instauração do procedimento investigatório para a reunião de elementos suficientes ao desenvolvimento da atividade persecutória que lhe é cabível</w:t>
      </w:r>
      <w:proofErr w:type="gramStart"/>
      <w:r w:rsidRPr="00641B1C">
        <w:rPr>
          <w:rFonts w:ascii="Times New Roman" w:hAnsi="Times New Roman" w:cs="Times New Roman"/>
        </w:rPr>
        <w:t>, é</w:t>
      </w:r>
      <w:proofErr w:type="gramEnd"/>
      <w:r w:rsidRPr="00641B1C">
        <w:rPr>
          <w:rFonts w:ascii="Times New Roman" w:hAnsi="Times New Roman" w:cs="Times New Roman"/>
        </w:rPr>
        <w:t xml:space="preserve"> impossível cogitar-se de constrangimento ilegal, porque ao reverso, tolhe-lhe o exercício da atividade que a lei acomete e de cuja implementação não pode se omitir. Se excesso ocorrer no desempenho de tal função, o </w:t>
      </w:r>
      <w:proofErr w:type="spellStart"/>
      <w:r w:rsidRPr="00641B1C">
        <w:rPr>
          <w:rFonts w:ascii="Times New Roman" w:hAnsi="Times New Roman" w:cs="Times New Roman"/>
        </w:rPr>
        <w:t>Parquet</w:t>
      </w:r>
      <w:proofErr w:type="spellEnd"/>
      <w:r w:rsidRPr="00641B1C">
        <w:rPr>
          <w:rFonts w:ascii="Times New Roman" w:hAnsi="Times New Roman" w:cs="Times New Roman"/>
        </w:rPr>
        <w:t xml:space="preserve"> ficará exposto à responsabilização administrativa" (TJSP – HC 436557-3/7, Bananal, 4.ª C, rel. Bittencourt Rodrigues – 04.11.2003, </w:t>
      </w:r>
      <w:proofErr w:type="spellStart"/>
      <w:r w:rsidRPr="00641B1C">
        <w:rPr>
          <w:rFonts w:ascii="Times New Roman" w:hAnsi="Times New Roman" w:cs="Times New Roman"/>
        </w:rPr>
        <w:t>v.u.</w:t>
      </w:r>
      <w:proofErr w:type="spellEnd"/>
      <w:r w:rsidRPr="00641B1C">
        <w:rPr>
          <w:rFonts w:ascii="Times New Roman" w:hAnsi="Times New Roman" w:cs="Times New Roman"/>
        </w:rPr>
        <w:t>, JUBI 93/04).</w:t>
      </w:r>
    </w:p>
    <w:p w:rsidR="00641B1C" w:rsidRPr="00641B1C" w:rsidRDefault="00641B1C" w:rsidP="00641B1C">
      <w:pPr>
        <w:spacing w:line="480" w:lineRule="auto"/>
        <w:ind w:left="2268"/>
        <w:jc w:val="both"/>
        <w:rPr>
          <w:rFonts w:ascii="Times New Roman" w:hAnsi="Times New Roman" w:cs="Times New Roman"/>
        </w:rPr>
      </w:pPr>
    </w:p>
    <w:p w:rsidR="00641B1C" w:rsidRDefault="00641B1C" w:rsidP="00641B1C">
      <w:pPr>
        <w:spacing w:line="360" w:lineRule="auto"/>
        <w:ind w:firstLine="708"/>
        <w:jc w:val="both"/>
        <w:rPr>
          <w:rFonts w:ascii="Times New Roman" w:hAnsi="Times New Roman" w:cs="Times New Roman"/>
          <w:sz w:val="24"/>
          <w:szCs w:val="24"/>
        </w:rPr>
      </w:pPr>
      <w:r w:rsidRPr="00641B1C">
        <w:rPr>
          <w:rFonts w:ascii="Times New Roman" w:hAnsi="Times New Roman" w:cs="Times New Roman"/>
          <w:sz w:val="24"/>
          <w:szCs w:val="24"/>
        </w:rPr>
        <w:t>Já o S</w:t>
      </w:r>
      <w:r w:rsidR="00587BE5">
        <w:rPr>
          <w:rFonts w:ascii="Times New Roman" w:hAnsi="Times New Roman" w:cs="Times New Roman"/>
          <w:sz w:val="24"/>
          <w:szCs w:val="24"/>
        </w:rPr>
        <w:t>upremo</w:t>
      </w:r>
      <w:r w:rsidRPr="00641B1C">
        <w:rPr>
          <w:rFonts w:ascii="Times New Roman" w:hAnsi="Times New Roman" w:cs="Times New Roman"/>
          <w:sz w:val="24"/>
          <w:szCs w:val="24"/>
        </w:rPr>
        <w:t xml:space="preserve"> Tribunal </w:t>
      </w:r>
      <w:r w:rsidR="00587BE5">
        <w:rPr>
          <w:rFonts w:ascii="Times New Roman" w:hAnsi="Times New Roman" w:cs="Times New Roman"/>
          <w:sz w:val="24"/>
          <w:szCs w:val="24"/>
        </w:rPr>
        <w:t>Federal</w:t>
      </w:r>
      <w:r w:rsidRPr="00641B1C">
        <w:rPr>
          <w:rFonts w:ascii="Times New Roman" w:hAnsi="Times New Roman" w:cs="Times New Roman"/>
          <w:sz w:val="24"/>
          <w:szCs w:val="24"/>
        </w:rPr>
        <w:t xml:space="preserve"> também já se mostrou favorável </w:t>
      </w:r>
      <w:r w:rsidR="004243D5">
        <w:rPr>
          <w:rFonts w:ascii="Times New Roman" w:hAnsi="Times New Roman" w:cs="Times New Roman"/>
          <w:sz w:val="24"/>
          <w:szCs w:val="24"/>
        </w:rPr>
        <w:t>ao</w:t>
      </w:r>
      <w:r w:rsidR="00587BE5">
        <w:rPr>
          <w:rFonts w:ascii="Times New Roman" w:hAnsi="Times New Roman" w:cs="Times New Roman"/>
          <w:sz w:val="24"/>
          <w:szCs w:val="24"/>
        </w:rPr>
        <w:t xml:space="preserve"> assunto em decisão datada de 2009</w:t>
      </w:r>
      <w:r w:rsidRPr="00641B1C">
        <w:rPr>
          <w:rFonts w:ascii="Times New Roman" w:hAnsi="Times New Roman" w:cs="Times New Roman"/>
          <w:sz w:val="24"/>
          <w:szCs w:val="24"/>
        </w:rPr>
        <w:t xml:space="preserve">, </w:t>
      </w:r>
      <w:r w:rsidR="00587BE5">
        <w:rPr>
          <w:rFonts w:ascii="Times New Roman" w:hAnsi="Times New Roman" w:cs="Times New Roman"/>
          <w:sz w:val="24"/>
          <w:szCs w:val="24"/>
        </w:rPr>
        <w:t xml:space="preserve">assim se pronunciou, </w:t>
      </w:r>
      <w:r w:rsidRPr="00641B1C">
        <w:rPr>
          <w:rFonts w:ascii="Times New Roman" w:hAnsi="Times New Roman" w:cs="Times New Roman"/>
          <w:sz w:val="24"/>
          <w:szCs w:val="24"/>
        </w:rPr>
        <w:t>sobre o assunto:</w:t>
      </w:r>
    </w:p>
    <w:p w:rsidR="00587BE5" w:rsidRPr="00587BE5" w:rsidRDefault="00587BE5" w:rsidP="00587BE5">
      <w:pPr>
        <w:spacing w:line="240" w:lineRule="auto"/>
        <w:ind w:left="2268"/>
        <w:jc w:val="both"/>
        <w:rPr>
          <w:rFonts w:ascii="Times New Roman" w:hAnsi="Times New Roman" w:cs="Times New Roman"/>
        </w:rPr>
      </w:pPr>
      <w:r w:rsidRPr="00587BE5">
        <w:rPr>
          <w:rFonts w:ascii="Times New Roman" w:hAnsi="Times New Roman" w:cs="Times New Roman"/>
        </w:rPr>
        <w:t>Ementa</w:t>
      </w:r>
      <w:r>
        <w:rPr>
          <w:rFonts w:ascii="Times New Roman" w:hAnsi="Times New Roman" w:cs="Times New Roman"/>
        </w:rPr>
        <w:t xml:space="preserve">: </w:t>
      </w:r>
      <w:r w:rsidRPr="00587BE5">
        <w:rPr>
          <w:rFonts w:ascii="Times New Roman" w:hAnsi="Times New Roman" w:cs="Times New Roman"/>
        </w:rPr>
        <w:t>"HABEAS CORPUS" - CRIME DE TORTURA ATRIBUÍDO A POLICIAL CIVIL - POSSIBILIDADE DE O MINISTÉRIO PÚBLICO, FUNDADO EM INVESTIGAÇÃO POR ELE PRÓPRIO PROMOVIDA, FORMULAR DENÚNCIA CONTRA REFERIDO AGENTE POLICIAL - VALIDADE JURÍDICA DESSA ATIVIDADE INVESTIGATÓRIA - CONDENAÇÃO PENAL IMPOSTA AO POLICIAL TORTURADOR - LEGITIMIDADE JURÍDICA DO PODER INVESTIGATÓRIO DO MINISTÉRIO PÚBLICO - MONOPÓLIO CONSTITUCIONAL DA TITULARIDADE DA AÇÃO PENAL PÚBLICA PELO "PARQUET" - TEORIA DOS PODERES IMPLÍCITOS - CASO "</w:t>
      </w:r>
      <w:proofErr w:type="spellStart"/>
      <w:r w:rsidRPr="00587BE5">
        <w:rPr>
          <w:rFonts w:ascii="Times New Roman" w:hAnsi="Times New Roman" w:cs="Times New Roman"/>
        </w:rPr>
        <w:t>McCULLOCH</w:t>
      </w:r>
      <w:proofErr w:type="spellEnd"/>
      <w:r w:rsidRPr="00587BE5">
        <w:rPr>
          <w:rFonts w:ascii="Times New Roman" w:hAnsi="Times New Roman" w:cs="Times New Roman"/>
        </w:rPr>
        <w:t xml:space="preserve"> v. MARYLAND" (1819) - MAGISTÉRIO DA DOUTRINA (RUI BARBOSA, JOHN MARSHALL, JOÃO BARBALHO, MARCELLO CAETANO, CASTRO NUNES, OSWALDO TRIGUEIRO, </w:t>
      </w:r>
      <w:proofErr w:type="spellStart"/>
      <w:r w:rsidRPr="00587BE5">
        <w:rPr>
          <w:rFonts w:ascii="Times New Roman" w:hAnsi="Times New Roman" w:cs="Times New Roman"/>
        </w:rPr>
        <w:t>v.g.</w:t>
      </w:r>
      <w:proofErr w:type="spellEnd"/>
      <w:r w:rsidRPr="00587BE5">
        <w:rPr>
          <w:rFonts w:ascii="Times New Roman" w:hAnsi="Times New Roman" w:cs="Times New Roman"/>
        </w:rPr>
        <w:t>) - OUTORGA, AO MINISTÉRIO PÚBLICO, PELA PRÓPRIA CONSTITUIÇÃO DA REPÚBLICA, DO PODER DE CONTROLE EXTERNO SOBRE A ATIVIDADE POLICIAL - LIMITAÇÕES DE ORDEM JURÍDICA AO PODER INVESTIGATÓRIO DO MINISTÉRIO PÚBLICO - "HABEAS CORPUS" INDEFERIDO. NAS HIPÓTESES DE AÇÃO PENAL PÚBLICA, O INQUÉRITO POLICIAL, QUE CONSTITUI UM DOS DIVERSOS INSTRUMENTOS ESTATAIS DE INVESTIGAÇÃO PENAL, TEM POR DESTINATÁRIO PRECÍPUO O MINISTÉRIO PÚBLICO</w:t>
      </w:r>
      <w:r w:rsidR="00900F7B">
        <w:rPr>
          <w:rFonts w:ascii="Times New Roman" w:hAnsi="Times New Roman" w:cs="Times New Roman"/>
        </w:rPr>
        <w:t>.</w:t>
      </w:r>
    </w:p>
    <w:p w:rsidR="00587BE5" w:rsidRPr="00587BE5" w:rsidRDefault="00587BE5" w:rsidP="00587BE5">
      <w:pPr>
        <w:spacing w:line="240" w:lineRule="auto"/>
        <w:ind w:left="2268"/>
        <w:jc w:val="both"/>
        <w:rPr>
          <w:rFonts w:ascii="Times New Roman" w:hAnsi="Times New Roman" w:cs="Times New Roman"/>
        </w:rPr>
      </w:pPr>
      <w:r w:rsidRPr="00587BE5">
        <w:rPr>
          <w:rFonts w:ascii="Times New Roman" w:hAnsi="Times New Roman" w:cs="Times New Roman"/>
        </w:rPr>
        <w:t xml:space="preserve">- O inquérito policial qualifica-se como procedimento administrativo, de caráter pré-processual, ordinariamente </w:t>
      </w:r>
      <w:proofErr w:type="spellStart"/>
      <w:r w:rsidRPr="00587BE5">
        <w:rPr>
          <w:rFonts w:ascii="Times New Roman" w:hAnsi="Times New Roman" w:cs="Times New Roman"/>
        </w:rPr>
        <w:t>vocacionado</w:t>
      </w:r>
      <w:proofErr w:type="spellEnd"/>
      <w:r w:rsidRPr="00587BE5">
        <w:rPr>
          <w:rFonts w:ascii="Times New Roman" w:hAnsi="Times New Roman" w:cs="Times New Roman"/>
        </w:rPr>
        <w:t xml:space="preserve"> a subsidiar, nos casos de infrações </w:t>
      </w:r>
      <w:proofErr w:type="spellStart"/>
      <w:r w:rsidRPr="00587BE5">
        <w:rPr>
          <w:rFonts w:ascii="Times New Roman" w:hAnsi="Times New Roman" w:cs="Times New Roman"/>
        </w:rPr>
        <w:t>perseguíveis</w:t>
      </w:r>
      <w:proofErr w:type="spellEnd"/>
      <w:r w:rsidRPr="00587BE5">
        <w:rPr>
          <w:rFonts w:ascii="Times New Roman" w:hAnsi="Times New Roman" w:cs="Times New Roman"/>
        </w:rPr>
        <w:t xml:space="preserve"> mediante ação penal de iniciativa pública, a atuação persecutória do Ministério Público, que é o verdadeiro destinatário dos elementos que compõem a "</w:t>
      </w:r>
      <w:proofErr w:type="spellStart"/>
      <w:r w:rsidRPr="00587BE5">
        <w:rPr>
          <w:rFonts w:ascii="Times New Roman" w:hAnsi="Times New Roman" w:cs="Times New Roman"/>
        </w:rPr>
        <w:t>informatio</w:t>
      </w:r>
      <w:proofErr w:type="spellEnd"/>
      <w:r w:rsidRPr="00587BE5">
        <w:rPr>
          <w:rFonts w:ascii="Times New Roman" w:hAnsi="Times New Roman" w:cs="Times New Roman"/>
        </w:rPr>
        <w:t xml:space="preserve"> </w:t>
      </w:r>
      <w:proofErr w:type="spellStart"/>
      <w:r w:rsidRPr="00587BE5">
        <w:rPr>
          <w:rFonts w:ascii="Times New Roman" w:hAnsi="Times New Roman" w:cs="Times New Roman"/>
        </w:rPr>
        <w:t>delicti</w:t>
      </w:r>
      <w:proofErr w:type="spellEnd"/>
      <w:r w:rsidRPr="00587BE5">
        <w:rPr>
          <w:rFonts w:ascii="Times New Roman" w:hAnsi="Times New Roman" w:cs="Times New Roman"/>
        </w:rPr>
        <w:t>". Precedentes</w:t>
      </w:r>
      <w:r>
        <w:rPr>
          <w:rFonts w:ascii="Times New Roman" w:hAnsi="Times New Roman" w:cs="Times New Roman"/>
        </w:rPr>
        <w:t>.</w:t>
      </w:r>
    </w:p>
    <w:p w:rsidR="00587BE5" w:rsidRPr="00587BE5" w:rsidRDefault="00587BE5" w:rsidP="00587BE5">
      <w:pPr>
        <w:spacing w:line="240" w:lineRule="auto"/>
        <w:ind w:left="2268"/>
        <w:jc w:val="both"/>
        <w:rPr>
          <w:rFonts w:ascii="Times New Roman" w:hAnsi="Times New Roman" w:cs="Times New Roman"/>
        </w:rPr>
      </w:pPr>
      <w:r w:rsidRPr="00587BE5">
        <w:rPr>
          <w:rFonts w:ascii="Times New Roman" w:hAnsi="Times New Roman" w:cs="Times New Roman"/>
        </w:rPr>
        <w:lastRenderedPageBreak/>
        <w:t>- A investigação penal, quando realizada por organismos policiais, será sempre dirigida por autoridade policial, a quem igualmente competirá exercer, com exclusividade, a presidência do respectivo inquérito</w:t>
      </w:r>
      <w:r>
        <w:rPr>
          <w:rFonts w:ascii="Times New Roman" w:hAnsi="Times New Roman" w:cs="Times New Roman"/>
        </w:rPr>
        <w:t>.</w:t>
      </w:r>
    </w:p>
    <w:p w:rsidR="00587BE5" w:rsidRPr="00587BE5" w:rsidRDefault="00587BE5" w:rsidP="00587BE5">
      <w:pPr>
        <w:spacing w:line="240" w:lineRule="auto"/>
        <w:ind w:left="2268"/>
        <w:jc w:val="both"/>
        <w:rPr>
          <w:rFonts w:ascii="Times New Roman" w:hAnsi="Times New Roman" w:cs="Times New Roman"/>
        </w:rPr>
      </w:pPr>
      <w:r w:rsidRPr="00587BE5">
        <w:rPr>
          <w:rFonts w:ascii="Times New Roman" w:hAnsi="Times New Roman" w:cs="Times New Roman"/>
        </w:rPr>
        <w:t>- A outorga constitucional de funções de polícia judiciária à instituição policial não impede nem exclui a possibilidade de o Ministério Público, que é o "</w:t>
      </w:r>
      <w:proofErr w:type="spellStart"/>
      <w:r w:rsidRPr="00587BE5">
        <w:rPr>
          <w:rFonts w:ascii="Times New Roman" w:hAnsi="Times New Roman" w:cs="Times New Roman"/>
        </w:rPr>
        <w:t>dominus</w:t>
      </w:r>
      <w:proofErr w:type="spellEnd"/>
      <w:r w:rsidRPr="00587BE5">
        <w:rPr>
          <w:rFonts w:ascii="Times New Roman" w:hAnsi="Times New Roman" w:cs="Times New Roman"/>
        </w:rPr>
        <w:t xml:space="preserve"> </w:t>
      </w:r>
      <w:proofErr w:type="spellStart"/>
      <w:r w:rsidRPr="00587BE5">
        <w:rPr>
          <w:rFonts w:ascii="Times New Roman" w:hAnsi="Times New Roman" w:cs="Times New Roman"/>
        </w:rPr>
        <w:t>litis</w:t>
      </w:r>
      <w:proofErr w:type="spellEnd"/>
      <w:r w:rsidRPr="00587BE5">
        <w:rPr>
          <w:rFonts w:ascii="Times New Roman" w:hAnsi="Times New Roman" w:cs="Times New Roman"/>
        </w:rPr>
        <w:t xml:space="preserve">", determinar a abertura de inquéritos policiais, requisitar esclarecimentos e diligências investigatórias, estar presente e acompanhar, junto a órgãos e agentes policiais, quaisquer atos de investigação penal, mesmo aqueles </w:t>
      </w:r>
      <w:proofErr w:type="gramStart"/>
      <w:r w:rsidRPr="00587BE5">
        <w:rPr>
          <w:rFonts w:ascii="Times New Roman" w:hAnsi="Times New Roman" w:cs="Times New Roman"/>
        </w:rPr>
        <w:t>sob regime</w:t>
      </w:r>
      <w:proofErr w:type="gramEnd"/>
      <w:r w:rsidRPr="00587BE5">
        <w:rPr>
          <w:rFonts w:ascii="Times New Roman" w:hAnsi="Times New Roman" w:cs="Times New Roman"/>
        </w:rPr>
        <w:t xml:space="preserve"> de sigilo, sem prejuízo de outras medidas que lhe pareçam indispensáveis à formação da sua "</w:t>
      </w:r>
      <w:proofErr w:type="spellStart"/>
      <w:r w:rsidRPr="00587BE5">
        <w:rPr>
          <w:rFonts w:ascii="Times New Roman" w:hAnsi="Times New Roman" w:cs="Times New Roman"/>
        </w:rPr>
        <w:t>opinio</w:t>
      </w:r>
      <w:proofErr w:type="spellEnd"/>
      <w:r w:rsidRPr="00587BE5">
        <w:rPr>
          <w:rFonts w:ascii="Times New Roman" w:hAnsi="Times New Roman" w:cs="Times New Roman"/>
        </w:rPr>
        <w:t xml:space="preserve"> </w:t>
      </w:r>
      <w:proofErr w:type="spellStart"/>
      <w:r w:rsidRPr="00587BE5">
        <w:rPr>
          <w:rFonts w:ascii="Times New Roman" w:hAnsi="Times New Roman" w:cs="Times New Roman"/>
        </w:rPr>
        <w:t>delicti</w:t>
      </w:r>
      <w:proofErr w:type="spellEnd"/>
      <w:r w:rsidRPr="00587BE5">
        <w:rPr>
          <w:rFonts w:ascii="Times New Roman" w:hAnsi="Times New Roman" w:cs="Times New Roman"/>
        </w:rPr>
        <w:t>", sendo-lhe vedado, no entanto, assumir a presidência do inquérito policial, que traduz atribuição privativa da autoridade policial. Precedentes. A ACUSAÇÃO PENAL, PARA SER FORMULADA, NÃO DEPENDE, NECESSARIAMENTE, DE PRÉVIA INSTAURAÇÃO DE INQUÉRITO POLICIAL</w:t>
      </w:r>
      <w:r>
        <w:rPr>
          <w:rFonts w:ascii="Times New Roman" w:hAnsi="Times New Roman" w:cs="Times New Roman"/>
        </w:rPr>
        <w:t>.</w:t>
      </w:r>
    </w:p>
    <w:p w:rsidR="00587BE5" w:rsidRPr="00587BE5" w:rsidRDefault="00587BE5" w:rsidP="00587BE5">
      <w:pPr>
        <w:spacing w:line="240" w:lineRule="auto"/>
        <w:ind w:left="2268"/>
        <w:jc w:val="both"/>
        <w:rPr>
          <w:rFonts w:ascii="Times New Roman" w:hAnsi="Times New Roman" w:cs="Times New Roman"/>
        </w:rPr>
      </w:pPr>
      <w:r w:rsidRPr="00587BE5">
        <w:rPr>
          <w:rFonts w:ascii="Times New Roman" w:hAnsi="Times New Roman" w:cs="Times New Roman"/>
        </w:rPr>
        <w:t xml:space="preserve"> - Ainda que inexista qualquer investigação penal promovida pela Polícia Judiciária, o Ministério Público, mesmo assim, pode fazer instaurar, validamente, a pertinente "</w:t>
      </w:r>
      <w:proofErr w:type="spellStart"/>
      <w:r w:rsidRPr="00587BE5">
        <w:rPr>
          <w:rFonts w:ascii="Times New Roman" w:hAnsi="Times New Roman" w:cs="Times New Roman"/>
        </w:rPr>
        <w:t>persecutio</w:t>
      </w:r>
      <w:proofErr w:type="spellEnd"/>
      <w:r w:rsidRPr="00587BE5">
        <w:rPr>
          <w:rFonts w:ascii="Times New Roman" w:hAnsi="Times New Roman" w:cs="Times New Roman"/>
        </w:rPr>
        <w:t xml:space="preserve"> </w:t>
      </w:r>
      <w:proofErr w:type="spellStart"/>
      <w:r w:rsidRPr="00587BE5">
        <w:rPr>
          <w:rFonts w:ascii="Times New Roman" w:hAnsi="Times New Roman" w:cs="Times New Roman"/>
        </w:rPr>
        <w:t>criminis</w:t>
      </w:r>
      <w:proofErr w:type="spellEnd"/>
      <w:r w:rsidRPr="00587BE5">
        <w:rPr>
          <w:rFonts w:ascii="Times New Roman" w:hAnsi="Times New Roman" w:cs="Times New Roman"/>
        </w:rPr>
        <w:t xml:space="preserve"> in </w:t>
      </w:r>
      <w:proofErr w:type="spellStart"/>
      <w:r w:rsidRPr="00587BE5">
        <w:rPr>
          <w:rFonts w:ascii="Times New Roman" w:hAnsi="Times New Roman" w:cs="Times New Roman"/>
        </w:rPr>
        <w:t>judicio</w:t>
      </w:r>
      <w:proofErr w:type="spellEnd"/>
      <w:r w:rsidRPr="00587BE5">
        <w:rPr>
          <w:rFonts w:ascii="Times New Roman" w:hAnsi="Times New Roman" w:cs="Times New Roman"/>
        </w:rPr>
        <w:t>", desde que disponha, para tanto, de elementos mínimos de informação, fundados em base empírica idônea, que o habilitem a deduzir, perante juízes e Tribunais, a acusação penal. Doutrina. Precedentes. A QUESTÃO DA CLÁUSULA CONSTITUCIONAL DE EXCLUSIVIDADE E A ATIVIDADE INVESTIGATÓRIA</w:t>
      </w:r>
      <w:r>
        <w:rPr>
          <w:rFonts w:ascii="Times New Roman" w:hAnsi="Times New Roman" w:cs="Times New Roman"/>
        </w:rPr>
        <w:t>.</w:t>
      </w:r>
    </w:p>
    <w:p w:rsidR="00587BE5" w:rsidRPr="00587BE5" w:rsidRDefault="00587BE5" w:rsidP="00587BE5">
      <w:pPr>
        <w:spacing w:line="240" w:lineRule="auto"/>
        <w:ind w:left="2268"/>
        <w:jc w:val="both"/>
        <w:rPr>
          <w:rFonts w:ascii="Times New Roman" w:hAnsi="Times New Roman" w:cs="Times New Roman"/>
        </w:rPr>
      </w:pPr>
      <w:r w:rsidRPr="00587BE5">
        <w:rPr>
          <w:rFonts w:ascii="Times New Roman" w:hAnsi="Times New Roman" w:cs="Times New Roman"/>
        </w:rPr>
        <w:t xml:space="preserve"> - A cláusula de exclusividade inscrita no art. 144, § 1º, inciso IV, da Constituição da República - que não inibe a atividade de investigação criminal do Ministério Público - tem por única finalidade conferir à Polícia Federal, dentre os diversos organismos policiais que compõem o aparato repressivo da União Federal (polícia federal, polícia rodoviária federal e polícia ferroviária federal), primazia investigatória na apuração dos crimes previstos no próprio texto da Lei Fundamental ou, ainda, em tratados ou convenções internacionais</w:t>
      </w:r>
      <w:r>
        <w:rPr>
          <w:rFonts w:ascii="Times New Roman" w:hAnsi="Times New Roman" w:cs="Times New Roman"/>
        </w:rPr>
        <w:t>.</w:t>
      </w:r>
    </w:p>
    <w:p w:rsidR="00587BE5" w:rsidRPr="00587BE5" w:rsidRDefault="00587BE5" w:rsidP="00587BE5">
      <w:pPr>
        <w:spacing w:line="240" w:lineRule="auto"/>
        <w:ind w:left="2268"/>
        <w:jc w:val="both"/>
        <w:rPr>
          <w:rFonts w:ascii="Times New Roman" w:hAnsi="Times New Roman" w:cs="Times New Roman"/>
        </w:rPr>
      </w:pPr>
      <w:r w:rsidRPr="00587BE5">
        <w:rPr>
          <w:rFonts w:ascii="Times New Roman" w:hAnsi="Times New Roman" w:cs="Times New Roman"/>
        </w:rPr>
        <w:t>- Incumbe, à Polícia Civil dos Estados-membros e do Distrito Federal, ressalvada a competência da União Federal e excetuada a apuração dos crimes militares, a função de proceder à investigação dos ilícitos penais (crimes e contravenções), sem prejuízo do poder investigatório de que dispõe, como atividade subsidiária, o Ministério Público</w:t>
      </w:r>
      <w:r>
        <w:rPr>
          <w:rFonts w:ascii="Times New Roman" w:hAnsi="Times New Roman" w:cs="Times New Roman"/>
        </w:rPr>
        <w:t>.</w:t>
      </w:r>
    </w:p>
    <w:p w:rsidR="00587BE5" w:rsidRPr="00587BE5" w:rsidRDefault="00587BE5" w:rsidP="00587BE5">
      <w:pPr>
        <w:spacing w:line="240" w:lineRule="auto"/>
        <w:ind w:left="2268"/>
        <w:jc w:val="both"/>
        <w:rPr>
          <w:rFonts w:ascii="Times New Roman" w:hAnsi="Times New Roman" w:cs="Times New Roman"/>
        </w:rPr>
      </w:pPr>
      <w:r w:rsidRPr="00587BE5">
        <w:rPr>
          <w:rFonts w:ascii="Times New Roman" w:hAnsi="Times New Roman" w:cs="Times New Roman"/>
        </w:rPr>
        <w:t>- Função de polícia judiciária e função de investigação penal: uma distinção conceitual relevante, que também justifica o reconhecimento, ao Ministério Público, do poder investigatório em matéria penal. Doutrina. É PLENA A LEGITIMIDADE CONSTITUCIONAL DO PODER DE INVESTIGAR DO MINISTÉRIO PÚBLICO, POIS OS ORGANISMOS POLICIAIS (EMBORA DETENTORES DA FUNÇÃO DE POLÍCIA JUDICIÁRIA) NÃO TÊM, NO SISTEMA JURÍDICO BRASILEIRO, O MONOPÓLIO DA COMPETÊNCIA PENAL INVESTIGATÓRIA</w:t>
      </w:r>
      <w:r>
        <w:rPr>
          <w:rFonts w:ascii="Times New Roman" w:hAnsi="Times New Roman" w:cs="Times New Roman"/>
        </w:rPr>
        <w:t>.</w:t>
      </w:r>
    </w:p>
    <w:p w:rsidR="00587BE5" w:rsidRPr="00587BE5" w:rsidRDefault="00587BE5" w:rsidP="00587BE5">
      <w:pPr>
        <w:spacing w:line="240" w:lineRule="auto"/>
        <w:ind w:left="2268"/>
        <w:jc w:val="both"/>
        <w:rPr>
          <w:rFonts w:ascii="Times New Roman" w:hAnsi="Times New Roman" w:cs="Times New Roman"/>
        </w:rPr>
      </w:pPr>
      <w:r w:rsidRPr="00587BE5">
        <w:rPr>
          <w:rFonts w:ascii="Times New Roman" w:hAnsi="Times New Roman" w:cs="Times New Roman"/>
        </w:rPr>
        <w:t>- O poder de investigar compõe, em sede penal, o complexo de funções institucionais do Ministério Público, que dispõe, na condição de "</w:t>
      </w:r>
      <w:proofErr w:type="spellStart"/>
      <w:r w:rsidRPr="00587BE5">
        <w:rPr>
          <w:rFonts w:ascii="Times New Roman" w:hAnsi="Times New Roman" w:cs="Times New Roman"/>
        </w:rPr>
        <w:t>dominus</w:t>
      </w:r>
      <w:proofErr w:type="spellEnd"/>
      <w:r w:rsidRPr="00587BE5">
        <w:rPr>
          <w:rFonts w:ascii="Times New Roman" w:hAnsi="Times New Roman" w:cs="Times New Roman"/>
        </w:rPr>
        <w:t xml:space="preserve"> </w:t>
      </w:r>
      <w:proofErr w:type="spellStart"/>
      <w:r w:rsidRPr="00587BE5">
        <w:rPr>
          <w:rFonts w:ascii="Times New Roman" w:hAnsi="Times New Roman" w:cs="Times New Roman"/>
        </w:rPr>
        <w:t>litis</w:t>
      </w:r>
      <w:proofErr w:type="spellEnd"/>
      <w:r w:rsidRPr="00587BE5">
        <w:rPr>
          <w:rFonts w:ascii="Times New Roman" w:hAnsi="Times New Roman" w:cs="Times New Roman"/>
        </w:rPr>
        <w:t xml:space="preserve">" e, também, como expressão de sua competência para exercer o controle externo da atividade policial, da atribuição de fazer instaurar, ainda que em caráter subsidiário, mas por autoridade própria e sob sua direção, procedimentos de investigação penal destinados a viabilizar a obtenção de </w:t>
      </w:r>
      <w:r w:rsidRPr="00587BE5">
        <w:rPr>
          <w:rFonts w:ascii="Times New Roman" w:hAnsi="Times New Roman" w:cs="Times New Roman"/>
        </w:rPr>
        <w:lastRenderedPageBreak/>
        <w:t>dados informativos, de subsídios probatórios e de elementos de convicção que lhe permitam formar a "</w:t>
      </w:r>
      <w:proofErr w:type="spellStart"/>
      <w:r w:rsidRPr="00587BE5">
        <w:rPr>
          <w:rFonts w:ascii="Times New Roman" w:hAnsi="Times New Roman" w:cs="Times New Roman"/>
        </w:rPr>
        <w:t>opinio</w:t>
      </w:r>
      <w:proofErr w:type="spellEnd"/>
      <w:r w:rsidRPr="00587BE5">
        <w:rPr>
          <w:rFonts w:ascii="Times New Roman" w:hAnsi="Times New Roman" w:cs="Times New Roman"/>
        </w:rPr>
        <w:t xml:space="preserve"> </w:t>
      </w:r>
      <w:proofErr w:type="spellStart"/>
      <w:r w:rsidRPr="00587BE5">
        <w:rPr>
          <w:rFonts w:ascii="Times New Roman" w:hAnsi="Times New Roman" w:cs="Times New Roman"/>
        </w:rPr>
        <w:t>delicti</w:t>
      </w:r>
      <w:proofErr w:type="spellEnd"/>
      <w:r w:rsidRPr="00587BE5">
        <w:rPr>
          <w:rFonts w:ascii="Times New Roman" w:hAnsi="Times New Roman" w:cs="Times New Roman"/>
        </w:rPr>
        <w:t>", em ordem a propiciar eventual ajuizamento da ação penal de iniciativa pública. Doutrina. Precedentes. CONTROLE JURISDICIONAL DA ATIVIDADE INVESTIGATÓRIA DOS MEMBROS DO MINISTÉRIO PÚBLICO: OPONIBILIDADE, A ESTES, DO SISTEMA DE DIREITOS E GARANTIAS INDIVIDUAIS, QUANDO EXERCIDO, PELO "PARQUET", O PODER DE INVESTIGAÇÃO PENAL</w:t>
      </w:r>
      <w:r>
        <w:rPr>
          <w:rFonts w:ascii="Times New Roman" w:hAnsi="Times New Roman" w:cs="Times New Roman"/>
        </w:rPr>
        <w:t>.</w:t>
      </w:r>
    </w:p>
    <w:p w:rsidR="00587BE5" w:rsidRPr="00587BE5" w:rsidRDefault="00587BE5" w:rsidP="00587BE5">
      <w:pPr>
        <w:spacing w:line="240" w:lineRule="auto"/>
        <w:ind w:left="2268"/>
        <w:jc w:val="both"/>
        <w:rPr>
          <w:rFonts w:ascii="Times New Roman" w:hAnsi="Times New Roman" w:cs="Times New Roman"/>
        </w:rPr>
      </w:pPr>
      <w:r w:rsidRPr="00587BE5">
        <w:rPr>
          <w:rFonts w:ascii="Times New Roman" w:hAnsi="Times New Roman" w:cs="Times New Roman"/>
        </w:rPr>
        <w:t xml:space="preserve">- O Ministério Público, sem prejuízo da fiscalização intra--orgânica e daquela desempenhada pelo Conselho Nacional do Ministério Público, está permanentemente sujeito ao controle jurisdicional dos atos que pratique no âmbito das investigações penais que promova "ex </w:t>
      </w:r>
      <w:proofErr w:type="spellStart"/>
      <w:r w:rsidRPr="00587BE5">
        <w:rPr>
          <w:rFonts w:ascii="Times New Roman" w:hAnsi="Times New Roman" w:cs="Times New Roman"/>
        </w:rPr>
        <w:t>propria</w:t>
      </w:r>
      <w:proofErr w:type="spellEnd"/>
      <w:r w:rsidRPr="00587BE5">
        <w:rPr>
          <w:rFonts w:ascii="Times New Roman" w:hAnsi="Times New Roman" w:cs="Times New Roman"/>
        </w:rPr>
        <w:t xml:space="preserve"> </w:t>
      </w:r>
      <w:proofErr w:type="spellStart"/>
      <w:r w:rsidRPr="00587BE5">
        <w:rPr>
          <w:rFonts w:ascii="Times New Roman" w:hAnsi="Times New Roman" w:cs="Times New Roman"/>
        </w:rPr>
        <w:t>auctoritate</w:t>
      </w:r>
      <w:proofErr w:type="spellEnd"/>
      <w:r w:rsidRPr="00587BE5">
        <w:rPr>
          <w:rFonts w:ascii="Times New Roman" w:hAnsi="Times New Roman" w:cs="Times New Roman"/>
        </w:rPr>
        <w:t>", não podendo, dentre outras limitações de ordem jurídica, desrespeitar o direito do investigado ao silêncio ("</w:t>
      </w:r>
      <w:proofErr w:type="spellStart"/>
      <w:proofErr w:type="gramStart"/>
      <w:r w:rsidRPr="00587BE5">
        <w:rPr>
          <w:rFonts w:ascii="Times New Roman" w:hAnsi="Times New Roman" w:cs="Times New Roman"/>
        </w:rPr>
        <w:t>nemo</w:t>
      </w:r>
      <w:proofErr w:type="spellEnd"/>
      <w:proofErr w:type="gramEnd"/>
      <w:r w:rsidRPr="00587BE5">
        <w:rPr>
          <w:rFonts w:ascii="Times New Roman" w:hAnsi="Times New Roman" w:cs="Times New Roman"/>
        </w:rPr>
        <w:t xml:space="preserve"> </w:t>
      </w:r>
      <w:proofErr w:type="spellStart"/>
      <w:r w:rsidRPr="00587BE5">
        <w:rPr>
          <w:rFonts w:ascii="Times New Roman" w:hAnsi="Times New Roman" w:cs="Times New Roman"/>
        </w:rPr>
        <w:t>tenetur</w:t>
      </w:r>
      <w:proofErr w:type="spellEnd"/>
      <w:r w:rsidRPr="00587BE5">
        <w:rPr>
          <w:rFonts w:ascii="Times New Roman" w:hAnsi="Times New Roman" w:cs="Times New Roman"/>
        </w:rPr>
        <w:t xml:space="preserve"> se </w:t>
      </w:r>
      <w:proofErr w:type="spellStart"/>
      <w:r w:rsidRPr="00587BE5">
        <w:rPr>
          <w:rFonts w:ascii="Times New Roman" w:hAnsi="Times New Roman" w:cs="Times New Roman"/>
        </w:rPr>
        <w:t>detegere</w:t>
      </w:r>
      <w:proofErr w:type="spellEnd"/>
      <w:r w:rsidRPr="00587BE5">
        <w:rPr>
          <w:rFonts w:ascii="Times New Roman" w:hAnsi="Times New Roman" w:cs="Times New Roman"/>
        </w:rPr>
        <w:t xml:space="preserve">"), nem lhe ordenar a condução coercitiva, nem constrangê-lo a produzir prova contra si próprio, nem lhe recusar o conhecimento das razões motivadoras do procedimento investigatório, nem submetê-lo a medidas sujeitas à reserva constitucional de jurisdição, nem impedi-lo de fazer-se acompanhar de Advogado, nem impor, a este, indevidas restrições ao regular desempenho de suas prerrogativas profissionais (Lei nº 8.906/94, art. 7º, </w:t>
      </w:r>
      <w:proofErr w:type="spellStart"/>
      <w:r w:rsidRPr="00587BE5">
        <w:rPr>
          <w:rFonts w:ascii="Times New Roman" w:hAnsi="Times New Roman" w:cs="Times New Roman"/>
        </w:rPr>
        <w:t>v.g.</w:t>
      </w:r>
      <w:proofErr w:type="spellEnd"/>
      <w:r w:rsidRPr="00587BE5">
        <w:rPr>
          <w:rFonts w:ascii="Times New Roman" w:hAnsi="Times New Roman" w:cs="Times New Roman"/>
        </w:rPr>
        <w:t>)</w:t>
      </w:r>
      <w:r>
        <w:rPr>
          <w:rFonts w:ascii="Times New Roman" w:hAnsi="Times New Roman" w:cs="Times New Roman"/>
        </w:rPr>
        <w:t>.</w:t>
      </w:r>
    </w:p>
    <w:p w:rsidR="00587BE5" w:rsidRPr="00587BE5" w:rsidRDefault="00587BE5" w:rsidP="00587BE5">
      <w:pPr>
        <w:spacing w:line="240" w:lineRule="auto"/>
        <w:ind w:left="2268"/>
        <w:jc w:val="both"/>
        <w:rPr>
          <w:rFonts w:ascii="Times New Roman" w:hAnsi="Times New Roman" w:cs="Times New Roman"/>
        </w:rPr>
      </w:pPr>
      <w:r w:rsidRPr="00587BE5">
        <w:rPr>
          <w:rFonts w:ascii="Times New Roman" w:hAnsi="Times New Roman" w:cs="Times New Roman"/>
        </w:rPr>
        <w:t>- O procedimento investigatório instaurado pelo Ministério Público deverá conter todas as peças, termos de declarações ou depoimentos, laudos periciais e demais subsídios probatórios coligidos no curso da investigação, não podendo, o "</w:t>
      </w:r>
      <w:proofErr w:type="spellStart"/>
      <w:r w:rsidRPr="00587BE5">
        <w:rPr>
          <w:rFonts w:ascii="Times New Roman" w:hAnsi="Times New Roman" w:cs="Times New Roman"/>
        </w:rPr>
        <w:t>Parquet</w:t>
      </w:r>
      <w:proofErr w:type="spellEnd"/>
      <w:r w:rsidRPr="00587BE5">
        <w:rPr>
          <w:rFonts w:ascii="Times New Roman" w:hAnsi="Times New Roman" w:cs="Times New Roman"/>
        </w:rPr>
        <w:t xml:space="preserve">", sonegar, selecionar ou deixar de juntar, aos autos, quaisquer desses elementos de informação, cujo conteúdo, por referir-se ao objeto da apuração penal, deve ser tornado acessível tanto à pessoa </w:t>
      </w:r>
      <w:proofErr w:type="gramStart"/>
      <w:r w:rsidRPr="00587BE5">
        <w:rPr>
          <w:rFonts w:ascii="Times New Roman" w:hAnsi="Times New Roman" w:cs="Times New Roman"/>
        </w:rPr>
        <w:t>sob investigação</w:t>
      </w:r>
      <w:proofErr w:type="gramEnd"/>
      <w:r w:rsidRPr="00587BE5">
        <w:rPr>
          <w:rFonts w:ascii="Times New Roman" w:hAnsi="Times New Roman" w:cs="Times New Roman"/>
        </w:rPr>
        <w:t xml:space="preserve"> quanto ao seu Advogado</w:t>
      </w:r>
      <w:r>
        <w:rPr>
          <w:rFonts w:ascii="Times New Roman" w:hAnsi="Times New Roman" w:cs="Times New Roman"/>
        </w:rPr>
        <w:t>.</w:t>
      </w:r>
    </w:p>
    <w:p w:rsidR="00587BE5" w:rsidRPr="00587BE5" w:rsidRDefault="00587BE5" w:rsidP="00587BE5">
      <w:pPr>
        <w:spacing w:line="240" w:lineRule="auto"/>
        <w:ind w:left="2268"/>
        <w:jc w:val="both"/>
        <w:rPr>
          <w:rFonts w:ascii="Times New Roman" w:hAnsi="Times New Roman" w:cs="Times New Roman"/>
        </w:rPr>
      </w:pPr>
      <w:r w:rsidRPr="00587BE5">
        <w:rPr>
          <w:rFonts w:ascii="Times New Roman" w:hAnsi="Times New Roman" w:cs="Times New Roman"/>
        </w:rPr>
        <w:t>- O regime de sigilo, sempre excepcional, eventualmente prevalecente no contexto de investigação penal promovida pelo Ministério Público, não se revelará oponível ao investigado e ao Advogado por este constituído, que terão direito de acesso - considerado o princípio da comunhão das provas - a todos os elementos de informação que já tenham sido formalmente incorporados aos autos do respectivo procedimento investigatório.</w:t>
      </w:r>
    </w:p>
    <w:p w:rsidR="00641B1C" w:rsidRDefault="00587BE5" w:rsidP="00587BE5">
      <w:pPr>
        <w:spacing w:line="240" w:lineRule="auto"/>
        <w:ind w:left="2268"/>
        <w:jc w:val="both"/>
        <w:rPr>
          <w:rFonts w:ascii="Times New Roman" w:hAnsi="Times New Roman" w:cs="Times New Roman"/>
        </w:rPr>
      </w:pPr>
      <w:r w:rsidRPr="00587BE5">
        <w:rPr>
          <w:rFonts w:ascii="Times New Roman" w:hAnsi="Times New Roman" w:cs="Times New Roman"/>
        </w:rPr>
        <w:t>Decisão</w:t>
      </w:r>
      <w:r>
        <w:rPr>
          <w:rFonts w:ascii="Times New Roman" w:hAnsi="Times New Roman" w:cs="Times New Roman"/>
        </w:rPr>
        <w:t xml:space="preserve">: </w:t>
      </w:r>
      <w:r w:rsidRPr="00587BE5">
        <w:rPr>
          <w:rFonts w:ascii="Times New Roman" w:hAnsi="Times New Roman" w:cs="Times New Roman"/>
        </w:rPr>
        <w:t xml:space="preserve">A Turma, à unanimidade, indeferiu o pedido de habeas corpus, nos termos do voto do Relator. Falou, pelo Ministério Público Federal, o Dr. Wagner Gonçalves. Ausente, justificadamente, neste julgamento, </w:t>
      </w:r>
      <w:proofErr w:type="gramStart"/>
      <w:r w:rsidRPr="00587BE5">
        <w:rPr>
          <w:rFonts w:ascii="Times New Roman" w:hAnsi="Times New Roman" w:cs="Times New Roman"/>
        </w:rPr>
        <w:t>o Senhor Ministro</w:t>
      </w:r>
      <w:proofErr w:type="gramEnd"/>
      <w:r w:rsidRPr="00587BE5">
        <w:rPr>
          <w:rFonts w:ascii="Times New Roman" w:hAnsi="Times New Roman" w:cs="Times New Roman"/>
        </w:rPr>
        <w:t xml:space="preserve"> Cezar </w:t>
      </w:r>
      <w:proofErr w:type="spellStart"/>
      <w:r w:rsidRPr="00587BE5">
        <w:rPr>
          <w:rFonts w:ascii="Times New Roman" w:hAnsi="Times New Roman" w:cs="Times New Roman"/>
        </w:rPr>
        <w:t>Peluso</w:t>
      </w:r>
      <w:proofErr w:type="spellEnd"/>
      <w:r w:rsidRPr="00587BE5">
        <w:rPr>
          <w:rFonts w:ascii="Times New Roman" w:hAnsi="Times New Roman" w:cs="Times New Roman"/>
        </w:rPr>
        <w:t>. 2ª Turma, 20.10.2009</w:t>
      </w:r>
      <w:r>
        <w:rPr>
          <w:rFonts w:ascii="Times New Roman" w:hAnsi="Times New Roman" w:cs="Times New Roman"/>
        </w:rPr>
        <w:t xml:space="preserve"> (HC89837)</w:t>
      </w:r>
      <w:r w:rsidRPr="00587BE5">
        <w:rPr>
          <w:rFonts w:ascii="Times New Roman" w:hAnsi="Times New Roman" w:cs="Times New Roman"/>
        </w:rPr>
        <w:t>.</w:t>
      </w:r>
    </w:p>
    <w:p w:rsidR="00587BE5" w:rsidRPr="00587BE5" w:rsidRDefault="00587BE5" w:rsidP="00587BE5">
      <w:pPr>
        <w:spacing w:line="480" w:lineRule="auto"/>
        <w:ind w:left="2268"/>
        <w:jc w:val="both"/>
        <w:rPr>
          <w:rFonts w:ascii="Times New Roman" w:hAnsi="Times New Roman" w:cs="Times New Roman"/>
        </w:rPr>
      </w:pPr>
    </w:p>
    <w:p w:rsidR="00587BE5" w:rsidRPr="00336958" w:rsidRDefault="00C23E3C" w:rsidP="00336958">
      <w:pPr>
        <w:pStyle w:val="PargrafodaLista"/>
        <w:numPr>
          <w:ilvl w:val="0"/>
          <w:numId w:val="2"/>
        </w:numPr>
        <w:spacing w:line="480" w:lineRule="auto"/>
        <w:rPr>
          <w:rFonts w:ascii="Times New Roman" w:hAnsi="Times New Roman" w:cs="Times New Roman"/>
          <w:b/>
          <w:sz w:val="28"/>
          <w:szCs w:val="28"/>
        </w:rPr>
      </w:pPr>
      <w:r>
        <w:rPr>
          <w:rFonts w:ascii="Times New Roman" w:hAnsi="Times New Roman" w:cs="Times New Roman"/>
          <w:b/>
          <w:sz w:val="28"/>
          <w:szCs w:val="28"/>
        </w:rPr>
        <w:t xml:space="preserve">PRERROGATIVA DE </w:t>
      </w:r>
      <w:r w:rsidR="0046536F">
        <w:rPr>
          <w:rFonts w:ascii="Times New Roman" w:hAnsi="Times New Roman" w:cs="Times New Roman"/>
          <w:b/>
          <w:sz w:val="28"/>
          <w:szCs w:val="28"/>
        </w:rPr>
        <w:t>FUNÇÃO</w:t>
      </w:r>
    </w:p>
    <w:p w:rsidR="000B3E61" w:rsidRDefault="00EB4094" w:rsidP="00587BE5">
      <w:pPr>
        <w:spacing w:line="360" w:lineRule="auto"/>
        <w:ind w:firstLine="708"/>
        <w:jc w:val="both"/>
        <w:rPr>
          <w:rFonts w:ascii="Times New Roman" w:hAnsi="Times New Roman" w:cs="Times New Roman"/>
          <w:sz w:val="24"/>
          <w:szCs w:val="24"/>
        </w:rPr>
      </w:pPr>
      <w:r w:rsidRPr="00EB4094">
        <w:rPr>
          <w:rFonts w:ascii="Times New Roman" w:hAnsi="Times New Roman" w:cs="Times New Roman"/>
          <w:sz w:val="24"/>
          <w:szCs w:val="24"/>
        </w:rPr>
        <w:t>A prerrogativa de função</w:t>
      </w:r>
      <w:r>
        <w:rPr>
          <w:rFonts w:ascii="Times New Roman" w:hAnsi="Times New Roman" w:cs="Times New Roman"/>
          <w:sz w:val="24"/>
          <w:szCs w:val="24"/>
        </w:rPr>
        <w:t xml:space="preserve"> é um privilégio concedido decorrente da relevância e da importância do cargo ou da função que a pessoa ocupa ou exerce, ou seja, não se trata de uma regalia concedida à pessoa, pois seria adverso ao princípio da igualdade expressamente contido no </w:t>
      </w:r>
      <w:r w:rsidRPr="00900F7B">
        <w:rPr>
          <w:rFonts w:ascii="Times New Roman" w:hAnsi="Times New Roman" w:cs="Times New Roman"/>
          <w:i/>
          <w:sz w:val="24"/>
          <w:szCs w:val="24"/>
        </w:rPr>
        <w:t>caput</w:t>
      </w:r>
      <w:r>
        <w:rPr>
          <w:rFonts w:ascii="Times New Roman" w:hAnsi="Times New Roman" w:cs="Times New Roman"/>
          <w:sz w:val="24"/>
          <w:szCs w:val="24"/>
        </w:rPr>
        <w:t xml:space="preserve"> do artigo 5º da Constituição da República Federativa do Brasil. Esta vantagem</w:t>
      </w:r>
      <w:r w:rsidR="009510ED">
        <w:rPr>
          <w:rFonts w:ascii="Times New Roman" w:hAnsi="Times New Roman" w:cs="Times New Roman"/>
          <w:sz w:val="24"/>
          <w:szCs w:val="24"/>
        </w:rPr>
        <w:t xml:space="preserve"> garante que estas autoridades políticas sejam julgadas </w:t>
      </w:r>
      <w:r w:rsidR="009510ED" w:rsidRPr="009510ED">
        <w:rPr>
          <w:rFonts w:ascii="Times New Roman" w:hAnsi="Times New Roman" w:cs="Times New Roman"/>
          <w:sz w:val="24"/>
          <w:szCs w:val="24"/>
        </w:rPr>
        <w:t xml:space="preserve">e processadas criminalmente </w:t>
      </w:r>
      <w:r w:rsidR="009510ED" w:rsidRPr="009510ED">
        <w:rPr>
          <w:rFonts w:ascii="Times New Roman" w:hAnsi="Times New Roman" w:cs="Times New Roman"/>
          <w:sz w:val="24"/>
          <w:szCs w:val="24"/>
        </w:rPr>
        <w:lastRenderedPageBreak/>
        <w:t>por órgãos jurisdicionais superiores, distintos do foro comum previsto aos cidadãos em geral.</w:t>
      </w:r>
      <w:r w:rsidR="00572569">
        <w:rPr>
          <w:rFonts w:ascii="Times New Roman" w:hAnsi="Times New Roman" w:cs="Times New Roman"/>
          <w:sz w:val="24"/>
          <w:szCs w:val="24"/>
        </w:rPr>
        <w:t xml:space="preserve"> Segundo CAPEZ (2009, p.210):</w:t>
      </w:r>
    </w:p>
    <w:p w:rsidR="009F14AE" w:rsidRDefault="009F14AE" w:rsidP="009F14AE">
      <w:pPr>
        <w:spacing w:line="480" w:lineRule="auto"/>
        <w:ind w:firstLine="708"/>
        <w:jc w:val="both"/>
        <w:rPr>
          <w:rFonts w:ascii="Times New Roman" w:hAnsi="Times New Roman" w:cs="Times New Roman"/>
          <w:sz w:val="24"/>
          <w:szCs w:val="24"/>
        </w:rPr>
      </w:pPr>
    </w:p>
    <w:p w:rsidR="0010315B" w:rsidRDefault="00900F7B" w:rsidP="009F00D9">
      <w:pPr>
        <w:spacing w:line="240" w:lineRule="auto"/>
        <w:ind w:left="2268"/>
        <w:jc w:val="both"/>
        <w:rPr>
          <w:rFonts w:ascii="Times New Roman" w:hAnsi="Times New Roman" w:cs="Times New Roman"/>
        </w:rPr>
      </w:pPr>
      <w:r>
        <w:rPr>
          <w:rFonts w:ascii="Times New Roman" w:hAnsi="Times New Roman" w:cs="Times New Roman"/>
        </w:rPr>
        <w:t>“</w:t>
      </w:r>
      <w:r w:rsidR="00572569" w:rsidRPr="0046536F">
        <w:rPr>
          <w:rFonts w:ascii="Times New Roman" w:hAnsi="Times New Roman" w:cs="Times New Roman"/>
        </w:rPr>
        <w:t>D</w:t>
      </w:r>
      <w:r w:rsidR="000B3E61" w:rsidRPr="0046536F">
        <w:rPr>
          <w:rFonts w:ascii="Times New Roman" w:hAnsi="Times New Roman" w:cs="Times New Roman"/>
        </w:rPr>
        <w:t xml:space="preserve">e fato, confere-se a algumas pessoas, devido à relevância da função exercida, o direito a serem julgadas em foro privilegiado [sic]. Não há que se falar em ofensa ao princípio da isonomia, já que não se estabelece a preferência em razão da pessoa, mas da função [...] Na verdade, o foro por prerrogativa visa preservar a independência do agente político, no exercício de sua função, e garantir o princípio da hierarquia, não podendo ser tratado como se fosse um simples privilégio </w:t>
      </w:r>
      <w:r w:rsidR="00572569" w:rsidRPr="0046536F">
        <w:rPr>
          <w:rFonts w:ascii="Times New Roman" w:hAnsi="Times New Roman" w:cs="Times New Roman"/>
        </w:rPr>
        <w:t>estabelecido em razão da pessoa</w:t>
      </w:r>
      <w:r w:rsidR="000B3E61" w:rsidRPr="0046536F">
        <w:rPr>
          <w:rFonts w:ascii="Times New Roman" w:hAnsi="Times New Roman" w:cs="Times New Roman"/>
        </w:rPr>
        <w:t>.</w:t>
      </w:r>
      <w:r>
        <w:rPr>
          <w:rFonts w:ascii="Times New Roman" w:hAnsi="Times New Roman" w:cs="Times New Roman"/>
        </w:rPr>
        <w:t>”</w:t>
      </w:r>
    </w:p>
    <w:p w:rsidR="00592FBC" w:rsidRPr="00DD3421" w:rsidRDefault="00DD3421" w:rsidP="003A49C9">
      <w:pPr>
        <w:spacing w:line="480" w:lineRule="auto"/>
        <w:jc w:val="both"/>
        <w:rPr>
          <w:rFonts w:ascii="Times New Roman" w:hAnsi="Times New Roman" w:cs="Times New Roman"/>
        </w:rPr>
      </w:pPr>
      <w:r>
        <w:rPr>
          <w:rFonts w:ascii="Times New Roman" w:hAnsi="Times New Roman" w:cs="Times New Roman"/>
        </w:rPr>
        <w:tab/>
      </w:r>
    </w:p>
    <w:p w:rsidR="00336958" w:rsidRDefault="009F00D9" w:rsidP="00336958">
      <w:pPr>
        <w:pStyle w:val="PargrafodaLista"/>
        <w:numPr>
          <w:ilvl w:val="1"/>
          <w:numId w:val="2"/>
        </w:num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Foro por prerrogativa de função e inquérito policial</w:t>
      </w:r>
    </w:p>
    <w:p w:rsidR="00336958" w:rsidRPr="00336958" w:rsidRDefault="00336958" w:rsidP="00336958">
      <w:pPr>
        <w:spacing w:line="360" w:lineRule="auto"/>
        <w:jc w:val="both"/>
        <w:rPr>
          <w:rFonts w:ascii="Times New Roman" w:hAnsi="Times New Roman" w:cs="Times New Roman"/>
          <w:b/>
          <w:sz w:val="24"/>
          <w:szCs w:val="24"/>
        </w:rPr>
      </w:pPr>
    </w:p>
    <w:p w:rsidR="003A49C9" w:rsidRDefault="0055349A" w:rsidP="0055349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Existe</w:t>
      </w:r>
      <w:r w:rsidR="003A49C9">
        <w:rPr>
          <w:rFonts w:ascii="Times New Roman" w:hAnsi="Times New Roman" w:cs="Times New Roman"/>
          <w:sz w:val="24"/>
          <w:szCs w:val="24"/>
        </w:rPr>
        <w:t xml:space="preserve"> divergência em relação ao</w:t>
      </w:r>
      <w:r>
        <w:rPr>
          <w:rFonts w:ascii="Times New Roman" w:hAnsi="Times New Roman" w:cs="Times New Roman"/>
          <w:sz w:val="24"/>
          <w:szCs w:val="24"/>
        </w:rPr>
        <w:t xml:space="preserve"> detentor do poder de investigar que</w:t>
      </w:r>
      <w:r w:rsidR="000B459B">
        <w:rPr>
          <w:rFonts w:ascii="Times New Roman" w:hAnsi="Times New Roman" w:cs="Times New Roman"/>
          <w:sz w:val="24"/>
          <w:szCs w:val="24"/>
        </w:rPr>
        <w:t>m</w:t>
      </w:r>
      <w:r>
        <w:rPr>
          <w:rFonts w:ascii="Times New Roman" w:hAnsi="Times New Roman" w:cs="Times New Roman"/>
          <w:sz w:val="24"/>
          <w:szCs w:val="24"/>
        </w:rPr>
        <w:t xml:space="preserve"> possui</w:t>
      </w:r>
      <w:r w:rsidRPr="0055349A">
        <w:rPr>
          <w:rFonts w:ascii="Times New Roman" w:hAnsi="Times New Roman" w:cs="Times New Roman"/>
          <w:sz w:val="24"/>
          <w:szCs w:val="24"/>
        </w:rPr>
        <w:t xml:space="preserve"> </w:t>
      </w:r>
      <w:r>
        <w:rPr>
          <w:rFonts w:ascii="Times New Roman" w:hAnsi="Times New Roman" w:cs="Times New Roman"/>
          <w:sz w:val="24"/>
          <w:szCs w:val="24"/>
        </w:rPr>
        <w:t>prerrogativa de foro</w:t>
      </w:r>
      <w:r w:rsidR="003A49C9">
        <w:rPr>
          <w:rFonts w:ascii="Times New Roman" w:hAnsi="Times New Roman" w:cs="Times New Roman"/>
          <w:sz w:val="24"/>
          <w:szCs w:val="24"/>
        </w:rPr>
        <w:t xml:space="preserve">. Como dito anteriormente, mesmo havendo divergência na doutrina sobre a ‘legalidade’ do foro por prerrogativa de função, mas a CRFB se manifestou sobre o tema declarando que o privilégio é legal e igualitário, pois não é destinado à pessoa e sim ao cargo que a mesma ocupa. </w:t>
      </w:r>
    </w:p>
    <w:p w:rsidR="00572569" w:rsidRDefault="003A49C9" w:rsidP="0055349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Porém, a Carta Magna se absteve sobre quem vai investigar estas autoridades políticas, é o órgão julgador ou as polícias judiciárias, e se forem estas elas precisam de ‘autorização’ do Tribunal ou do Órgão Colegiado?</w:t>
      </w:r>
    </w:p>
    <w:p w:rsidR="003A49C9" w:rsidRDefault="003A49C9" w:rsidP="0055349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tentar responder esta questão mostraremos alguns julgados, já que não tem uma resposta ‘majoritária’.</w:t>
      </w:r>
    </w:p>
    <w:p w:rsidR="003A49C9" w:rsidRDefault="009462F2" w:rsidP="0055349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O Ministro Gilmar Mendes</w:t>
      </w:r>
      <w:r w:rsidR="003A49C9">
        <w:rPr>
          <w:rFonts w:ascii="Times New Roman" w:hAnsi="Times New Roman" w:cs="Times New Roman"/>
          <w:sz w:val="24"/>
          <w:szCs w:val="24"/>
        </w:rPr>
        <w:t xml:space="preserve"> se manifestou sobre o assunto, em um julgado datado de 2008:</w:t>
      </w:r>
    </w:p>
    <w:p w:rsidR="006511AD" w:rsidRDefault="006511AD" w:rsidP="006511AD">
      <w:pPr>
        <w:spacing w:line="480" w:lineRule="auto"/>
        <w:ind w:left="2268"/>
        <w:jc w:val="both"/>
        <w:rPr>
          <w:rFonts w:ascii="Times New Roman" w:hAnsi="Times New Roman" w:cs="Times New Roman"/>
        </w:rPr>
      </w:pPr>
    </w:p>
    <w:p w:rsidR="00DD3421" w:rsidRPr="009462F2" w:rsidRDefault="00DD3421" w:rsidP="009462F2">
      <w:pPr>
        <w:spacing w:line="240" w:lineRule="auto"/>
        <w:ind w:left="2268"/>
        <w:jc w:val="both"/>
        <w:rPr>
          <w:rFonts w:ascii="Times New Roman" w:hAnsi="Times New Roman" w:cs="Times New Roman"/>
        </w:rPr>
      </w:pPr>
      <w:r w:rsidRPr="009462F2">
        <w:rPr>
          <w:rFonts w:ascii="Times New Roman" w:hAnsi="Times New Roman" w:cs="Times New Roman"/>
        </w:rPr>
        <w:t xml:space="preserve"> iii) diferenças entre a regra geral, o inquérito policial disciplinado no Código de Processo Penal e o inquérito originário de competência do STF regido pelo art. 102, I, b, da CF e pelo RI/STF. A prerrogativa de foro é uma garantia voltada não exatamente para os interesses do titulares de cargos relevantes, mas, sobretudo, para a própria regularidade das instituições em razão das atividades funcionais por eles desempenhadas. Se a Constituição estabelece que os agentes políticos </w:t>
      </w:r>
      <w:proofErr w:type="gramStart"/>
      <w:r w:rsidRPr="009462F2">
        <w:rPr>
          <w:rFonts w:ascii="Times New Roman" w:hAnsi="Times New Roman" w:cs="Times New Roman"/>
        </w:rPr>
        <w:t>respondem</w:t>
      </w:r>
      <w:proofErr w:type="gramEnd"/>
      <w:r w:rsidRPr="009462F2">
        <w:rPr>
          <w:rFonts w:ascii="Times New Roman" w:hAnsi="Times New Roman" w:cs="Times New Roman"/>
        </w:rPr>
        <w:t xml:space="preserve">, por crime comum, perante o </w:t>
      </w:r>
      <w:r w:rsidRPr="009462F2">
        <w:rPr>
          <w:rFonts w:ascii="Times New Roman" w:hAnsi="Times New Roman" w:cs="Times New Roman"/>
        </w:rPr>
        <w:lastRenderedPageBreak/>
        <w:t xml:space="preserve">STF (CF, art. 102, I, b), não há razão constitucional plausível para que as atividades diretamente relacionadas à </w:t>
      </w:r>
      <w:proofErr w:type="spellStart"/>
      <w:r w:rsidRPr="009462F2">
        <w:rPr>
          <w:rFonts w:ascii="Times New Roman" w:hAnsi="Times New Roman" w:cs="Times New Roman"/>
        </w:rPr>
        <w:t>su-pervisão</w:t>
      </w:r>
      <w:proofErr w:type="spellEnd"/>
      <w:r w:rsidRPr="009462F2">
        <w:rPr>
          <w:rFonts w:ascii="Times New Roman" w:hAnsi="Times New Roman" w:cs="Times New Roman"/>
        </w:rPr>
        <w:t xml:space="preserve"> judicial (abertura de procedimento investigatório) sejam retiradas do controle judicial do STF. A iniciativa do procedimento investigatório deve ser confiada ao MPF contando com a supervisão do Ministro-Relator do STF.</w:t>
      </w:r>
    </w:p>
    <w:p w:rsidR="00DD3421" w:rsidRPr="009462F2" w:rsidRDefault="00DD3421" w:rsidP="009462F2">
      <w:pPr>
        <w:spacing w:line="240" w:lineRule="auto"/>
        <w:ind w:left="2268" w:firstLine="708"/>
        <w:jc w:val="both"/>
        <w:rPr>
          <w:rFonts w:ascii="Times New Roman" w:hAnsi="Times New Roman" w:cs="Times New Roman"/>
        </w:rPr>
      </w:pPr>
      <w:r w:rsidRPr="009462F2">
        <w:rPr>
          <w:rFonts w:ascii="Times New Roman" w:hAnsi="Times New Roman" w:cs="Times New Roman"/>
        </w:rPr>
        <w:t xml:space="preserve">10. A Polícia Federal não está autorizada a abrir de ofício inquérito policial para apurar a conduta de parlamentares federais ou do próprio Presidente da República (no caso do STF). No exercício de competência penal originária do STF (CF, art. 102, I, “b” c/c Lei nº 8.038/1990, art. 2º e RI/STF, </w:t>
      </w:r>
      <w:proofErr w:type="spellStart"/>
      <w:r w:rsidRPr="009462F2">
        <w:rPr>
          <w:rFonts w:ascii="Times New Roman" w:hAnsi="Times New Roman" w:cs="Times New Roman"/>
        </w:rPr>
        <w:t>arts</w:t>
      </w:r>
      <w:proofErr w:type="spellEnd"/>
      <w:r w:rsidRPr="009462F2">
        <w:rPr>
          <w:rFonts w:ascii="Times New Roman" w:hAnsi="Times New Roman" w:cs="Times New Roman"/>
        </w:rPr>
        <w:t xml:space="preserve">. 230 a 234), a atividade de supervisão judicial deve ser constitucionalmente desempenhada durante toda a tramitação das investigações desde a abertura dos procedimentos investigatórios até o eventual oferecimento, ou não, de denúncia pelo </w:t>
      </w:r>
      <w:proofErr w:type="spellStart"/>
      <w:r w:rsidRPr="009462F2">
        <w:rPr>
          <w:rFonts w:ascii="Times New Roman" w:hAnsi="Times New Roman" w:cs="Times New Roman"/>
        </w:rPr>
        <w:t>dominus</w:t>
      </w:r>
      <w:proofErr w:type="spellEnd"/>
      <w:r w:rsidRPr="009462F2">
        <w:rPr>
          <w:rFonts w:ascii="Times New Roman" w:hAnsi="Times New Roman" w:cs="Times New Roman"/>
        </w:rPr>
        <w:t xml:space="preserve"> </w:t>
      </w:r>
      <w:proofErr w:type="spellStart"/>
      <w:r w:rsidRPr="009462F2">
        <w:rPr>
          <w:rFonts w:ascii="Times New Roman" w:hAnsi="Times New Roman" w:cs="Times New Roman"/>
        </w:rPr>
        <w:t>litis</w:t>
      </w:r>
      <w:proofErr w:type="spellEnd"/>
      <w:r w:rsidRPr="009462F2">
        <w:rPr>
          <w:rFonts w:ascii="Times New Roman" w:hAnsi="Times New Roman" w:cs="Times New Roman"/>
        </w:rPr>
        <w:t>.</w:t>
      </w:r>
    </w:p>
    <w:p w:rsidR="00DD3421" w:rsidRPr="009462F2" w:rsidRDefault="00DD3421" w:rsidP="009462F2">
      <w:pPr>
        <w:spacing w:line="240" w:lineRule="auto"/>
        <w:ind w:left="2268" w:firstLine="708"/>
        <w:jc w:val="both"/>
        <w:rPr>
          <w:rFonts w:ascii="Times New Roman" w:hAnsi="Times New Roman" w:cs="Times New Roman"/>
          <w:lang w:val="en-US"/>
        </w:rPr>
      </w:pPr>
      <w:r w:rsidRPr="009462F2">
        <w:rPr>
          <w:rFonts w:ascii="Times New Roman" w:hAnsi="Times New Roman" w:cs="Times New Roman"/>
          <w:lang w:val="en-US"/>
        </w:rPr>
        <w:t>[...]</w:t>
      </w:r>
    </w:p>
    <w:p w:rsidR="00DD3421" w:rsidRDefault="00DD3421" w:rsidP="009462F2">
      <w:pPr>
        <w:spacing w:line="240" w:lineRule="auto"/>
        <w:ind w:left="2268" w:firstLine="708"/>
        <w:jc w:val="both"/>
        <w:rPr>
          <w:rFonts w:ascii="Times New Roman" w:hAnsi="Times New Roman" w:cs="Times New Roman"/>
        </w:rPr>
      </w:pPr>
      <w:proofErr w:type="gramStart"/>
      <w:r w:rsidRPr="009462F2">
        <w:rPr>
          <w:rFonts w:ascii="Times New Roman" w:hAnsi="Times New Roman" w:cs="Times New Roman"/>
          <w:lang w:val="en-US"/>
        </w:rPr>
        <w:t xml:space="preserve">(Pet QO 3.825/MT, rel. Min. </w:t>
      </w:r>
      <w:proofErr w:type="spellStart"/>
      <w:r w:rsidRPr="009462F2">
        <w:rPr>
          <w:rFonts w:ascii="Times New Roman" w:hAnsi="Times New Roman" w:cs="Times New Roman"/>
          <w:lang w:val="en-US"/>
        </w:rPr>
        <w:t>Sepúlveda</w:t>
      </w:r>
      <w:proofErr w:type="spellEnd"/>
      <w:r w:rsidRPr="009462F2">
        <w:rPr>
          <w:rFonts w:ascii="Times New Roman" w:hAnsi="Times New Roman" w:cs="Times New Roman"/>
          <w:lang w:val="en-US"/>
        </w:rPr>
        <w:t xml:space="preserve"> </w:t>
      </w:r>
      <w:proofErr w:type="spellStart"/>
      <w:r w:rsidRPr="009462F2">
        <w:rPr>
          <w:rFonts w:ascii="Times New Roman" w:hAnsi="Times New Roman" w:cs="Times New Roman"/>
          <w:lang w:val="en-US"/>
        </w:rPr>
        <w:t>Pertence</w:t>
      </w:r>
      <w:proofErr w:type="spellEnd"/>
      <w:r w:rsidRPr="009462F2">
        <w:rPr>
          <w:rFonts w:ascii="Times New Roman" w:hAnsi="Times New Roman" w:cs="Times New Roman"/>
          <w:lang w:val="en-US"/>
        </w:rPr>
        <w:t xml:space="preserve">, rel. p/ ac. </w:t>
      </w:r>
      <w:r w:rsidRPr="009462F2">
        <w:rPr>
          <w:rFonts w:ascii="Times New Roman" w:hAnsi="Times New Roman" w:cs="Times New Roman"/>
        </w:rPr>
        <w:t>Min. Gilmar Mendes, pleno, 10.10.2007, DJE 03.04.2008).</w:t>
      </w:r>
      <w:proofErr w:type="gramEnd"/>
    </w:p>
    <w:p w:rsidR="006511AD" w:rsidRPr="009462F2" w:rsidRDefault="006511AD" w:rsidP="006511AD">
      <w:pPr>
        <w:spacing w:line="480" w:lineRule="auto"/>
        <w:ind w:left="2268" w:firstLine="708"/>
        <w:jc w:val="both"/>
        <w:rPr>
          <w:rFonts w:ascii="Times New Roman" w:hAnsi="Times New Roman" w:cs="Times New Roman"/>
        </w:rPr>
      </w:pPr>
    </w:p>
    <w:p w:rsidR="002C11BC" w:rsidRDefault="009462F2" w:rsidP="002C11BC">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Segundo este entendimento p</w:t>
      </w:r>
      <w:r w:rsidR="002C11BC" w:rsidRPr="002C11BC">
        <w:rPr>
          <w:rFonts w:ascii="Times New Roman" w:hAnsi="Times New Roman" w:cs="Times New Roman"/>
          <w:sz w:val="24"/>
          <w:szCs w:val="24"/>
        </w:rPr>
        <w:t xml:space="preserve">ela lógica da simetria, a exigência de prévia autorização se estende e aplica a toda e qualquer investigação contra agentes públicos sujeitos a julgamento originário por Tribunais. Assim, a instauração de inquérito deverá ser precedida da anuência dos Tribunais Regionais Federais ou dos Tribunais </w:t>
      </w:r>
      <w:r w:rsidR="00900F7B">
        <w:rPr>
          <w:rFonts w:ascii="Times New Roman" w:hAnsi="Times New Roman" w:cs="Times New Roman"/>
          <w:sz w:val="24"/>
          <w:szCs w:val="24"/>
        </w:rPr>
        <w:t xml:space="preserve">de Justiça (CRFB 108 I a; 125 </w:t>
      </w:r>
      <w:r w:rsidR="00AA2114" w:rsidRPr="002C11BC">
        <w:rPr>
          <w:rFonts w:ascii="Times New Roman" w:hAnsi="Times New Roman" w:cs="Times New Roman"/>
          <w:sz w:val="24"/>
          <w:szCs w:val="24"/>
        </w:rPr>
        <w:t>etc.</w:t>
      </w:r>
      <w:r w:rsidR="002C11BC" w:rsidRPr="002C11BC">
        <w:rPr>
          <w:rFonts w:ascii="Times New Roman" w:hAnsi="Times New Roman" w:cs="Times New Roman"/>
          <w:sz w:val="24"/>
          <w:szCs w:val="24"/>
        </w:rPr>
        <w:t xml:space="preserve">) a cuja jurisdição tais autoridades se achem sujeitas.  A </w:t>
      </w:r>
      <w:proofErr w:type="spellStart"/>
      <w:r w:rsidR="002C11BC" w:rsidRPr="002C11BC">
        <w:rPr>
          <w:rFonts w:ascii="Times New Roman" w:hAnsi="Times New Roman" w:cs="Times New Roman"/>
          <w:sz w:val="24"/>
          <w:szCs w:val="24"/>
        </w:rPr>
        <w:t>não-observãncia</w:t>
      </w:r>
      <w:proofErr w:type="spellEnd"/>
      <w:r w:rsidR="002C11BC" w:rsidRPr="002C11BC">
        <w:rPr>
          <w:rFonts w:ascii="Times New Roman" w:hAnsi="Times New Roman" w:cs="Times New Roman"/>
          <w:sz w:val="24"/>
          <w:szCs w:val="24"/>
        </w:rPr>
        <w:t xml:space="preserve"> da exigência constitui irregularidade sancionada com a declaração de nulidade dos atos, inclusive do indiciamento. </w:t>
      </w:r>
    </w:p>
    <w:p w:rsidR="002C11BC" w:rsidRPr="002C11BC" w:rsidRDefault="002C11BC" w:rsidP="000B459B">
      <w:pPr>
        <w:spacing w:line="360" w:lineRule="auto"/>
        <w:ind w:firstLine="708"/>
        <w:jc w:val="both"/>
        <w:rPr>
          <w:rFonts w:ascii="Times New Roman" w:hAnsi="Times New Roman" w:cs="Times New Roman"/>
          <w:sz w:val="24"/>
          <w:szCs w:val="24"/>
        </w:rPr>
      </w:pPr>
      <w:r w:rsidRPr="002C11BC">
        <w:rPr>
          <w:rFonts w:ascii="Times New Roman" w:hAnsi="Times New Roman" w:cs="Times New Roman"/>
          <w:sz w:val="24"/>
          <w:szCs w:val="24"/>
        </w:rPr>
        <w:t>O estado atual das discussões no âmbito do STF pode ser sumarizado da seguinte forma:</w:t>
      </w:r>
    </w:p>
    <w:p w:rsidR="002C11BC" w:rsidRPr="009462F2" w:rsidRDefault="002C11BC" w:rsidP="009462F2">
      <w:pPr>
        <w:spacing w:line="240" w:lineRule="auto"/>
        <w:ind w:left="2268" w:firstLine="708"/>
        <w:jc w:val="both"/>
        <w:rPr>
          <w:rFonts w:ascii="Times New Roman" w:hAnsi="Times New Roman" w:cs="Times New Roman"/>
        </w:rPr>
      </w:pPr>
      <w:r w:rsidRPr="009462F2">
        <w:rPr>
          <w:rFonts w:ascii="Times New Roman" w:hAnsi="Times New Roman" w:cs="Times New Roman"/>
        </w:rPr>
        <w:t xml:space="preserve">i) a outorga de competência originária para processar e julgar determinadas Autoridades (“detentoras de foro por prerrogativa de função”) não se limita ao processo criminal em si mesmo, mas, à base da teoria dos poderes implícitos, estende-se à fase </w:t>
      </w:r>
      <w:proofErr w:type="spellStart"/>
      <w:r w:rsidRPr="009462F2">
        <w:rPr>
          <w:rFonts w:ascii="Times New Roman" w:hAnsi="Times New Roman" w:cs="Times New Roman"/>
        </w:rPr>
        <w:t>apuratória</w:t>
      </w:r>
      <w:proofErr w:type="spellEnd"/>
      <w:r w:rsidRPr="009462F2">
        <w:rPr>
          <w:rFonts w:ascii="Times New Roman" w:hAnsi="Times New Roman" w:cs="Times New Roman"/>
        </w:rPr>
        <w:t xml:space="preserve"> pré-processual, de tal modo que cabe igualmente à Corte – e não ao órgão jurisdicional de</w:t>
      </w:r>
      <w:r w:rsidR="000B459B" w:rsidRPr="009462F2">
        <w:rPr>
          <w:rFonts w:ascii="Times New Roman" w:hAnsi="Times New Roman" w:cs="Times New Roman"/>
        </w:rPr>
        <w:t xml:space="preserve"> </w:t>
      </w:r>
      <w:r w:rsidRPr="009462F2">
        <w:rPr>
          <w:rFonts w:ascii="Times New Roman" w:hAnsi="Times New Roman" w:cs="Times New Roman"/>
        </w:rPr>
        <w:t xml:space="preserve">1ª instância - o correlativo controle jurisdicional dos atos investigatórios (STF: </w:t>
      </w:r>
      <w:proofErr w:type="spellStart"/>
      <w:r w:rsidRPr="009462F2">
        <w:rPr>
          <w:rFonts w:ascii="Times New Roman" w:hAnsi="Times New Roman" w:cs="Times New Roman"/>
        </w:rPr>
        <w:t>Rcl</w:t>
      </w:r>
      <w:proofErr w:type="spellEnd"/>
      <w:r w:rsidRPr="009462F2">
        <w:rPr>
          <w:rFonts w:ascii="Times New Roman" w:hAnsi="Times New Roman" w:cs="Times New Roman"/>
        </w:rPr>
        <w:t xml:space="preserve"> 2349/TO, T2, DJ 05.08.2005 – </w:t>
      </w:r>
      <w:proofErr w:type="spellStart"/>
      <w:r w:rsidRPr="009462F2">
        <w:rPr>
          <w:rFonts w:ascii="Times New Roman" w:hAnsi="Times New Roman" w:cs="Times New Roman"/>
        </w:rPr>
        <w:t>Rcl</w:t>
      </w:r>
      <w:proofErr w:type="spellEnd"/>
      <w:r w:rsidRPr="009462F2">
        <w:rPr>
          <w:rFonts w:ascii="Times New Roman" w:hAnsi="Times New Roman" w:cs="Times New Roman"/>
        </w:rPr>
        <w:t xml:space="preserve"> 1150/PR, Tribunal Pleno, DJ 06.12.2002);</w:t>
      </w:r>
    </w:p>
    <w:p w:rsidR="002C11BC" w:rsidRPr="002C11BC" w:rsidRDefault="002C11BC" w:rsidP="009462F2">
      <w:pPr>
        <w:spacing w:line="240" w:lineRule="auto"/>
        <w:ind w:left="2268" w:firstLine="708"/>
        <w:jc w:val="both"/>
        <w:rPr>
          <w:rFonts w:ascii="Times New Roman" w:hAnsi="Times New Roman" w:cs="Times New Roman"/>
          <w:sz w:val="24"/>
          <w:szCs w:val="24"/>
        </w:rPr>
      </w:pPr>
      <w:proofErr w:type="gramStart"/>
      <w:r w:rsidRPr="009462F2">
        <w:rPr>
          <w:rFonts w:ascii="Times New Roman" w:hAnsi="Times New Roman" w:cs="Times New Roman"/>
        </w:rPr>
        <w:t>ii</w:t>
      </w:r>
      <w:proofErr w:type="gramEnd"/>
      <w:r w:rsidRPr="009462F2">
        <w:rPr>
          <w:rFonts w:ascii="Times New Roman" w:hAnsi="Times New Roman" w:cs="Times New Roman"/>
        </w:rPr>
        <w:t xml:space="preserve">) a </w:t>
      </w:r>
      <w:proofErr w:type="spellStart"/>
      <w:r w:rsidRPr="009462F2">
        <w:rPr>
          <w:rFonts w:ascii="Times New Roman" w:hAnsi="Times New Roman" w:cs="Times New Roman"/>
        </w:rPr>
        <w:t>fortiori</w:t>
      </w:r>
      <w:proofErr w:type="spellEnd"/>
      <w:r w:rsidRPr="009462F2">
        <w:rPr>
          <w:rFonts w:ascii="Times New Roman" w:hAnsi="Times New Roman" w:cs="Times New Roman"/>
        </w:rPr>
        <w:t>,  cabe à Corte, por meio de decisão monocrática do relator,  autorizar a abertura de  inquérito penal  contra o detentor da prerrogativa de julgamento originário em Tribunal, inquérito esse que se distingue em parte do inquérito policial, não só por pressupor essa autorização, mas por tramitar sob direta fiscalização do Tribunal e obedecer a regras inscritas na Constituição da República, em determinadas leis orgânicas, e nos Regimentos Internos das respectivas Cortes;</w:t>
      </w:r>
    </w:p>
    <w:p w:rsidR="00326A98" w:rsidRDefault="00326A98" w:rsidP="009462F2">
      <w:pPr>
        <w:spacing w:line="240" w:lineRule="auto"/>
        <w:ind w:left="2268" w:firstLine="708"/>
        <w:jc w:val="both"/>
        <w:rPr>
          <w:rFonts w:ascii="Times New Roman" w:hAnsi="Times New Roman" w:cs="Times New Roman"/>
        </w:rPr>
      </w:pPr>
      <w:r w:rsidRPr="009462F2">
        <w:rPr>
          <w:rFonts w:ascii="Times New Roman" w:hAnsi="Times New Roman" w:cs="Times New Roman"/>
        </w:rPr>
        <w:lastRenderedPageBreak/>
        <w:t>iii) à Polícia Judiciária – Polícia Federal, Polícias Civis e, em casos restritos, Polícias Militares e das diversas Armas – falta atribuição para instaurar de ofício inquérito policial ou policial militar contra Autoridade sujeita à competência penal originária de Tribunal – “foro por prerrogativa de função”;</w:t>
      </w:r>
    </w:p>
    <w:p w:rsidR="009462F2" w:rsidRPr="009462F2" w:rsidRDefault="009462F2" w:rsidP="009462F2">
      <w:pPr>
        <w:spacing w:line="480" w:lineRule="auto"/>
        <w:ind w:left="2268" w:firstLine="708"/>
        <w:jc w:val="both"/>
        <w:rPr>
          <w:rFonts w:ascii="Times New Roman" w:hAnsi="Times New Roman" w:cs="Times New Roman"/>
        </w:rPr>
      </w:pPr>
    </w:p>
    <w:p w:rsidR="009462F2" w:rsidRDefault="009462F2" w:rsidP="009462F2">
      <w:pPr>
        <w:spacing w:line="360" w:lineRule="auto"/>
        <w:jc w:val="both"/>
        <w:rPr>
          <w:rFonts w:ascii="Times New Roman" w:hAnsi="Times New Roman" w:cs="Times New Roman"/>
          <w:iCs/>
          <w:color w:val="000000"/>
          <w:sz w:val="24"/>
          <w:szCs w:val="24"/>
        </w:rPr>
      </w:pPr>
      <w:r w:rsidRPr="009462F2">
        <w:rPr>
          <w:rFonts w:ascii="Times New Roman" w:hAnsi="Times New Roman" w:cs="Times New Roman"/>
          <w:iCs/>
          <w:color w:val="000000"/>
          <w:sz w:val="24"/>
          <w:szCs w:val="24"/>
        </w:rPr>
        <w:t xml:space="preserve">Ellen </w:t>
      </w:r>
      <w:proofErr w:type="spellStart"/>
      <w:r w:rsidRPr="009462F2">
        <w:rPr>
          <w:rFonts w:ascii="Times New Roman" w:hAnsi="Times New Roman" w:cs="Times New Roman"/>
          <w:iCs/>
          <w:color w:val="000000"/>
          <w:sz w:val="24"/>
          <w:szCs w:val="24"/>
        </w:rPr>
        <w:t>Gracie</w:t>
      </w:r>
      <w:proofErr w:type="spellEnd"/>
      <w:r w:rsidRPr="009462F2">
        <w:rPr>
          <w:rFonts w:ascii="Times New Roman" w:hAnsi="Times New Roman" w:cs="Times New Roman"/>
          <w:iCs/>
          <w:color w:val="000000"/>
          <w:sz w:val="24"/>
          <w:szCs w:val="24"/>
        </w:rPr>
        <w:t xml:space="preserve"> também se manifestou sobre o assunto:</w:t>
      </w:r>
    </w:p>
    <w:p w:rsidR="009462F2" w:rsidRPr="009462F2" w:rsidRDefault="009462F2" w:rsidP="009462F2">
      <w:pPr>
        <w:spacing w:line="480" w:lineRule="auto"/>
        <w:jc w:val="both"/>
        <w:rPr>
          <w:rFonts w:ascii="Times New Roman" w:hAnsi="Times New Roman" w:cs="Times New Roman"/>
          <w:iCs/>
          <w:color w:val="000000"/>
          <w:sz w:val="24"/>
          <w:szCs w:val="24"/>
        </w:rPr>
      </w:pPr>
    </w:p>
    <w:p w:rsidR="00900F7B" w:rsidRDefault="00326A98" w:rsidP="009462F2">
      <w:pPr>
        <w:spacing w:line="240" w:lineRule="auto"/>
        <w:ind w:left="2268"/>
        <w:jc w:val="both"/>
        <w:rPr>
          <w:rFonts w:ascii="Times New Roman" w:hAnsi="Times New Roman" w:cs="Times New Roman"/>
          <w:iCs/>
          <w:color w:val="000000"/>
        </w:rPr>
      </w:pPr>
      <w:r w:rsidRPr="009462F2">
        <w:rPr>
          <w:rFonts w:ascii="Times New Roman" w:hAnsi="Times New Roman" w:cs="Times New Roman"/>
          <w:iCs/>
          <w:color w:val="000000"/>
        </w:rPr>
        <w:t>CONSTITUCIONAL. PROCESSO PENAL. CRIME COMUM, CUJO JULGAMEN</w:t>
      </w:r>
      <w:r w:rsidRPr="009462F2">
        <w:rPr>
          <w:rFonts w:ascii="Times New Roman" w:hAnsi="Times New Roman" w:cs="Times New Roman"/>
          <w:iCs/>
          <w:color w:val="000000"/>
        </w:rPr>
        <w:softHyphen/>
        <w:t>TO COMPETE À JUSTIÇA FEDERAL, IMPUTADO A JUIZ ESTADUAL. COMPETÊNCIA PARA DETERMINAR AS INVESTIGAÇÕES (ARTIGO-33, PARÁGRAFO ÚNICO, DA LEI COMPLEMENTAR-35/79). CONFLITO APARENTE ENTRE AS NORMAS CONTIDAS NO ARTIGO-96, INCISO-03 E NO ARTIGO-109, INCISO-04 DA CONSTITUIÇÃO FEDERAL. 1. A norma inserida no artigo-109, inciso-04 da Constituição Federal é regra geral que, necessariamente, cede passo a disposição especial que estabelece foro diverso, por prerrogativa de função (CF, art. 96, inc. 03). 2. Compete aos Tribunais de Justiça processar e julgar os juízes que lhe são vinculados nos crimes comuns inseridos na competência atribuída à Justiça Federal. 3. Da mesma forma, as investigações policiais tendentes à apuração do envolvimento de magistrado estadual em fatos que, em tese, se subsumem em figura delituosa da competência federal, devem ser conduzidas pelo Tribunal de Justiça ao qual o magistrado está vinculado</w:t>
      </w:r>
      <w:r w:rsidR="00900F7B">
        <w:rPr>
          <w:rFonts w:ascii="Times New Roman" w:hAnsi="Times New Roman" w:cs="Times New Roman"/>
          <w:iCs/>
          <w:color w:val="000000"/>
        </w:rPr>
        <w:t>.</w:t>
      </w:r>
    </w:p>
    <w:p w:rsidR="00326A98" w:rsidRPr="009462F2" w:rsidRDefault="00326A98" w:rsidP="009462F2">
      <w:pPr>
        <w:spacing w:line="240" w:lineRule="auto"/>
        <w:ind w:left="2268"/>
        <w:jc w:val="both"/>
        <w:rPr>
          <w:rFonts w:ascii="Times New Roman" w:hAnsi="Times New Roman" w:cs="Times New Roman"/>
          <w:color w:val="000000"/>
          <w:sz w:val="21"/>
          <w:szCs w:val="21"/>
        </w:rPr>
      </w:pPr>
      <w:r w:rsidRPr="009462F2">
        <w:rPr>
          <w:rFonts w:ascii="Times New Roman" w:hAnsi="Times New Roman" w:cs="Times New Roman"/>
          <w:iCs/>
          <w:color w:val="000000"/>
        </w:rPr>
        <w:t>(LOMAN, art. 33, parágrafo único). 4. Incompetência</w:t>
      </w:r>
      <w:r w:rsidRPr="009462F2">
        <w:rPr>
          <w:rStyle w:val="apple-converted-space"/>
          <w:rFonts w:ascii="Times New Roman" w:hAnsi="Times New Roman" w:cs="Times New Roman"/>
          <w:iCs/>
          <w:color w:val="000000"/>
        </w:rPr>
        <w:t> </w:t>
      </w:r>
      <w:proofErr w:type="spellStart"/>
      <w:r w:rsidRPr="009462F2">
        <w:rPr>
          <w:rFonts w:ascii="Times New Roman" w:hAnsi="Times New Roman" w:cs="Times New Roman"/>
          <w:color w:val="000000"/>
        </w:rPr>
        <w:t>ratione</w:t>
      </w:r>
      <w:proofErr w:type="spellEnd"/>
      <w:r w:rsidRPr="009462F2">
        <w:rPr>
          <w:rFonts w:ascii="Times New Roman" w:hAnsi="Times New Roman" w:cs="Times New Roman"/>
          <w:color w:val="000000"/>
        </w:rPr>
        <w:t xml:space="preserve"> </w:t>
      </w:r>
      <w:proofErr w:type="spellStart"/>
      <w:r w:rsidRPr="009462F2">
        <w:rPr>
          <w:rFonts w:ascii="Times New Roman" w:hAnsi="Times New Roman" w:cs="Times New Roman"/>
          <w:color w:val="000000"/>
        </w:rPr>
        <w:t>personae</w:t>
      </w:r>
      <w:proofErr w:type="spellEnd"/>
      <w:r w:rsidRPr="009462F2">
        <w:rPr>
          <w:rStyle w:val="apple-converted-space"/>
          <w:rFonts w:ascii="Times New Roman" w:hAnsi="Times New Roman" w:cs="Times New Roman"/>
          <w:color w:val="000000"/>
        </w:rPr>
        <w:t> </w:t>
      </w:r>
      <w:r w:rsidRPr="009462F2">
        <w:rPr>
          <w:rFonts w:ascii="Times New Roman" w:hAnsi="Times New Roman" w:cs="Times New Roman"/>
          <w:iCs/>
          <w:color w:val="000000"/>
        </w:rPr>
        <w:t>do TRF/4ª Região: INQ 9204265930, Pleno, maioria, DJ de 17/02/1993, p. 4.324, Relatora Des</w:t>
      </w:r>
      <w:proofErr w:type="gramStart"/>
      <w:r w:rsidRPr="009462F2">
        <w:rPr>
          <w:rFonts w:ascii="Times New Roman" w:hAnsi="Times New Roman" w:cs="Times New Roman"/>
          <w:iCs/>
          <w:color w:val="000000"/>
        </w:rPr>
        <w:t xml:space="preserve">. Federal Ellen </w:t>
      </w:r>
      <w:proofErr w:type="spellStart"/>
      <w:r w:rsidRPr="009462F2">
        <w:rPr>
          <w:rFonts w:ascii="Times New Roman" w:hAnsi="Times New Roman" w:cs="Times New Roman"/>
          <w:iCs/>
          <w:color w:val="000000"/>
        </w:rPr>
        <w:t>Gracie</w:t>
      </w:r>
      <w:proofErr w:type="spellEnd"/>
      <w:r w:rsidRPr="009462F2">
        <w:rPr>
          <w:rFonts w:ascii="Times New Roman" w:hAnsi="Times New Roman" w:cs="Times New Roman"/>
          <w:iCs/>
          <w:color w:val="000000"/>
        </w:rPr>
        <w:t xml:space="preserve"> </w:t>
      </w:r>
      <w:proofErr w:type="spellStart"/>
      <w:r w:rsidRPr="009462F2">
        <w:rPr>
          <w:rFonts w:ascii="Times New Roman" w:hAnsi="Times New Roman" w:cs="Times New Roman"/>
          <w:iCs/>
          <w:color w:val="000000"/>
        </w:rPr>
        <w:t>Northfleet</w:t>
      </w:r>
      <w:proofErr w:type="spellEnd"/>
      <w:r w:rsidRPr="009462F2">
        <w:rPr>
          <w:rFonts w:ascii="Times New Roman" w:hAnsi="Times New Roman" w:cs="Times New Roman"/>
          <w:iCs/>
          <w:color w:val="000000"/>
        </w:rPr>
        <w:t>)</w:t>
      </w:r>
      <w:proofErr w:type="gramEnd"/>
      <w:r w:rsidRPr="009462F2">
        <w:rPr>
          <w:rFonts w:ascii="Times New Roman" w:hAnsi="Times New Roman" w:cs="Times New Roman"/>
          <w:color w:val="000000"/>
        </w:rPr>
        <w:t>.</w:t>
      </w:r>
    </w:p>
    <w:p w:rsidR="006511AD" w:rsidRDefault="00326A98" w:rsidP="006511AD">
      <w:pPr>
        <w:pStyle w:val="pa10"/>
        <w:shd w:val="clear" w:color="auto" w:fill="FFFFFF"/>
        <w:spacing w:line="480" w:lineRule="auto"/>
        <w:ind w:firstLine="340"/>
        <w:jc w:val="both"/>
        <w:rPr>
          <w:rFonts w:ascii="Arial" w:hAnsi="Arial" w:cs="Arial"/>
          <w:color w:val="000000"/>
          <w:sz w:val="22"/>
          <w:szCs w:val="22"/>
        </w:rPr>
      </w:pPr>
      <w:r>
        <w:rPr>
          <w:rFonts w:ascii="Arial" w:hAnsi="Arial" w:cs="Arial"/>
          <w:color w:val="000000"/>
          <w:sz w:val="22"/>
          <w:szCs w:val="22"/>
        </w:rPr>
        <w:t> </w:t>
      </w:r>
    </w:p>
    <w:p w:rsidR="00326A98" w:rsidRPr="006511AD" w:rsidRDefault="009462F2" w:rsidP="006511AD">
      <w:pPr>
        <w:pStyle w:val="pa10"/>
        <w:shd w:val="clear" w:color="auto" w:fill="FFFFFF"/>
        <w:spacing w:line="360" w:lineRule="auto"/>
        <w:ind w:firstLine="340"/>
        <w:jc w:val="both"/>
        <w:rPr>
          <w:color w:val="000000"/>
        </w:rPr>
      </w:pPr>
      <w:r w:rsidRPr="006511AD">
        <w:rPr>
          <w:color w:val="000000"/>
        </w:rPr>
        <w:t>Ou seja, segundo o entendimento do STF, o princípio da simetria deve ser aplicado, sendo necessário que o</w:t>
      </w:r>
      <w:r w:rsidR="006511AD" w:rsidRPr="006511AD">
        <w:rPr>
          <w:color w:val="000000"/>
        </w:rPr>
        <w:t xml:space="preserve"> tribunal ou a corte autorize a instauração de inquérito contra as autoridades políticas que possuem prerrogativa de foro.</w:t>
      </w:r>
    </w:p>
    <w:p w:rsidR="00326A98" w:rsidRDefault="00AA2114" w:rsidP="00AA2114">
      <w:pPr>
        <w:pStyle w:val="PargrafodaLista"/>
        <w:numPr>
          <w:ilvl w:val="0"/>
          <w:numId w:val="2"/>
        </w:numPr>
        <w:spacing w:line="480" w:lineRule="auto"/>
        <w:jc w:val="both"/>
        <w:rPr>
          <w:rFonts w:ascii="Times New Roman" w:hAnsi="Times New Roman" w:cs="Times New Roman"/>
          <w:b/>
          <w:sz w:val="28"/>
          <w:szCs w:val="28"/>
        </w:rPr>
      </w:pPr>
      <w:r>
        <w:rPr>
          <w:rFonts w:ascii="Times New Roman" w:hAnsi="Times New Roman" w:cs="Times New Roman"/>
          <w:b/>
          <w:sz w:val="28"/>
          <w:szCs w:val="28"/>
        </w:rPr>
        <w:t>CONCLUSÃO</w:t>
      </w:r>
    </w:p>
    <w:p w:rsidR="00CB358E" w:rsidRPr="00CB358E" w:rsidRDefault="00CB358E" w:rsidP="00CB358E">
      <w:pPr>
        <w:spacing w:line="360" w:lineRule="auto"/>
        <w:ind w:firstLine="708"/>
        <w:jc w:val="both"/>
        <w:rPr>
          <w:rFonts w:ascii="Times New Roman" w:hAnsi="Times New Roman" w:cs="Times New Roman"/>
          <w:sz w:val="24"/>
          <w:szCs w:val="24"/>
        </w:rPr>
      </w:pPr>
      <w:r w:rsidRPr="00CB358E">
        <w:rPr>
          <w:rFonts w:ascii="Times New Roman" w:hAnsi="Times New Roman" w:cs="Times New Roman"/>
          <w:sz w:val="24"/>
          <w:szCs w:val="24"/>
        </w:rPr>
        <w:t xml:space="preserve">Concluímos que </w:t>
      </w:r>
      <w:r w:rsidR="00900F7B">
        <w:rPr>
          <w:rFonts w:ascii="Times New Roman" w:hAnsi="Times New Roman" w:cs="Times New Roman"/>
          <w:sz w:val="24"/>
          <w:szCs w:val="24"/>
        </w:rPr>
        <w:t xml:space="preserve">o sistema processual penal aceito pela Brasil foi o misto, sendo que na investigação pré-processual não só a autoridade policial tem o poder de investigar, mas pode também o </w:t>
      </w:r>
      <w:proofErr w:type="spellStart"/>
      <w:r w:rsidR="00900F7B" w:rsidRPr="00900F7B">
        <w:rPr>
          <w:rFonts w:ascii="Times New Roman" w:hAnsi="Times New Roman" w:cs="Times New Roman"/>
          <w:i/>
          <w:sz w:val="24"/>
          <w:szCs w:val="24"/>
        </w:rPr>
        <w:t>Parquet</w:t>
      </w:r>
      <w:proofErr w:type="spellEnd"/>
      <w:r w:rsidR="00900F7B">
        <w:rPr>
          <w:rFonts w:ascii="Times New Roman" w:hAnsi="Times New Roman" w:cs="Times New Roman"/>
          <w:i/>
          <w:sz w:val="24"/>
          <w:szCs w:val="24"/>
        </w:rPr>
        <w:t xml:space="preserve"> </w:t>
      </w:r>
      <w:r w:rsidR="00900F7B" w:rsidRPr="00900F7B">
        <w:rPr>
          <w:rFonts w:ascii="Times New Roman" w:hAnsi="Times New Roman" w:cs="Times New Roman"/>
          <w:sz w:val="24"/>
          <w:szCs w:val="24"/>
        </w:rPr>
        <w:t>exercer este poder.</w:t>
      </w:r>
      <w:r w:rsidR="00900F7B">
        <w:rPr>
          <w:rFonts w:ascii="Times New Roman" w:hAnsi="Times New Roman" w:cs="Times New Roman"/>
          <w:sz w:val="24"/>
          <w:szCs w:val="24"/>
        </w:rPr>
        <w:t xml:space="preserve"> O</w:t>
      </w:r>
      <w:r w:rsidRPr="00CB358E">
        <w:rPr>
          <w:rFonts w:ascii="Times New Roman" w:hAnsi="Times New Roman" w:cs="Times New Roman"/>
          <w:sz w:val="24"/>
          <w:szCs w:val="24"/>
        </w:rPr>
        <w:t xml:space="preserve"> inquérito policial presidido contra autoridades </w:t>
      </w:r>
      <w:r w:rsidR="00336958">
        <w:rPr>
          <w:rFonts w:ascii="Times New Roman" w:hAnsi="Times New Roman" w:cs="Times New Roman"/>
          <w:sz w:val="24"/>
          <w:szCs w:val="24"/>
        </w:rPr>
        <w:t xml:space="preserve">detentoras de </w:t>
      </w:r>
      <w:r w:rsidRPr="00CB358E">
        <w:rPr>
          <w:rFonts w:ascii="Times New Roman" w:hAnsi="Times New Roman" w:cs="Times New Roman"/>
          <w:sz w:val="24"/>
          <w:szCs w:val="24"/>
        </w:rPr>
        <w:t xml:space="preserve">foro por prerrogativa de função deve ser autorizado pelo Tribunal ou pela corte, </w:t>
      </w:r>
      <w:r w:rsidRPr="00CB358E">
        <w:rPr>
          <w:rFonts w:ascii="Times New Roman" w:hAnsi="Times New Roman" w:cs="Times New Roman"/>
          <w:sz w:val="24"/>
          <w:szCs w:val="24"/>
        </w:rPr>
        <w:lastRenderedPageBreak/>
        <w:t>pois este é o entendimento do Supremo Tribunal Federal tendo por base o princípio da simetria.</w:t>
      </w:r>
    </w:p>
    <w:p w:rsidR="00AA2114" w:rsidRDefault="00AA2114" w:rsidP="00AA2114">
      <w:pPr>
        <w:pStyle w:val="PargrafodaLista"/>
        <w:numPr>
          <w:ilvl w:val="0"/>
          <w:numId w:val="2"/>
        </w:numPr>
        <w:spacing w:line="480" w:lineRule="auto"/>
        <w:jc w:val="both"/>
        <w:rPr>
          <w:rFonts w:ascii="Times New Roman" w:hAnsi="Times New Roman" w:cs="Times New Roman"/>
          <w:b/>
          <w:sz w:val="28"/>
          <w:szCs w:val="28"/>
        </w:rPr>
      </w:pPr>
      <w:r>
        <w:rPr>
          <w:rFonts w:ascii="Times New Roman" w:hAnsi="Times New Roman" w:cs="Times New Roman"/>
          <w:b/>
          <w:sz w:val="28"/>
          <w:szCs w:val="28"/>
        </w:rPr>
        <w:t>REFERÊNCIA BIBLIOGRÁFICA</w:t>
      </w:r>
    </w:p>
    <w:p w:rsidR="00AA2114" w:rsidRDefault="00AA2114" w:rsidP="00072AF2">
      <w:pPr>
        <w:pStyle w:val="PargrafodaLista"/>
        <w:spacing w:line="480" w:lineRule="auto"/>
        <w:ind w:left="0"/>
        <w:jc w:val="both"/>
        <w:rPr>
          <w:rFonts w:ascii="Times New Roman" w:hAnsi="Times New Roman" w:cs="Times New Roman"/>
          <w:sz w:val="24"/>
          <w:szCs w:val="24"/>
        </w:rPr>
      </w:pPr>
      <w:r w:rsidRPr="00AA2114">
        <w:rPr>
          <w:rFonts w:ascii="Times New Roman" w:hAnsi="Times New Roman" w:cs="Times New Roman"/>
          <w:sz w:val="24"/>
          <w:szCs w:val="24"/>
        </w:rPr>
        <w:t>CAPEZ,</w:t>
      </w:r>
      <w:r>
        <w:rPr>
          <w:rFonts w:ascii="Times New Roman" w:hAnsi="Times New Roman" w:cs="Times New Roman"/>
          <w:sz w:val="24"/>
          <w:szCs w:val="24"/>
        </w:rPr>
        <w:t xml:space="preserve"> Fernando</w:t>
      </w:r>
      <w:r w:rsidR="00072AF2">
        <w:rPr>
          <w:rFonts w:ascii="Times New Roman" w:hAnsi="Times New Roman" w:cs="Times New Roman"/>
          <w:sz w:val="24"/>
          <w:szCs w:val="24"/>
        </w:rPr>
        <w:t>: Curso de Direito processual Penal. Ed. Saraiva. São Paulo, 2009.</w:t>
      </w:r>
    </w:p>
    <w:p w:rsidR="00072AF2" w:rsidRPr="00AA2114" w:rsidRDefault="00072AF2" w:rsidP="00072AF2">
      <w:pPr>
        <w:pStyle w:val="PargrafodaLista"/>
        <w:spacing w:line="480" w:lineRule="auto"/>
        <w:ind w:left="0"/>
        <w:jc w:val="both"/>
        <w:rPr>
          <w:rFonts w:ascii="Times New Roman" w:hAnsi="Times New Roman" w:cs="Times New Roman"/>
          <w:sz w:val="24"/>
          <w:szCs w:val="24"/>
        </w:rPr>
      </w:pPr>
      <w:r>
        <w:rPr>
          <w:rFonts w:ascii="Times New Roman" w:hAnsi="Times New Roman" w:cs="Times New Roman"/>
          <w:sz w:val="24"/>
          <w:szCs w:val="24"/>
        </w:rPr>
        <w:t xml:space="preserve">JUNIOR, </w:t>
      </w:r>
      <w:proofErr w:type="spellStart"/>
      <w:r>
        <w:rPr>
          <w:rFonts w:ascii="Times New Roman" w:hAnsi="Times New Roman" w:cs="Times New Roman"/>
          <w:sz w:val="24"/>
          <w:szCs w:val="24"/>
        </w:rPr>
        <w:t>Aury</w:t>
      </w:r>
      <w:proofErr w:type="spellEnd"/>
      <w:r>
        <w:rPr>
          <w:rFonts w:ascii="Times New Roman" w:hAnsi="Times New Roman" w:cs="Times New Roman"/>
          <w:sz w:val="24"/>
          <w:szCs w:val="24"/>
        </w:rPr>
        <w:t xml:space="preserve"> Lopes: Direito Processual Penal. Ed. Saraiva. São Paulo, 2012.</w:t>
      </w:r>
    </w:p>
    <w:sectPr w:rsidR="00072AF2" w:rsidRPr="00AA2114" w:rsidSect="000B3E61">
      <w:pgSz w:w="11906" w:h="16838"/>
      <w:pgMar w:top="1701" w:right="1134"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37C" w:rsidRDefault="0087737C" w:rsidP="00EB4094">
      <w:pPr>
        <w:spacing w:after="0" w:line="240" w:lineRule="auto"/>
      </w:pPr>
      <w:r>
        <w:separator/>
      </w:r>
    </w:p>
  </w:endnote>
  <w:endnote w:type="continuationSeparator" w:id="0">
    <w:p w:rsidR="0087737C" w:rsidRDefault="0087737C" w:rsidP="00EB40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37C" w:rsidRDefault="0087737C" w:rsidP="00EB4094">
      <w:pPr>
        <w:spacing w:after="0" w:line="240" w:lineRule="auto"/>
      </w:pPr>
      <w:r>
        <w:separator/>
      </w:r>
    </w:p>
  </w:footnote>
  <w:footnote w:type="continuationSeparator" w:id="0">
    <w:p w:rsidR="0087737C" w:rsidRDefault="0087737C" w:rsidP="00EB4094">
      <w:pPr>
        <w:spacing w:after="0" w:line="240" w:lineRule="auto"/>
      </w:pPr>
      <w:r>
        <w:continuationSeparator/>
      </w:r>
    </w:p>
  </w:footnote>
  <w:footnote w:id="1">
    <w:p w:rsidR="00072AF2" w:rsidRDefault="00072AF2">
      <w:pPr>
        <w:pStyle w:val="Textodenotaderodap"/>
      </w:pPr>
      <w:r>
        <w:rPr>
          <w:rStyle w:val="Refdenotaderodap"/>
        </w:rPr>
        <w:footnoteRef/>
      </w:r>
      <w:r>
        <w:t xml:space="preserve"> </w:t>
      </w:r>
      <w:r w:rsidR="00CB358E">
        <w:t>Estudante de Direito na Faculdade Paraíso – CE.</w:t>
      </w:r>
    </w:p>
  </w:footnote>
  <w:footnote w:id="2">
    <w:p w:rsidR="00CB358E" w:rsidRDefault="00CB358E">
      <w:pPr>
        <w:pStyle w:val="Textodenotaderodap"/>
      </w:pPr>
      <w:r>
        <w:rPr>
          <w:rStyle w:val="Refdenotaderodap"/>
        </w:rPr>
        <w:footnoteRef/>
      </w:r>
      <w:r>
        <w:t xml:space="preserve"> Estudante de Direito na Faculdade Paraíso – CE.</w:t>
      </w:r>
    </w:p>
  </w:footnote>
  <w:footnote w:id="3">
    <w:p w:rsidR="00072AF2" w:rsidRDefault="00072AF2">
      <w:pPr>
        <w:pStyle w:val="Textodenotaderodap"/>
      </w:pPr>
      <w:r>
        <w:rPr>
          <w:rStyle w:val="Refdenotaderodap"/>
        </w:rPr>
        <w:footnoteRef/>
      </w:r>
      <w:r>
        <w:t xml:space="preserve"> </w:t>
      </w:r>
      <w:r w:rsidR="00CB358E">
        <w:t>Estudante de D</w:t>
      </w:r>
      <w:r>
        <w:t>ireito na Faculdade Paraíso</w:t>
      </w:r>
      <w:r w:rsidR="00CB358E">
        <w:t xml:space="preserve"> – CE.</w:t>
      </w:r>
    </w:p>
  </w:footnote>
  <w:footnote w:id="4">
    <w:p w:rsidR="00CB358E" w:rsidRDefault="00CB358E">
      <w:pPr>
        <w:pStyle w:val="Textodenotaderodap"/>
      </w:pPr>
      <w:r>
        <w:rPr>
          <w:rStyle w:val="Refdenotaderodap"/>
        </w:rPr>
        <w:footnoteRef/>
      </w:r>
      <w:r>
        <w:t xml:space="preserve"> Estudante de Direito na Faculdade Paraíso – CE.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A12D02"/>
    <w:multiLevelType w:val="hybridMultilevel"/>
    <w:tmpl w:val="246C8F6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70900729"/>
    <w:multiLevelType w:val="multilevel"/>
    <w:tmpl w:val="5284E290"/>
    <w:lvl w:ilvl="0">
      <w:start w:val="1"/>
      <w:numFmt w:val="decimal"/>
      <w:lvlText w:val="%1."/>
      <w:lvlJc w:val="left"/>
      <w:pPr>
        <w:ind w:left="1080" w:hanging="360"/>
      </w:pPr>
      <w:rPr>
        <w:b/>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10315B"/>
    <w:rsid w:val="00051839"/>
    <w:rsid w:val="00072AF2"/>
    <w:rsid w:val="000B3E61"/>
    <w:rsid w:val="000B459B"/>
    <w:rsid w:val="0010315B"/>
    <w:rsid w:val="0018353D"/>
    <w:rsid w:val="00186B92"/>
    <w:rsid w:val="00264ADD"/>
    <w:rsid w:val="002A0131"/>
    <w:rsid w:val="002C11BC"/>
    <w:rsid w:val="00326A98"/>
    <w:rsid w:val="00336958"/>
    <w:rsid w:val="00360EDC"/>
    <w:rsid w:val="003A49C9"/>
    <w:rsid w:val="004243D5"/>
    <w:rsid w:val="0046536F"/>
    <w:rsid w:val="0054158C"/>
    <w:rsid w:val="00546327"/>
    <w:rsid w:val="0055349A"/>
    <w:rsid w:val="00572569"/>
    <w:rsid w:val="005800AC"/>
    <w:rsid w:val="00581663"/>
    <w:rsid w:val="00587BE5"/>
    <w:rsid w:val="00592FBC"/>
    <w:rsid w:val="005C188E"/>
    <w:rsid w:val="00641B1C"/>
    <w:rsid w:val="006511AD"/>
    <w:rsid w:val="006821AF"/>
    <w:rsid w:val="006957A8"/>
    <w:rsid w:val="006C06B0"/>
    <w:rsid w:val="007210B1"/>
    <w:rsid w:val="00750669"/>
    <w:rsid w:val="007969BF"/>
    <w:rsid w:val="0087737C"/>
    <w:rsid w:val="008D15DE"/>
    <w:rsid w:val="00900002"/>
    <w:rsid w:val="00900F7B"/>
    <w:rsid w:val="009462F2"/>
    <w:rsid w:val="009510ED"/>
    <w:rsid w:val="009F00D9"/>
    <w:rsid w:val="009F14AE"/>
    <w:rsid w:val="00A509D1"/>
    <w:rsid w:val="00A91B2C"/>
    <w:rsid w:val="00AA2114"/>
    <w:rsid w:val="00AD7063"/>
    <w:rsid w:val="00AF112D"/>
    <w:rsid w:val="00B00366"/>
    <w:rsid w:val="00B1523D"/>
    <w:rsid w:val="00B830AF"/>
    <w:rsid w:val="00BA5A42"/>
    <w:rsid w:val="00BA6B36"/>
    <w:rsid w:val="00C23E3C"/>
    <w:rsid w:val="00C41596"/>
    <w:rsid w:val="00C62607"/>
    <w:rsid w:val="00C70933"/>
    <w:rsid w:val="00CB358E"/>
    <w:rsid w:val="00D837FC"/>
    <w:rsid w:val="00DD3421"/>
    <w:rsid w:val="00EB4094"/>
    <w:rsid w:val="653D4264"/>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0669"/>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0315B"/>
    <w:pPr>
      <w:ind w:left="720"/>
      <w:contextualSpacing/>
    </w:pPr>
  </w:style>
  <w:style w:type="paragraph" w:styleId="Cabealho">
    <w:name w:val="header"/>
    <w:basedOn w:val="Normal"/>
    <w:link w:val="CabealhoChar"/>
    <w:uiPriority w:val="99"/>
    <w:semiHidden/>
    <w:unhideWhenUsed/>
    <w:rsid w:val="00EB4094"/>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EB4094"/>
  </w:style>
  <w:style w:type="paragraph" w:styleId="Rodap">
    <w:name w:val="footer"/>
    <w:basedOn w:val="Normal"/>
    <w:link w:val="RodapChar"/>
    <w:uiPriority w:val="99"/>
    <w:semiHidden/>
    <w:unhideWhenUsed/>
    <w:rsid w:val="00EB4094"/>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EB4094"/>
  </w:style>
  <w:style w:type="paragraph" w:styleId="Textodenotaderodap">
    <w:name w:val="footnote text"/>
    <w:basedOn w:val="Normal"/>
    <w:link w:val="TextodenotaderodapChar"/>
    <w:uiPriority w:val="99"/>
    <w:semiHidden/>
    <w:unhideWhenUsed/>
    <w:rsid w:val="00AD706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AD7063"/>
    <w:rPr>
      <w:sz w:val="20"/>
      <w:szCs w:val="20"/>
    </w:rPr>
  </w:style>
  <w:style w:type="character" w:styleId="Refdenotaderodap">
    <w:name w:val="footnote reference"/>
    <w:basedOn w:val="Fontepargpadro"/>
    <w:uiPriority w:val="99"/>
    <w:semiHidden/>
    <w:unhideWhenUsed/>
    <w:rsid w:val="00AD7063"/>
    <w:rPr>
      <w:vertAlign w:val="superscript"/>
    </w:rPr>
  </w:style>
  <w:style w:type="paragraph" w:customStyle="1" w:styleId="pa10">
    <w:name w:val="pa10"/>
    <w:basedOn w:val="Normal"/>
    <w:rsid w:val="00326A9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converted-space">
    <w:name w:val="apple-converted-space"/>
    <w:basedOn w:val="Fontepargpadro"/>
    <w:rsid w:val="00326A98"/>
  </w:style>
</w:styles>
</file>

<file path=word/webSettings.xml><?xml version="1.0" encoding="utf-8"?>
<w:webSettings xmlns:r="http://schemas.openxmlformats.org/officeDocument/2006/relationships" xmlns:w="http://schemas.openxmlformats.org/wordprocessingml/2006/main">
  <w:divs>
    <w:div w:id="717895752">
      <w:bodyDiv w:val="1"/>
      <w:marLeft w:val="0"/>
      <w:marRight w:val="0"/>
      <w:marTop w:val="0"/>
      <w:marBottom w:val="0"/>
      <w:divBdr>
        <w:top w:val="none" w:sz="0" w:space="0" w:color="auto"/>
        <w:left w:val="none" w:sz="0" w:space="0" w:color="auto"/>
        <w:bottom w:val="none" w:sz="0" w:space="0" w:color="auto"/>
        <w:right w:val="none" w:sz="0" w:space="0" w:color="auto"/>
      </w:divBdr>
    </w:div>
    <w:div w:id="1905408021">
      <w:bodyDiv w:val="1"/>
      <w:marLeft w:val="0"/>
      <w:marRight w:val="0"/>
      <w:marTop w:val="0"/>
      <w:marBottom w:val="0"/>
      <w:divBdr>
        <w:top w:val="none" w:sz="0" w:space="0" w:color="auto"/>
        <w:left w:val="none" w:sz="0" w:space="0" w:color="auto"/>
        <w:bottom w:val="none" w:sz="0" w:space="0" w:color="auto"/>
        <w:right w:val="none" w:sz="0" w:space="0" w:color="auto"/>
      </w:divBdr>
      <w:divsChild>
        <w:div w:id="643895315">
          <w:marLeft w:val="0"/>
          <w:marRight w:val="0"/>
          <w:marTop w:val="0"/>
          <w:marBottom w:val="300"/>
          <w:divBdr>
            <w:top w:val="none" w:sz="0" w:space="0" w:color="auto"/>
            <w:left w:val="none" w:sz="0" w:space="0" w:color="auto"/>
            <w:bottom w:val="none" w:sz="0" w:space="0" w:color="auto"/>
            <w:right w:val="none" w:sz="0" w:space="0" w:color="auto"/>
          </w:divBdr>
          <w:divsChild>
            <w:div w:id="1580948097">
              <w:marLeft w:val="0"/>
              <w:marRight w:val="0"/>
              <w:marTop w:val="0"/>
              <w:marBottom w:val="180"/>
              <w:divBdr>
                <w:top w:val="none" w:sz="0" w:space="0" w:color="auto"/>
                <w:left w:val="none" w:sz="0" w:space="0" w:color="auto"/>
                <w:bottom w:val="none" w:sz="0" w:space="0" w:color="auto"/>
                <w:right w:val="none" w:sz="0" w:space="0" w:color="auto"/>
              </w:divBdr>
            </w:div>
            <w:div w:id="982275645">
              <w:marLeft w:val="0"/>
              <w:marRight w:val="0"/>
              <w:marTop w:val="0"/>
              <w:marBottom w:val="180"/>
              <w:divBdr>
                <w:top w:val="none" w:sz="0" w:space="0" w:color="auto"/>
                <w:left w:val="none" w:sz="0" w:space="0" w:color="auto"/>
                <w:bottom w:val="none" w:sz="0" w:space="0" w:color="auto"/>
                <w:right w:val="none" w:sz="0" w:space="0" w:color="auto"/>
              </w:divBdr>
            </w:div>
            <w:div w:id="1957173723">
              <w:marLeft w:val="0"/>
              <w:marRight w:val="0"/>
              <w:marTop w:val="0"/>
              <w:marBottom w:val="180"/>
              <w:divBdr>
                <w:top w:val="none" w:sz="0" w:space="0" w:color="auto"/>
                <w:left w:val="none" w:sz="0" w:space="0" w:color="auto"/>
                <w:bottom w:val="none" w:sz="0" w:space="0" w:color="auto"/>
                <w:right w:val="none" w:sz="0" w:space="0" w:color="auto"/>
              </w:divBdr>
            </w:div>
            <w:div w:id="1922327984">
              <w:marLeft w:val="0"/>
              <w:marRight w:val="0"/>
              <w:marTop w:val="0"/>
              <w:marBottom w:val="180"/>
              <w:divBdr>
                <w:top w:val="none" w:sz="0" w:space="0" w:color="auto"/>
                <w:left w:val="none" w:sz="0" w:space="0" w:color="auto"/>
                <w:bottom w:val="none" w:sz="0" w:space="0" w:color="auto"/>
                <w:right w:val="none" w:sz="0" w:space="0" w:color="auto"/>
              </w:divBdr>
            </w:div>
            <w:div w:id="1191068901">
              <w:marLeft w:val="0"/>
              <w:marRight w:val="0"/>
              <w:marTop w:val="0"/>
              <w:marBottom w:val="180"/>
              <w:divBdr>
                <w:top w:val="none" w:sz="0" w:space="0" w:color="auto"/>
                <w:left w:val="none" w:sz="0" w:space="0" w:color="auto"/>
                <w:bottom w:val="none" w:sz="0" w:space="0" w:color="auto"/>
                <w:right w:val="none" w:sz="0" w:space="0" w:color="auto"/>
              </w:divBdr>
            </w:div>
            <w:div w:id="764224546">
              <w:marLeft w:val="0"/>
              <w:marRight w:val="0"/>
              <w:marTop w:val="0"/>
              <w:marBottom w:val="180"/>
              <w:divBdr>
                <w:top w:val="none" w:sz="0" w:space="0" w:color="auto"/>
                <w:left w:val="none" w:sz="0" w:space="0" w:color="auto"/>
                <w:bottom w:val="none" w:sz="0" w:space="0" w:color="auto"/>
                <w:right w:val="none" w:sz="0" w:space="0" w:color="auto"/>
              </w:divBdr>
            </w:div>
            <w:div w:id="1023020701">
              <w:marLeft w:val="0"/>
              <w:marRight w:val="0"/>
              <w:marTop w:val="0"/>
              <w:marBottom w:val="180"/>
              <w:divBdr>
                <w:top w:val="none" w:sz="0" w:space="0" w:color="auto"/>
                <w:left w:val="none" w:sz="0" w:space="0" w:color="auto"/>
                <w:bottom w:val="none" w:sz="0" w:space="0" w:color="auto"/>
                <w:right w:val="none" w:sz="0" w:space="0" w:color="auto"/>
              </w:divBdr>
            </w:div>
            <w:div w:id="1006175348">
              <w:marLeft w:val="0"/>
              <w:marRight w:val="0"/>
              <w:marTop w:val="0"/>
              <w:marBottom w:val="180"/>
              <w:divBdr>
                <w:top w:val="none" w:sz="0" w:space="0" w:color="auto"/>
                <w:left w:val="none" w:sz="0" w:space="0" w:color="auto"/>
                <w:bottom w:val="none" w:sz="0" w:space="0" w:color="auto"/>
                <w:right w:val="none" w:sz="0" w:space="0" w:color="auto"/>
              </w:divBdr>
            </w:div>
            <w:div w:id="1326544987">
              <w:marLeft w:val="0"/>
              <w:marRight w:val="0"/>
              <w:marTop w:val="0"/>
              <w:marBottom w:val="180"/>
              <w:divBdr>
                <w:top w:val="none" w:sz="0" w:space="0" w:color="auto"/>
                <w:left w:val="none" w:sz="0" w:space="0" w:color="auto"/>
                <w:bottom w:val="none" w:sz="0" w:space="0" w:color="auto"/>
                <w:right w:val="none" w:sz="0" w:space="0" w:color="auto"/>
              </w:divBdr>
            </w:div>
            <w:div w:id="1478375951">
              <w:marLeft w:val="0"/>
              <w:marRight w:val="0"/>
              <w:marTop w:val="0"/>
              <w:marBottom w:val="180"/>
              <w:divBdr>
                <w:top w:val="none" w:sz="0" w:space="0" w:color="auto"/>
                <w:left w:val="none" w:sz="0" w:space="0" w:color="auto"/>
                <w:bottom w:val="none" w:sz="0" w:space="0" w:color="auto"/>
                <w:right w:val="none" w:sz="0" w:space="0" w:color="auto"/>
              </w:divBdr>
            </w:div>
            <w:div w:id="1754006801">
              <w:marLeft w:val="0"/>
              <w:marRight w:val="0"/>
              <w:marTop w:val="0"/>
              <w:marBottom w:val="180"/>
              <w:divBdr>
                <w:top w:val="none" w:sz="0" w:space="0" w:color="auto"/>
                <w:left w:val="none" w:sz="0" w:space="0" w:color="auto"/>
                <w:bottom w:val="none" w:sz="0" w:space="0" w:color="auto"/>
                <w:right w:val="none" w:sz="0" w:space="0" w:color="auto"/>
              </w:divBdr>
            </w:div>
            <w:div w:id="1974141740">
              <w:marLeft w:val="0"/>
              <w:marRight w:val="0"/>
              <w:marTop w:val="0"/>
              <w:marBottom w:val="180"/>
              <w:divBdr>
                <w:top w:val="none" w:sz="0" w:space="0" w:color="auto"/>
                <w:left w:val="none" w:sz="0" w:space="0" w:color="auto"/>
                <w:bottom w:val="none" w:sz="0" w:space="0" w:color="auto"/>
                <w:right w:val="none" w:sz="0" w:space="0" w:color="auto"/>
              </w:divBdr>
            </w:div>
          </w:divsChild>
        </w:div>
        <w:div w:id="1269119346">
          <w:marLeft w:val="0"/>
          <w:marRight w:val="0"/>
          <w:marTop w:val="0"/>
          <w:marBottom w:val="300"/>
          <w:divBdr>
            <w:top w:val="none" w:sz="0" w:space="0" w:color="auto"/>
            <w:left w:val="none" w:sz="0" w:space="0" w:color="auto"/>
            <w:bottom w:val="none" w:sz="0" w:space="0" w:color="auto"/>
            <w:right w:val="none" w:sz="0" w:space="0" w:color="auto"/>
          </w:divBdr>
          <w:divsChild>
            <w:div w:id="1080902829">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954939371">
      <w:bodyDiv w:val="1"/>
      <w:marLeft w:val="0"/>
      <w:marRight w:val="0"/>
      <w:marTop w:val="0"/>
      <w:marBottom w:val="0"/>
      <w:divBdr>
        <w:top w:val="none" w:sz="0" w:space="0" w:color="auto"/>
        <w:left w:val="none" w:sz="0" w:space="0" w:color="auto"/>
        <w:bottom w:val="none" w:sz="0" w:space="0" w:color="auto"/>
        <w:right w:val="none" w:sz="0" w:space="0" w:color="auto"/>
      </w:divBdr>
    </w:div>
    <w:div w:id="1992368216">
      <w:bodyDiv w:val="1"/>
      <w:marLeft w:val="0"/>
      <w:marRight w:val="0"/>
      <w:marTop w:val="0"/>
      <w:marBottom w:val="0"/>
      <w:divBdr>
        <w:top w:val="none" w:sz="0" w:space="0" w:color="auto"/>
        <w:left w:val="none" w:sz="0" w:space="0" w:color="auto"/>
        <w:bottom w:val="none" w:sz="0" w:space="0" w:color="auto"/>
        <w:right w:val="none" w:sz="0" w:space="0" w:color="auto"/>
      </w:divBdr>
      <w:divsChild>
        <w:div w:id="30766029">
          <w:blockQuote w:val="1"/>
          <w:marLeft w:val="0"/>
          <w:marRight w:val="0"/>
          <w:marTop w:val="0"/>
          <w:marBottom w:val="0"/>
          <w:divBdr>
            <w:top w:val="none" w:sz="0" w:space="0" w:color="auto"/>
            <w:left w:val="none" w:sz="0" w:space="0" w:color="auto"/>
            <w:bottom w:val="none" w:sz="0" w:space="0" w:color="auto"/>
            <w:right w:val="none" w:sz="0" w:space="0" w:color="auto"/>
          </w:divBdr>
        </w:div>
        <w:div w:id="89832175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26BA31-D664-4164-86E2-7E9886938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3402</Words>
  <Characters>18373</Characters>
  <Application>Microsoft Office Word</Application>
  <DocSecurity>0</DocSecurity>
  <Lines>153</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Família</dc:creator>
  <cp:lastModifiedBy>Família</cp:lastModifiedBy>
  <cp:revision>17</cp:revision>
  <dcterms:created xsi:type="dcterms:W3CDTF">2012-12-06T01:52:00Z</dcterms:created>
  <dcterms:modified xsi:type="dcterms:W3CDTF">2013-11-23T16:05:00Z</dcterms:modified>
</cp:coreProperties>
</file>